
<file path=[Content_Types].xml><?xml version="1.0" encoding="utf-8"?>
<Types xmlns="http://schemas.openxmlformats.org/package/2006/content-types"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line="360" w:lineRule="auto"/>
        <w:jc w:val="center"/>
        <w:rPr>
          <w:b/>
          <w:bCs/>
          <w:lang w:val="uz-Cyrl-UZ"/>
        </w:rPr>
      </w:pPr>
      <w:r>
        <w:rPr>
          <w:b/>
          <w:bCs/>
          <w:color w:val="333333"/>
          <w:shd w:val="clear" w:color="auto" w:fill="FFFFFF"/>
          <w:lang w:val="en-US"/>
        </w:rPr>
        <w:t>Examining the Effects of School-Vacation Transitions on Depression and Anxiety in Adolescents: A Network Analysis</w:t>
      </w:r>
    </w:p>
    <w:p>
      <w:pPr>
        <w:pStyle w:val="8"/>
        <w:spacing w:line="360" w:lineRule="auto"/>
        <w:jc w:val="center"/>
        <w:rPr>
          <w:b/>
        </w:rPr>
      </w:pPr>
      <w:r>
        <w:rPr>
          <w:b/>
          <w:i/>
          <w:iCs/>
        </w:rPr>
        <w:t>Supplemental</w:t>
      </w:r>
      <w:r>
        <w:rPr>
          <w:b/>
          <w:i/>
          <w:iCs/>
          <w:sz w:val="26"/>
          <w:szCs w:val="26"/>
        </w:rPr>
        <w:t xml:space="preserve"> Information</w:t>
      </w:r>
    </w:p>
    <w:p>
      <w:pPr>
        <w:spacing w:line="360" w:lineRule="auto"/>
        <w:jc w:val="both"/>
        <w:rPr>
          <w:bCs/>
          <w:color w:val="000000"/>
        </w:rPr>
      </w:pPr>
    </w:p>
    <w:p>
      <w:pPr>
        <w:shd w:val="clear" w:color="auto" w:fill="FFFFFF"/>
        <w:spacing w:before="166" w:after="166" w:line="360" w:lineRule="auto"/>
        <w:jc w:val="both"/>
        <w:rPr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0" w:name="OLE_LINK27"/>
      <w:r>
        <w:rPr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Network </w:t>
      </w:r>
      <w:r>
        <w:rPr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accuracy and stability analysis</w:t>
      </w:r>
    </w:p>
    <w:p>
      <w:pPr>
        <w:shd w:val="clear" w:color="auto" w:fill="FFFFFF"/>
        <w:spacing w:before="166" w:after="166" w:line="360" w:lineRule="auto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ab/>
      </w:r>
      <w:r>
        <w:rPr>
          <w:bCs/>
          <w:color w:val="000000"/>
          <w:lang w:val="en-US"/>
        </w:rPr>
        <w:t>Accuracy</w:t>
      </w:r>
      <w:r>
        <w:rPr>
          <w:color w:val="000000"/>
          <w:lang w:val="en-US"/>
        </w:rPr>
        <w:t xml:space="preserve"> of edge weights was </w:t>
      </w:r>
      <w:r>
        <w:rPr>
          <w:bCs/>
          <w:color w:val="000000"/>
          <w:lang w:val="en-US"/>
        </w:rPr>
        <w:t>evaluated</w:t>
      </w:r>
      <w:r>
        <w:rPr>
          <w:color w:val="000000"/>
          <w:lang w:val="en-US"/>
        </w:rPr>
        <w:t xml:space="preserve"> by non-parametric bootstrapping</w:t>
      </w:r>
      <w:r>
        <w:rPr>
          <w:bCs/>
          <w:color w:val="000000"/>
          <w:lang w:val="en-US"/>
        </w:rPr>
        <w:t xml:space="preserve"> procedure, with smaller </w:t>
      </w:r>
      <w:r>
        <w:rPr>
          <w:color w:val="000000"/>
          <w:lang w:val="en-US"/>
        </w:rPr>
        <w:t xml:space="preserve">bootstrapped CIs indicating </w:t>
      </w:r>
      <w:r>
        <w:rPr>
          <w:bCs/>
          <w:color w:val="000000"/>
          <w:lang w:val="en-US"/>
        </w:rPr>
        <w:t>higher</w:t>
      </w:r>
      <w:r>
        <w:rPr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accuracy</w:t>
      </w:r>
      <w:r>
        <w:rPr>
          <w:color w:val="000000"/>
          <w:lang w:val="en-US"/>
        </w:rPr>
        <w:t xml:space="preserve"> of the edge-weights. Stability of the centrality indices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was </w:t>
      </w:r>
      <w:r>
        <w:rPr>
          <w:bCs/>
          <w:color w:val="000000"/>
          <w:lang w:val="en-US"/>
        </w:rPr>
        <w:t>evaluated</w:t>
      </w:r>
      <w:r>
        <w:rPr>
          <w:color w:val="000000"/>
          <w:lang w:val="en-US"/>
        </w:rPr>
        <w:t xml:space="preserve"> by case-dropping bootstrap</w:t>
      </w:r>
      <w:r>
        <w:rPr>
          <w:bCs/>
          <w:color w:val="000000"/>
          <w:lang w:val="en-US"/>
        </w:rPr>
        <w:t xml:space="preserve">ping procedure. Various proportions of cases will be dropped </w:t>
      </w:r>
      <w:r>
        <w:rPr>
          <w:color w:val="000000"/>
          <w:lang w:val="en-US"/>
        </w:rPr>
        <w:t xml:space="preserve">from the dataset </w:t>
      </w:r>
      <w:r>
        <w:rPr>
          <w:bCs/>
          <w:color w:val="000000"/>
          <w:lang w:val="en-US"/>
        </w:rPr>
        <w:t xml:space="preserve">at random in each </w:t>
      </w:r>
      <w:r>
        <w:rPr>
          <w:color w:val="000000"/>
          <w:lang w:val="en-US"/>
        </w:rPr>
        <w:t>bootstrap</w:t>
      </w:r>
      <w:r>
        <w:rPr>
          <w:bCs/>
          <w:color w:val="000000"/>
          <w:lang w:val="en-US"/>
        </w:rPr>
        <w:t xml:space="preserve"> procedure, and the correlation</w:t>
      </w:r>
      <w:r>
        <w:rPr>
          <w:color w:val="000000"/>
          <w:lang w:val="en-US"/>
        </w:rPr>
        <w:t xml:space="preserve"> was calculated </w:t>
      </w:r>
      <w:r>
        <w:rPr>
          <w:bCs/>
          <w:color w:val="000000"/>
          <w:lang w:val="en-US"/>
        </w:rPr>
        <w:t>between the original centrality indices</w:t>
      </w:r>
      <w:r>
        <w:rPr>
          <w:color w:val="000000"/>
          <w:lang w:val="en-US"/>
        </w:rPr>
        <w:t xml:space="preserve"> and those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>obtained from subsets.</w:t>
      </w:r>
      <w:r>
        <w:rPr>
          <w:bCs/>
          <w:color w:val="000000"/>
          <w:lang w:val="en-US"/>
        </w:rPr>
        <w:t xml:space="preserve"> To quantify the stability of </w:t>
      </w:r>
      <w:r>
        <w:rPr>
          <w:color w:val="000000"/>
          <w:lang w:val="en-US"/>
        </w:rPr>
        <w:t>centrality indices</w:t>
      </w:r>
      <w:r>
        <w:rPr>
          <w:bCs/>
          <w:color w:val="000000"/>
          <w:lang w:val="en-US"/>
        </w:rPr>
        <w:t>, correlation stability coefficient (</w:t>
      </w:r>
      <w:r>
        <w:rPr>
          <w:color w:val="000000"/>
          <w:lang w:val="en-US"/>
        </w:rPr>
        <w:t>CS-coefficient</w:t>
      </w:r>
      <w:r>
        <w:rPr>
          <w:bCs/>
          <w:color w:val="000000"/>
          <w:lang w:val="en-US"/>
        </w:rPr>
        <w:t xml:space="preserve">) </w:t>
      </w:r>
      <w:r>
        <w:rPr>
          <w:color w:val="000000"/>
          <w:lang w:val="en-US"/>
        </w:rPr>
        <w:t xml:space="preserve">was calculated by the </w:t>
      </w:r>
      <w:r>
        <w:rPr>
          <w:bCs/>
          <w:color w:val="000000"/>
          <w:lang w:val="en-US"/>
        </w:rPr>
        <w:t xml:space="preserve">maximum </w:t>
      </w:r>
      <w:r>
        <w:rPr>
          <w:color w:val="000000"/>
          <w:lang w:val="en-US"/>
        </w:rPr>
        <w:t xml:space="preserve">proportion of cases that can be dropped to retain a </w:t>
      </w:r>
      <w:r>
        <w:rPr>
          <w:bCs/>
          <w:color w:val="000000"/>
          <w:lang w:val="en-US"/>
        </w:rPr>
        <w:t xml:space="preserve">95% </w:t>
      </w:r>
      <w:r>
        <w:rPr>
          <w:color w:val="000000"/>
          <w:lang w:val="en-US"/>
        </w:rPr>
        <w:t xml:space="preserve">bootstrapped </w:t>
      </w:r>
      <w:r>
        <w:rPr>
          <w:bCs/>
          <w:color w:val="000000"/>
          <w:lang w:val="en-US"/>
        </w:rPr>
        <w:t xml:space="preserve">CIs of </w:t>
      </w:r>
      <w:r>
        <w:rPr>
          <w:color w:val="000000"/>
          <w:lang w:val="en-US"/>
        </w:rPr>
        <w:t>correlation of ≥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>0.7 between original centrality indices and those from subsamples. Higher CS-coefficient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>indicates higher stability of the centrality indices.</w:t>
      </w:r>
      <w:r>
        <w:rPr>
          <w:bCs/>
          <w:color w:val="000000"/>
          <w:lang w:val="en-US"/>
        </w:rPr>
        <w:t xml:space="preserve"> The </w:t>
      </w:r>
      <w:r>
        <w:rPr>
          <w:color w:val="000000"/>
          <w:lang w:val="en-US"/>
        </w:rPr>
        <w:t>CS-coefficient ≥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>0.25 indicates acceptable stability and ≥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>0.5 indicates good stability.</w:t>
      </w:r>
      <w:r>
        <w:rPr>
          <w:bCs/>
          <w:color w:val="000000"/>
          <w:lang w:val="en-US"/>
        </w:rPr>
        <w:t xml:space="preserve"> In addition, the edge weights and centrality </w:t>
      </w:r>
      <w:r>
        <w:rPr>
          <w:color w:val="000000"/>
          <w:lang w:val="en-US"/>
        </w:rPr>
        <w:t>indices</w:t>
      </w:r>
      <w:r>
        <w:rPr>
          <w:bCs/>
          <w:color w:val="000000"/>
          <w:lang w:val="en-US"/>
        </w:rPr>
        <w:t xml:space="preserve"> difference from one another were tested for significance by calculating the</w:t>
      </w:r>
      <w:r>
        <w:rPr>
          <w:color w:val="000000"/>
          <w:lang w:val="en-US"/>
        </w:rPr>
        <w:t xml:space="preserve"> di</w:t>
      </w:r>
      <w:r>
        <w:rPr>
          <w:bCs/>
          <w:color w:val="000000"/>
          <w:lang w:val="en-US"/>
        </w:rPr>
        <w:t>ff</w:t>
      </w:r>
      <w:r>
        <w:rPr>
          <w:color w:val="000000"/>
          <w:lang w:val="en-US"/>
        </w:rPr>
        <w:t xml:space="preserve">erence between bootstrap values of one edge-weight or </w:t>
      </w:r>
      <w:r>
        <w:rPr>
          <w:bCs/>
          <w:color w:val="000000"/>
          <w:lang w:val="en-US"/>
        </w:rPr>
        <w:t xml:space="preserve">centrality </w:t>
      </w:r>
      <w:r>
        <w:rPr>
          <w:color w:val="000000"/>
          <w:lang w:val="en-US"/>
        </w:rPr>
        <w:t>indices</w:t>
      </w:r>
      <w:r>
        <w:rPr>
          <w:bCs/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and another edge-weight or </w:t>
      </w:r>
      <w:r>
        <w:rPr>
          <w:bCs/>
          <w:color w:val="000000"/>
          <w:lang w:val="en-US"/>
        </w:rPr>
        <w:t xml:space="preserve">centrality </w:t>
      </w:r>
      <w:r>
        <w:rPr>
          <w:color w:val="000000"/>
          <w:lang w:val="en-US"/>
        </w:rPr>
        <w:t>indices</w:t>
      </w:r>
      <w:r>
        <w:rPr>
          <w:bCs/>
          <w:color w:val="000000"/>
          <w:lang w:val="en-US"/>
        </w:rPr>
        <w:t>. A</w:t>
      </w:r>
      <w:r>
        <w:rPr>
          <w:color w:val="000000"/>
          <w:lang w:val="en-US"/>
        </w:rPr>
        <w:t xml:space="preserve"> zero in the bootstrapped CI</w:t>
      </w:r>
      <w:r>
        <w:rPr>
          <w:bCs/>
          <w:color w:val="000000"/>
          <w:lang w:val="en-US"/>
        </w:rPr>
        <w:t xml:space="preserve"> indicates no significant difference between the </w:t>
      </w:r>
      <w:r>
        <w:rPr>
          <w:color w:val="000000"/>
          <w:lang w:val="en-US"/>
        </w:rPr>
        <w:t>edge-weight</w:t>
      </w:r>
      <w:r>
        <w:rPr>
          <w:bCs/>
          <w:color w:val="000000"/>
          <w:lang w:val="en-US"/>
        </w:rPr>
        <w:t xml:space="preserve">s or centrality </w:t>
      </w:r>
      <w:r>
        <w:rPr>
          <w:color w:val="000000"/>
          <w:lang w:val="en-US"/>
        </w:rPr>
        <w:t>indices</w:t>
      </w:r>
      <w:r>
        <w:rPr>
          <w:bCs/>
          <w:color w:val="000000"/>
          <w:lang w:val="en-US"/>
        </w:rPr>
        <w:t>.</w:t>
      </w:r>
    </w:p>
    <w:p>
      <w:pPr>
        <w:spacing w:line="360" w:lineRule="auto"/>
        <w:jc w:val="both"/>
        <w:rPr>
          <w:bCs/>
          <w:color w:val="000000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jc w:val="both"/>
        <w:rPr>
          <w:bCs/>
          <w:color w:val="000000"/>
          <w:lang w:val="en-US"/>
        </w:rPr>
      </w:pPr>
      <w:r>
        <w:rPr>
          <w:bCs/>
          <w:color w:val="000000"/>
        </w:rPr>
        <w:t xml:space="preserve">Supplementary Figure </w:t>
      </w:r>
      <w:r>
        <w:rPr>
          <w:bCs/>
          <w:color w:val="000000"/>
          <w:lang w:val="en-US"/>
        </w:rPr>
        <w:t>1</w:t>
      </w:r>
    </w:p>
    <w:p>
      <w:pPr>
        <w:ind w:firstLine="480" w:firstLineChars="200"/>
        <w:jc w:val="both"/>
        <w:rPr>
          <w:bCs/>
          <w:color w:val="000000"/>
        </w:rPr>
      </w:pPr>
      <w:r>
        <w:rPr>
          <w:bCs/>
          <w:color w:val="000000"/>
        </w:rPr>
        <w:t>A.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>B.</w:t>
      </w:r>
      <w:r>
        <w:t xml:space="preserve"> </w:t>
      </w:r>
    </w:p>
    <w:p>
      <w:pPr>
        <w:spacing w:line="360" w:lineRule="auto"/>
        <w:ind w:firstLine="440" w:firstLineChars="200"/>
        <w:jc w:val="both"/>
        <w:rPr>
          <w:bCs/>
          <w:iCs/>
          <w:sz w:val="22"/>
          <w:szCs w:val="22"/>
          <w:lang w:val="en-US"/>
        </w:rPr>
      </w:pPr>
      <w:r>
        <w:rPr>
          <w:bCs/>
          <w:iCs/>
          <w:sz w:val="22"/>
          <w:szCs w:val="22"/>
          <w:lang w:val="en-US"/>
        </w:rPr>
        <w:drawing>
          <wp:inline distT="0" distB="0" distL="0" distR="0">
            <wp:extent cx="2449195" cy="2623820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27" cy="26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22"/>
          <w:szCs w:val="22"/>
          <w:lang w:val="en-US"/>
        </w:rPr>
        <w:t xml:space="preserve">              </w:t>
      </w:r>
      <w:r>
        <w:rPr>
          <w:bCs/>
          <w:iCs/>
          <w:sz w:val="22"/>
          <w:szCs w:val="22"/>
          <w:lang w:val="en-US"/>
        </w:rPr>
        <w:drawing>
          <wp:inline distT="0" distB="0" distL="0" distR="0">
            <wp:extent cx="2326640" cy="2466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-2953"/>
                    <a:stretch>
                      <a:fillRect/>
                    </a:stretch>
                  </pic:blipFill>
                  <pic:spPr>
                    <a:xfrm>
                      <a:off x="0" y="0"/>
                      <a:ext cx="2327097" cy="24667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bCs/>
          <w:iCs/>
          <w:lang w:val="en-US"/>
        </w:rPr>
      </w:pPr>
      <w:r>
        <w:rPr>
          <w:b/>
        </w:rPr>
        <w:t>Fig S</w:t>
      </w:r>
      <w:r>
        <w:rPr>
          <w:b/>
          <w:lang w:val="en-US"/>
        </w:rPr>
        <w:t>1</w:t>
      </w:r>
      <w:r>
        <w:rPr>
          <w:b/>
        </w:rPr>
        <w:t>.</w:t>
      </w:r>
      <w:r>
        <w:rPr>
          <w:bCs/>
        </w:rPr>
        <w:t xml:space="preserve"> Result of stability analyses </w:t>
      </w:r>
      <w:r>
        <w:rPr>
          <w:bCs/>
          <w:lang w:val="en-US"/>
        </w:rPr>
        <w:t xml:space="preserve">on </w:t>
      </w:r>
      <w:r>
        <w:rPr>
          <w:bCs/>
          <w:color w:val="0E101A"/>
        </w:rPr>
        <w:t>strength and</w:t>
      </w:r>
      <w:r>
        <w:rPr>
          <w:bCs/>
          <w:color w:val="0E101A"/>
          <w:lang w:val="en-US"/>
        </w:rPr>
        <w:t xml:space="preserve"> bridge strength in school network (A) and vacation network (B)</w:t>
      </w:r>
      <w:r>
        <w:rPr>
          <w:bCs/>
          <w:color w:val="000000"/>
          <w:lang w:val="en-US"/>
        </w:rPr>
        <w:t xml:space="preserve">. </w:t>
      </w:r>
      <w:r>
        <w:rPr>
          <w:bCs/>
          <w:color w:val="0E101A"/>
        </w:rPr>
        <w:t>The CS-coefficients for nodal strength and</w:t>
      </w:r>
      <w:r>
        <w:rPr>
          <w:bCs/>
          <w:color w:val="0E101A"/>
          <w:lang w:val="en-US"/>
        </w:rPr>
        <w:t xml:space="preserve"> bridge strength in </w:t>
      </w:r>
      <w:r>
        <w:rPr>
          <w:bCs/>
          <w:iCs/>
          <w:lang w:val="en-US"/>
        </w:rPr>
        <w:t>school</w:t>
      </w:r>
      <w:r>
        <w:rPr>
          <w:bCs/>
          <w:iCs/>
        </w:rPr>
        <w:t xml:space="preserve"> </w:t>
      </w:r>
      <w:r>
        <w:rPr>
          <w:bCs/>
          <w:color w:val="0E101A"/>
          <w:lang w:val="en-US"/>
        </w:rPr>
        <w:t xml:space="preserve">network </w:t>
      </w:r>
      <w:r>
        <w:rPr>
          <w:bCs/>
          <w:color w:val="0E101A"/>
        </w:rPr>
        <w:t xml:space="preserve">were </w:t>
      </w:r>
      <w:r>
        <w:rPr>
          <w:bCs/>
          <w:color w:val="0E101A"/>
          <w:lang w:val="en-US"/>
        </w:rPr>
        <w:t xml:space="preserve">0.75 and 0.67 </w:t>
      </w:r>
      <w:r>
        <w:rPr>
          <w:bCs/>
          <w:color w:val="0E101A"/>
        </w:rPr>
        <w:t>respectively</w:t>
      </w:r>
      <w:r>
        <w:rPr>
          <w:bCs/>
          <w:color w:val="0E101A"/>
          <w:lang w:val="en-US"/>
        </w:rPr>
        <w:t>.</w:t>
      </w:r>
      <w:r>
        <w:rPr>
          <w:bCs/>
          <w:color w:val="0E101A"/>
        </w:rPr>
        <w:t xml:space="preserve"> The CS-coefficients for nodal strength and</w:t>
      </w:r>
      <w:r>
        <w:rPr>
          <w:bCs/>
          <w:color w:val="0E101A"/>
          <w:lang w:val="en-US"/>
        </w:rPr>
        <w:t xml:space="preserve"> bridge strength in </w:t>
      </w:r>
      <w:r>
        <w:rPr>
          <w:bCs/>
          <w:iCs/>
          <w:lang w:val="en-US"/>
        </w:rPr>
        <w:t>vacation</w:t>
      </w:r>
      <w:r>
        <w:rPr>
          <w:bCs/>
          <w:iCs/>
        </w:rPr>
        <w:t xml:space="preserve"> </w:t>
      </w:r>
      <w:r>
        <w:rPr>
          <w:bCs/>
          <w:color w:val="0E101A"/>
          <w:lang w:val="en-US"/>
        </w:rPr>
        <w:t xml:space="preserve">network </w:t>
      </w:r>
      <w:r>
        <w:rPr>
          <w:bCs/>
          <w:color w:val="0E101A"/>
        </w:rPr>
        <w:t>were 0.</w:t>
      </w:r>
      <w:r>
        <w:rPr>
          <w:bCs/>
          <w:color w:val="0E101A"/>
          <w:lang w:val="en-US"/>
        </w:rPr>
        <w:t>75</w:t>
      </w:r>
      <w:r>
        <w:rPr>
          <w:bCs/>
          <w:color w:val="0E101A"/>
        </w:rPr>
        <w:t xml:space="preserve"> and </w:t>
      </w:r>
      <w:r>
        <w:rPr>
          <w:bCs/>
          <w:color w:val="0E101A"/>
          <w:lang w:val="en-US"/>
        </w:rPr>
        <w:t>0.67</w:t>
      </w:r>
      <w:r>
        <w:rPr>
          <w:bCs/>
          <w:color w:val="0E101A"/>
        </w:rPr>
        <w:t xml:space="preserve"> respectively</w:t>
      </w:r>
      <w:r>
        <w:rPr>
          <w:bCs/>
          <w:color w:val="0E101A"/>
          <w:lang w:val="en-US"/>
        </w:rPr>
        <w:t>.</w:t>
      </w:r>
      <w:r>
        <w:rPr>
          <w:bCs/>
          <w:iCs/>
        </w:rPr>
        <w:t xml:space="preserve"> Note: The x-axle indicates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 xml:space="preserve">the </w:t>
      </w:r>
      <w:r>
        <w:rPr>
          <w:bCs/>
          <w:color w:val="000000"/>
        </w:rPr>
        <w:t xml:space="preserve">proportion of cases </w:t>
      </w:r>
      <w:r>
        <w:rPr>
          <w:bCs/>
          <w:color w:val="000000"/>
          <w:lang w:val="en-US"/>
        </w:rPr>
        <w:t xml:space="preserve">included to calculate the centrality indices </w:t>
      </w:r>
      <w:r>
        <w:rPr>
          <w:bCs/>
          <w:iCs/>
        </w:rPr>
        <w:t xml:space="preserve">and the y-axle indicates the </w:t>
      </w:r>
      <w:r>
        <w:rPr>
          <w:bCs/>
          <w:color w:val="000000"/>
        </w:rPr>
        <w:t xml:space="preserve">correlation between </w:t>
      </w:r>
      <w:r>
        <w:rPr>
          <w:bCs/>
          <w:color w:val="000000"/>
          <w:lang w:val="en-US"/>
        </w:rPr>
        <w:t xml:space="preserve">the calculated </w:t>
      </w:r>
      <w:r>
        <w:rPr>
          <w:bCs/>
          <w:color w:val="000000"/>
        </w:rPr>
        <w:t xml:space="preserve">centrality indices </w:t>
      </w:r>
      <w:r>
        <w:rPr>
          <w:bCs/>
          <w:color w:val="000000"/>
          <w:lang w:val="en-US"/>
        </w:rPr>
        <w:t xml:space="preserve">and the </w:t>
      </w:r>
      <w:r>
        <w:rPr>
          <w:bCs/>
          <w:color w:val="000000"/>
        </w:rPr>
        <w:t>original centrality indices</w:t>
      </w:r>
      <w:r>
        <w:rPr>
          <w:bCs/>
          <w:iCs/>
        </w:rPr>
        <w:t>. The dots represent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 xml:space="preserve">the mean value of the </w:t>
      </w:r>
      <w:r>
        <w:rPr>
          <w:bCs/>
          <w:color w:val="000000"/>
          <w:lang w:val="en-US"/>
        </w:rPr>
        <w:t xml:space="preserve">calculated </w:t>
      </w:r>
      <w:r>
        <w:rPr>
          <w:bCs/>
          <w:color w:val="000000"/>
        </w:rPr>
        <w:t xml:space="preserve">centrality indices </w:t>
      </w:r>
      <w:r>
        <w:rPr>
          <w:bCs/>
          <w:iCs/>
        </w:rPr>
        <w:t xml:space="preserve">and the </w:t>
      </w:r>
      <w:r>
        <w:rPr>
          <w:bCs/>
          <w:iCs/>
          <w:lang w:val="en-US"/>
        </w:rPr>
        <w:t xml:space="preserve">colored plates </w:t>
      </w:r>
      <w:r>
        <w:rPr>
          <w:bCs/>
          <w:iCs/>
        </w:rPr>
        <w:t>represent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>the 95% confidence intervals of the bootstrapped sample.</w:t>
      </w:r>
    </w:p>
    <w:bookmarkEnd w:id="0"/>
    <w:p>
      <w:pPr>
        <w:spacing w:line="360" w:lineRule="auto"/>
        <w:jc w:val="both"/>
        <w:rPr>
          <w:bCs/>
          <w:color w:val="000000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jc w:val="both"/>
        <w:rPr>
          <w:bCs/>
          <w:color w:val="000000"/>
          <w:lang w:val="en-US"/>
        </w:rPr>
      </w:pPr>
      <w:r>
        <w:rPr>
          <w:bCs/>
          <w:color w:val="000000"/>
        </w:rPr>
        <w:t xml:space="preserve">Supplementary Figure </w:t>
      </w:r>
      <w:r>
        <w:rPr>
          <w:bCs/>
          <w:color w:val="000000"/>
          <w:lang w:val="en-US"/>
        </w:rPr>
        <w:t>2</w:t>
      </w:r>
    </w:p>
    <w:p>
      <w:pPr>
        <w:jc w:val="both"/>
        <w:rPr>
          <w:bCs/>
          <w:color w:val="000000"/>
        </w:rPr>
      </w:pPr>
      <w:r>
        <w:rPr>
          <w:bCs/>
          <w:color w:val="000000"/>
        </w:rPr>
        <w:t>A.</w:t>
      </w:r>
    </w:p>
    <w:p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  </w:t>
      </w:r>
      <w:r>
        <w:drawing>
          <wp:inline distT="0" distB="0" distL="0" distR="0">
            <wp:extent cx="4730115" cy="2882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/>
                    <a:srcRect t="2338"/>
                    <a:stretch>
                      <a:fillRect/>
                    </a:stretch>
                  </pic:blipFill>
                  <pic:spPr>
                    <a:xfrm>
                      <a:off x="0" y="0"/>
                      <a:ext cx="4758541" cy="2900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"http://127.0.0.1:8238/graphics/plot_zoom_png?width=1496&amp;height=934" \* MERGEFORMATINET </w:instrText>
      </w:r>
      <w:r>
        <w:fldChar w:fldCharType="separate"/>
      </w:r>
      <w:r>
        <w:fldChar w:fldCharType="end"/>
      </w:r>
    </w:p>
    <w:p>
      <w:pPr>
        <w:jc w:val="both"/>
        <w:rPr>
          <w:bCs/>
          <w:lang w:val="en-US"/>
        </w:rPr>
      </w:pPr>
      <w:r>
        <w:rPr>
          <w:bCs/>
          <w:lang w:val="en-US"/>
        </w:rPr>
        <w:t>B.</w:t>
      </w:r>
    </w:p>
    <w:p>
      <w:pPr>
        <w:spacing w:line="360" w:lineRule="auto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drawing>
          <wp:inline distT="0" distB="0" distL="0" distR="0">
            <wp:extent cx="4730115" cy="28035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7"/>
                    <a:srcRect t="2338" b="2682"/>
                    <a:stretch>
                      <a:fillRect/>
                    </a:stretch>
                  </pic:blipFill>
                  <pic:spPr>
                    <a:xfrm>
                      <a:off x="0" y="0"/>
                      <a:ext cx="4781619" cy="28341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bCs/>
          <w:iCs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  <w:r>
        <w:rPr>
          <w:b/>
        </w:rPr>
        <w:t>Fig S</w:t>
      </w:r>
      <w:r>
        <w:rPr>
          <w:b/>
          <w:lang w:val="en-US"/>
        </w:rPr>
        <w:t>2</w:t>
      </w:r>
      <w:r>
        <w:rPr>
          <w:b/>
        </w:rPr>
        <w:t>.</w:t>
      </w:r>
      <w:r>
        <w:rPr>
          <w:bCs/>
        </w:rPr>
        <w:t xml:space="preserve"> Result of edge stability analyses </w:t>
      </w:r>
      <w:r>
        <w:rPr>
          <w:bCs/>
          <w:color w:val="000000"/>
        </w:rPr>
        <w:t>in</w:t>
      </w:r>
      <w:r>
        <w:rPr>
          <w:bCs/>
          <w:color w:val="000000"/>
          <w:lang w:val="en-US"/>
        </w:rPr>
        <w:t xml:space="preserve"> </w:t>
      </w:r>
      <w:r>
        <w:rPr>
          <w:bCs/>
          <w:color w:val="0E101A"/>
          <w:lang w:val="en-US"/>
        </w:rPr>
        <w:t>school network (A) and vacation network (B)</w:t>
      </w:r>
      <w:r>
        <w:rPr>
          <w:bCs/>
        </w:rPr>
        <w:t>.</w:t>
      </w:r>
      <w:r>
        <w:rPr>
          <w:bCs/>
          <w:sz w:val="28"/>
          <w:szCs w:val="28"/>
        </w:rPr>
        <w:t xml:space="preserve"> </w:t>
      </w:r>
      <w:r>
        <w:rPr>
          <w:bCs/>
        </w:rPr>
        <w:t xml:space="preserve">Stability analyses revealed that bootstrapping CIs of the edge-weights were stable in </w:t>
      </w:r>
      <w:r>
        <w:rPr>
          <w:bCs/>
          <w:lang w:val="en-US"/>
        </w:rPr>
        <w:t>both</w:t>
      </w:r>
      <w:r>
        <w:rPr>
          <w:bCs/>
        </w:rPr>
        <w:t xml:space="preserve"> network</w:t>
      </w:r>
      <w:r>
        <w:rPr>
          <w:bCs/>
          <w:lang w:val="en-US"/>
        </w:rPr>
        <w:t>s</w:t>
      </w:r>
      <w:r>
        <w:rPr>
          <w:bCs/>
        </w:rPr>
        <w:t>.</w:t>
      </w:r>
      <w:r>
        <w:rPr>
          <w:bCs/>
          <w:color w:val="000000"/>
        </w:rPr>
        <w:t xml:space="preserve"> </w:t>
      </w:r>
      <w:r>
        <w:rPr>
          <w:bCs/>
          <w:iCs/>
        </w:rPr>
        <w:t>Note: The x-axle indicates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 xml:space="preserve">the edge weights and the y-axle indicates </w:t>
      </w:r>
      <w:r>
        <w:rPr>
          <w:bCs/>
          <w:iCs/>
          <w:lang w:val="en-US"/>
        </w:rPr>
        <w:t>each</w:t>
      </w:r>
      <w:r>
        <w:rPr>
          <w:bCs/>
          <w:iCs/>
        </w:rPr>
        <w:t xml:space="preserve"> edge. The black dots represent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>the mean value of the bootstrapped edge weights and the red dots represent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 xml:space="preserve">the edge weights from </w:t>
      </w:r>
      <w:r>
        <w:rPr>
          <w:bCs/>
          <w:iCs/>
          <w:lang w:val="en-US"/>
        </w:rPr>
        <w:t>the original</w:t>
      </w:r>
      <w:r>
        <w:rPr>
          <w:bCs/>
          <w:iCs/>
        </w:rPr>
        <w:t xml:space="preserve"> sample. The black lines represent</w:t>
      </w:r>
      <w:r>
        <w:rPr>
          <w:bCs/>
          <w:iCs/>
          <w:lang w:val="en-US"/>
        </w:rPr>
        <w:t xml:space="preserve"> </w:t>
      </w:r>
      <w:r>
        <w:rPr>
          <w:bCs/>
          <w:iCs/>
        </w:rPr>
        <w:t>the 95% confidence intervals of the bootstrapped sample.</w:t>
      </w:r>
    </w:p>
    <w:p>
      <w:pPr>
        <w:tabs>
          <w:tab w:val="left" w:pos="2038"/>
        </w:tabs>
        <w:spacing w:line="360" w:lineRule="auto"/>
        <w:rPr>
          <w:rFonts w:ascii="Times" w:hAnsi="Times"/>
          <w:bCs/>
          <w:color w:val="000000"/>
          <w:lang w:val="en-US"/>
        </w:rPr>
      </w:pPr>
      <w:r>
        <w:rPr>
          <w:rFonts w:ascii="Times" w:hAnsi="Times"/>
          <w:bCs/>
          <w:color w:val="000000"/>
        </w:rPr>
        <w:t xml:space="preserve">Supplementary Figure </w:t>
      </w:r>
      <w:r>
        <w:rPr>
          <w:rFonts w:ascii="Times" w:hAnsi="Times"/>
          <w:bCs/>
          <w:color w:val="000000"/>
          <w:lang w:val="en-US"/>
        </w:rPr>
        <w:t>3</w:t>
      </w:r>
    </w:p>
    <w:p>
      <w:pPr>
        <w:tabs>
          <w:tab w:val="left" w:pos="2038"/>
        </w:tabs>
        <w:rPr>
          <w:rFonts w:ascii="Times" w:hAnsi="Times" w:cs="Arial"/>
          <w:bCs/>
          <w:iCs/>
          <w:sz w:val="22"/>
          <w:szCs w:val="22"/>
          <w:lang w:val="en-US"/>
        </w:rPr>
      </w:pPr>
      <w:r>
        <w:rPr>
          <w:rFonts w:ascii="Times" w:hAnsi="Times"/>
          <w:bCs/>
          <w:color w:val="000000"/>
        </w:rPr>
        <w:t>A.</w:t>
      </w:r>
    </w:p>
    <w:p>
      <w:pPr>
        <w:tabs>
          <w:tab w:val="left" w:pos="2038"/>
        </w:tabs>
        <w:rPr>
          <w:rFonts w:ascii="Times" w:hAnsi="Times"/>
          <w:bCs/>
          <w:color w:val="000000"/>
        </w:rPr>
      </w:pPr>
      <w:r>
        <w:rPr>
          <w:rFonts w:hint="eastAsia" w:ascii="Times" w:hAnsi="Times"/>
          <w:bCs/>
          <w:color w:val="000000"/>
        </w:rPr>
        <w:drawing>
          <wp:inline distT="0" distB="0" distL="0" distR="0">
            <wp:extent cx="5943600" cy="3077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" w:hAnsi="Times"/>
          <w:bCs/>
          <w:color w:val="000000"/>
        </w:rPr>
        <w:t>B</w:t>
      </w:r>
      <w:r>
        <w:rPr>
          <w:rFonts w:ascii="Times" w:hAnsi="Times"/>
          <w:bCs/>
          <w:color w:val="000000"/>
        </w:rPr>
        <w:t>.</w:t>
      </w:r>
    </w:p>
    <w:p>
      <w:pPr>
        <w:tabs>
          <w:tab w:val="left" w:pos="2038"/>
        </w:tabs>
        <w:spacing w:line="360" w:lineRule="auto"/>
        <w:rPr>
          <w:rFonts w:ascii="Times" w:hAnsi="Times"/>
          <w:bCs/>
          <w:color w:val="000000"/>
        </w:rPr>
      </w:pPr>
      <w:r>
        <w:rPr>
          <w:rFonts w:hint="eastAsia" w:ascii="Times" w:hAnsi="Times"/>
          <w:bCs/>
          <w:color w:val="000000"/>
        </w:rPr>
        <w:drawing>
          <wp:inline distT="0" distB="0" distL="0" distR="0">
            <wp:extent cx="5943600" cy="29508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Arial"/>
          <w:b/>
          <w:iCs/>
        </w:rPr>
        <w:t>Fig S</w:t>
      </w:r>
      <w:r>
        <w:rPr>
          <w:rFonts w:ascii="Times" w:hAnsi="Times" w:cs="Arial"/>
          <w:b/>
          <w:iCs/>
          <w:lang w:val="en-US"/>
        </w:rPr>
        <w:t>3</w:t>
      </w:r>
      <w:r>
        <w:rPr>
          <w:rFonts w:ascii="Times" w:hAnsi="Times" w:cs="Arial"/>
          <w:b/>
          <w:iCs/>
        </w:rPr>
        <w:t>.</w:t>
      </w:r>
      <w:r>
        <w:rPr>
          <w:rFonts w:ascii="Times" w:hAnsi="Times" w:cs="Arial"/>
          <w:bCs/>
          <w:iCs/>
        </w:rPr>
        <w:t xml:space="preserve"> Result of difference tests for </w:t>
      </w:r>
      <w:r>
        <w:rPr>
          <w:bCs/>
          <w:color w:val="0E101A"/>
        </w:rPr>
        <w:t xml:space="preserve">nodal strength and bridge strength </w:t>
      </w:r>
      <w:r>
        <w:rPr>
          <w:rFonts w:ascii="Times" w:hAnsi="Times" w:cs="Arial"/>
          <w:bCs/>
          <w:iCs/>
        </w:rPr>
        <w:t xml:space="preserve">in </w:t>
      </w:r>
      <w:r>
        <w:rPr>
          <w:bCs/>
          <w:color w:val="000000"/>
          <w:lang w:val="en-US"/>
        </w:rPr>
        <w:t>school</w:t>
      </w:r>
      <w:r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network</w:t>
      </w:r>
      <w:r>
        <w:rPr>
          <w:bCs/>
          <w:color w:val="000000"/>
        </w:rPr>
        <w:t xml:space="preserve"> (A)</w:t>
      </w:r>
      <w:r>
        <w:rPr>
          <w:bCs/>
          <w:color w:val="000000"/>
          <w:lang w:val="en-US"/>
        </w:rPr>
        <w:t xml:space="preserve"> and vacation network</w:t>
      </w:r>
      <w:r>
        <w:rPr>
          <w:bCs/>
          <w:color w:val="000000"/>
        </w:rPr>
        <w:t xml:space="preserve"> (B)</w:t>
      </w:r>
      <w:r>
        <w:rPr>
          <w:bCs/>
        </w:rPr>
        <w:t>.</w:t>
      </w:r>
      <w:r>
        <w:rPr>
          <w:rFonts w:ascii="Times" w:hAnsi="Times"/>
          <w:bCs/>
          <w:color w:val="000000"/>
          <w:lang w:val="en-US"/>
        </w:rPr>
        <w:t xml:space="preserve">   </w:t>
      </w:r>
    </w:p>
    <w:p>
      <w:pPr>
        <w:spacing w:line="360" w:lineRule="auto"/>
        <w:ind w:firstLine="480" w:firstLineChars="200"/>
        <w:jc w:val="both"/>
        <w:rPr>
          <w:bCs/>
          <w:iCs/>
        </w:rPr>
      </w:pPr>
      <w:r>
        <w:rPr>
          <w:bCs/>
          <w:iCs/>
        </w:rPr>
        <w:t xml:space="preserve"> </w:t>
      </w:r>
    </w:p>
    <w:p>
      <w:pPr>
        <w:spacing w:line="360" w:lineRule="auto"/>
        <w:ind w:firstLine="480" w:firstLineChars="200"/>
        <w:jc w:val="both"/>
        <w:rPr>
          <w:bCs/>
          <w:color w:val="000000"/>
          <w:lang w:val="en-US"/>
        </w:rPr>
      </w:pPr>
    </w:p>
    <w:p>
      <w:pPr>
        <w:spacing w:line="360" w:lineRule="auto"/>
        <w:rPr>
          <w:rFonts w:ascii="Times" w:hAnsi="Times"/>
          <w:bCs/>
          <w:color w:val="000000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rPr>
          <w:rFonts w:ascii="Times" w:hAnsi="Times"/>
          <w:bCs/>
          <w:color w:val="000000"/>
          <w:lang w:val="en-US"/>
        </w:rPr>
      </w:pPr>
      <w:r>
        <w:rPr>
          <w:rFonts w:ascii="Times" w:hAnsi="Times"/>
          <w:bCs/>
          <w:color w:val="000000"/>
        </w:rPr>
        <w:t xml:space="preserve">Supplementary Figure </w:t>
      </w:r>
      <w:r>
        <w:rPr>
          <w:rFonts w:ascii="Times" w:hAnsi="Times"/>
          <w:bCs/>
          <w:color w:val="000000"/>
          <w:lang w:val="en-US"/>
        </w:rPr>
        <w:t>4</w:t>
      </w:r>
    </w:p>
    <w:p>
      <w:pPr>
        <w:spacing w:line="360" w:lineRule="auto"/>
      </w:pPr>
      <w:r>
        <w:rPr>
          <w:rFonts w:ascii="Times" w:hAnsi="Times"/>
          <w:bCs/>
          <w:color w:val="000000"/>
        </w:rPr>
        <w:t>A.</w:t>
      </w:r>
      <w:r>
        <w:t xml:space="preserve"> </w:t>
      </w:r>
    </w:p>
    <w:p>
      <w:pPr>
        <w:spacing w:line="360" w:lineRule="auto"/>
        <w:rPr>
          <w:lang w:val="en-US"/>
        </w:rPr>
      </w:pPr>
      <w:r>
        <w:drawing>
          <wp:inline distT="0" distB="0" distL="0" distR="0">
            <wp:extent cx="8229600" cy="5118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82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" w:hAnsi="Times" w:cs="Arial"/>
          <w:bCs/>
          <w:iCs/>
          <w:sz w:val="22"/>
          <w:szCs w:val="22"/>
        </w:rPr>
      </w:pPr>
      <w:r>
        <w:rPr>
          <w:rFonts w:ascii="Times" w:hAnsi="Times" w:cs="Arial"/>
          <w:bCs/>
          <w:iCs/>
          <w:sz w:val="22"/>
          <w:szCs w:val="22"/>
        </w:rPr>
        <w:t xml:space="preserve"> </w:t>
      </w:r>
    </w:p>
    <w:p>
      <w:pPr>
        <w:spacing w:line="360" w:lineRule="auto"/>
      </w:pPr>
      <w:r>
        <w:rPr>
          <w:rFonts w:hint="eastAsia" w:ascii="Times" w:hAnsi="Times"/>
          <w:bCs/>
          <w:color w:val="000000"/>
        </w:rPr>
        <w:t>B</w:t>
      </w:r>
      <w:r>
        <w:rPr>
          <w:rFonts w:ascii="Times" w:hAnsi="Times"/>
          <w:bCs/>
          <w:color w:val="000000"/>
        </w:rPr>
        <w:t>.</w:t>
      </w:r>
      <w:r>
        <w:t xml:space="preserve"> </w:t>
      </w:r>
      <w:r>
        <w:drawing>
          <wp:inline distT="0" distB="0" distL="0" distR="0">
            <wp:extent cx="8229600" cy="51149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38"/>
        </w:tabs>
        <w:spacing w:line="360" w:lineRule="auto"/>
        <w:jc w:val="both"/>
        <w:rPr>
          <w:rFonts w:ascii="Times" w:hAnsi="Times" w:cs="Arial"/>
          <w:bCs/>
          <w:iCs/>
          <w:sz w:val="24"/>
          <w:szCs w:val="24"/>
          <w:lang w:val="en-US"/>
        </w:rPr>
        <w:sectPr>
          <w:pgSz w:w="15840" w:h="12240" w:orient="landscape"/>
          <w:pgMar w:top="1440" w:right="1440" w:bottom="1440" w:left="1440" w:header="708" w:footer="708" w:gutter="0"/>
          <w:cols w:space="708" w:num="1"/>
          <w:docGrid w:linePitch="360" w:charSpace="0"/>
        </w:sectPr>
      </w:pPr>
      <w:r>
        <w:rPr>
          <w:b/>
        </w:rPr>
        <w:t>Fig S</w:t>
      </w:r>
      <w:r>
        <w:rPr>
          <w:b/>
          <w:lang w:val="en-US"/>
        </w:rPr>
        <w:t>4</w:t>
      </w:r>
      <w:r>
        <w:rPr>
          <w:b/>
        </w:rPr>
        <w:t>.</w:t>
      </w:r>
      <w:r>
        <w:rPr>
          <w:bCs/>
        </w:rPr>
        <w:t xml:space="preserve"> Result of </w:t>
      </w:r>
      <w:r>
        <w:rPr>
          <w:bCs/>
          <w:color w:val="0E101A"/>
        </w:rPr>
        <w:t xml:space="preserve">difference tests for </w:t>
      </w:r>
      <w:r>
        <w:rPr>
          <w:bCs/>
          <w:color w:val="0E101A"/>
          <w:lang w:val="en-US"/>
        </w:rPr>
        <w:t>e</w:t>
      </w:r>
      <w:r>
        <w:rPr>
          <w:bCs/>
          <w:color w:val="0E101A"/>
        </w:rPr>
        <w:t>dge weight</w:t>
      </w:r>
      <w:r>
        <w:rPr>
          <w:bCs/>
          <w:color w:val="0E101A"/>
          <w:lang w:val="en-US"/>
        </w:rPr>
        <w:t xml:space="preserve"> </w:t>
      </w:r>
      <w:r>
        <w:rPr>
          <w:rFonts w:ascii="Times" w:hAnsi="Times"/>
          <w:bCs/>
          <w:color w:val="000000"/>
        </w:rPr>
        <w:t xml:space="preserve">in </w:t>
      </w:r>
      <w:r>
        <w:rPr>
          <w:bCs/>
          <w:color w:val="000000"/>
          <w:lang w:val="en-US"/>
        </w:rPr>
        <w:t>school</w:t>
      </w:r>
      <w:r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network</w:t>
      </w:r>
      <w:r>
        <w:rPr>
          <w:bCs/>
          <w:color w:val="000000"/>
        </w:rPr>
        <w:t xml:space="preserve"> (A)</w:t>
      </w:r>
      <w:r>
        <w:rPr>
          <w:bCs/>
          <w:color w:val="000000"/>
          <w:lang w:val="en-US"/>
        </w:rPr>
        <w:t xml:space="preserve"> and vacation network</w:t>
      </w:r>
      <w:r>
        <w:rPr>
          <w:bCs/>
          <w:color w:val="000000"/>
        </w:rPr>
        <w:t xml:space="preserve"> (B)</w:t>
      </w:r>
      <w:r>
        <w:rPr>
          <w:bCs/>
        </w:rPr>
        <w:t>.</w:t>
      </w:r>
      <w:r>
        <w:rPr>
          <w:rFonts w:ascii="Times" w:hAnsi="Times"/>
          <w:bCs/>
          <w:color w:val="000000"/>
          <w:lang w:val="en-US"/>
        </w:rPr>
        <w:t xml:space="preserve">   </w:t>
      </w:r>
    </w:p>
    <w:p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cs="Times New Roman"/>
          <w:sz w:val="24"/>
          <w:szCs w:val="24"/>
          <w:lang w:val="en-US"/>
        </w:rPr>
        <w:t xml:space="preserve">Supplementary Figure </w:t>
      </w:r>
      <w:r>
        <w:rPr>
          <w:rFonts w:hint="default" w:cs="Times New Roman"/>
          <w:color w:val="0070C0"/>
          <w:sz w:val="24"/>
          <w:szCs w:val="24"/>
          <w:lang w:val="en-US"/>
        </w:rPr>
        <w:t>5</w:t>
      </w:r>
    </w:p>
    <w:p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drawing>
          <wp:inline distT="0" distB="0" distL="0" distR="0">
            <wp:extent cx="5728970" cy="355155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49" cy="35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 </w:t>
      </w:r>
      <w:r>
        <w:rPr>
          <w:rFonts w:hint="default" w:cs="Times New Roman"/>
          <w:b/>
          <w:bCs/>
          <w:sz w:val="24"/>
          <w:szCs w:val="24"/>
          <w:lang w:val="en-US"/>
        </w:rPr>
        <w:t>S</w:t>
      </w:r>
      <w:r>
        <w:rPr>
          <w:rFonts w:hint="default" w:cs="Times New Roman"/>
          <w:b/>
          <w:bCs/>
          <w:color w:val="0070C0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Nodal strength and bridge strength estimated for the depression and anxiety symptoms during school (A) and vacation (B).</w:t>
      </w:r>
    </w:p>
    <w:p>
      <w:pPr>
        <w:tabs>
          <w:tab w:val="left" w:pos="2038"/>
        </w:tabs>
        <w:spacing w:line="360" w:lineRule="auto"/>
        <w:rPr>
          <w:rFonts w:ascii="Times" w:hAnsi="Times"/>
          <w:bCs/>
          <w:color w:val="000000"/>
          <w:lang w:val="en-US"/>
        </w:rPr>
      </w:pPr>
    </w:p>
    <w:p>
      <w:pPr>
        <w:rPr>
          <w:rFonts w:ascii="Times" w:hAnsi="Times"/>
          <w:bCs/>
          <w:color w:val="000000"/>
        </w:rPr>
      </w:pPr>
      <w:r>
        <w:rPr>
          <w:rFonts w:ascii="Times" w:hAnsi="Times"/>
          <w:bCs/>
          <w:color w:val="000000"/>
        </w:rPr>
        <w:br w:type="page"/>
      </w:r>
    </w:p>
    <w:p>
      <w:pPr>
        <w:tabs>
          <w:tab w:val="left" w:pos="2038"/>
        </w:tabs>
        <w:spacing w:line="360" w:lineRule="auto"/>
        <w:rPr>
          <w:rFonts w:hint="default" w:ascii="Times" w:hAnsi="Times"/>
          <w:bCs/>
          <w:color w:val="000000"/>
          <w:lang w:val="en-US"/>
        </w:rPr>
      </w:pPr>
      <w:r>
        <w:rPr>
          <w:rFonts w:ascii="Times" w:hAnsi="Times"/>
          <w:bCs/>
          <w:color w:val="000000"/>
        </w:rPr>
        <w:t xml:space="preserve">Supplementary Figure </w:t>
      </w:r>
      <w:r>
        <w:rPr>
          <w:rFonts w:hint="default" w:ascii="Times" w:hAnsi="Times"/>
          <w:bCs/>
          <w:color w:val="0070C0"/>
          <w:lang w:val="en-US"/>
        </w:rPr>
        <w:t>6</w:t>
      </w:r>
    </w:p>
    <w:p>
      <w:pPr>
        <w:tabs>
          <w:tab w:val="left" w:pos="2038"/>
        </w:tabs>
        <w:spacing w:line="360" w:lineRule="auto"/>
        <w:rPr>
          <w:bCs/>
          <w:iCs/>
          <w:sz w:val="22"/>
          <w:szCs w:val="22"/>
          <w:lang w:val="en-US"/>
        </w:rPr>
      </w:pPr>
      <w:r>
        <w:rPr>
          <w:bCs/>
          <w:iCs/>
          <w:sz w:val="22"/>
          <w:szCs w:val="22"/>
          <w:lang w:val="en-US"/>
        </w:rPr>
        <w:drawing>
          <wp:inline distT="0" distB="0" distL="0" distR="0">
            <wp:extent cx="5943600" cy="3469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38"/>
        </w:tabs>
        <w:spacing w:line="360" w:lineRule="auto"/>
        <w:rPr>
          <w:rFonts w:ascii="Times" w:hAnsi="Times"/>
          <w:bCs/>
          <w:color w:val="000000"/>
          <w:lang w:val="en-US"/>
        </w:rPr>
      </w:pPr>
      <w:r>
        <w:rPr>
          <w:rFonts w:ascii="Times New Roman Bold" w:hAnsi="Times New Roman Bold" w:cs="Times New Roman Bold"/>
          <w:b/>
          <w:bCs w:val="0"/>
          <w:iCs/>
          <w:sz w:val="22"/>
          <w:szCs w:val="22"/>
        </w:rPr>
        <w:t>Fig S</w:t>
      </w:r>
      <w:r>
        <w:rPr>
          <w:rFonts w:hint="default" w:ascii="Times New Roman Bold" w:hAnsi="Times New Roman Bold" w:cs="Times New Roman Bold"/>
          <w:b/>
          <w:bCs w:val="0"/>
          <w:iCs/>
          <w:color w:val="0070C0"/>
          <w:sz w:val="22"/>
          <w:szCs w:val="22"/>
          <w:lang w:val="en-US"/>
        </w:rPr>
        <w:t>6</w:t>
      </w:r>
      <w:r>
        <w:rPr>
          <w:rFonts w:hint="default"/>
          <w:bCs/>
          <w:iCs/>
          <w:sz w:val="22"/>
          <w:szCs w:val="22"/>
          <w:lang w:val="en-US"/>
        </w:rPr>
        <w:t>.</w:t>
      </w:r>
      <w:r>
        <w:rPr>
          <w:bCs/>
          <w:iCs/>
        </w:rPr>
        <w:t xml:space="preserve"> </w:t>
      </w:r>
      <w:r>
        <w:rPr>
          <w:bCs/>
          <w:iCs/>
          <w:lang w:val="en-US"/>
        </w:rPr>
        <w:t>E</w:t>
      </w:r>
      <w:r>
        <w:rPr>
          <w:color w:val="0E101A"/>
          <w:lang w:val="en-US"/>
        </w:rPr>
        <w:t>stimated</w:t>
      </w:r>
      <w:r>
        <w:rPr>
          <w:color w:val="0E101A"/>
        </w:rPr>
        <w:t xml:space="preserve"> network</w:t>
      </w:r>
      <w:r>
        <w:rPr>
          <w:color w:val="0E101A"/>
          <w:lang w:val="en-US"/>
        </w:rPr>
        <w:t>s</w:t>
      </w:r>
      <w:r>
        <w:rPr>
          <w:color w:val="0E101A"/>
        </w:rPr>
        <w:t xml:space="preserve"> after controlling for covariates </w:t>
      </w:r>
      <w:r>
        <w:rPr>
          <w:bCs/>
          <w:iCs/>
        </w:rPr>
        <w:t xml:space="preserve">in </w:t>
      </w:r>
      <w:r>
        <w:rPr>
          <w:bCs/>
          <w:color w:val="000000"/>
          <w:lang w:val="en-US"/>
        </w:rPr>
        <w:t>school</w:t>
      </w:r>
      <w:r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network</w:t>
      </w:r>
      <w:r>
        <w:rPr>
          <w:bCs/>
          <w:color w:val="000000"/>
        </w:rPr>
        <w:t xml:space="preserve"> (A)</w:t>
      </w:r>
      <w:r>
        <w:rPr>
          <w:bCs/>
          <w:color w:val="000000"/>
          <w:lang w:val="en-US"/>
        </w:rPr>
        <w:t xml:space="preserve"> and vacation network</w:t>
      </w:r>
      <w:r>
        <w:rPr>
          <w:bCs/>
          <w:color w:val="000000"/>
        </w:rPr>
        <w:t xml:space="preserve"> (B)</w:t>
      </w:r>
      <w:r>
        <w:rPr>
          <w:bCs/>
        </w:rPr>
        <w:t>.</w:t>
      </w:r>
      <w:r>
        <w:rPr>
          <w:rFonts w:ascii="Times" w:hAnsi="Times"/>
          <w:bCs/>
          <w:color w:val="000000"/>
          <w:lang w:val="en-US"/>
        </w:rPr>
        <w:t xml:space="preserve">    </w:t>
      </w:r>
    </w:p>
    <w:p>
      <w:pPr>
        <w:rPr>
          <w:rFonts w:ascii="Times" w:hAnsi="Times"/>
          <w:bCs/>
          <w:color w:val="000000"/>
          <w:lang w:val="en-US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  <w:r>
        <w:rPr>
          <w:rFonts w:ascii="Times" w:hAnsi="Times"/>
          <w:bCs/>
          <w:color w:val="000000"/>
          <w:lang w:val="en-US"/>
        </w:rPr>
        <w:br w:type="page"/>
      </w:r>
    </w:p>
    <w:p>
      <w:pPr>
        <w:tabs>
          <w:tab w:val="left" w:pos="2038"/>
        </w:tabs>
        <w:spacing w:line="360" w:lineRule="auto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Table S1. Questionnaires and </w:t>
      </w:r>
      <w:r>
        <w:rPr>
          <w:rFonts w:eastAsiaTheme="minorEastAsia"/>
          <w:bCs/>
          <w:lang w:val="en-US"/>
        </w:rPr>
        <w:t>items</w:t>
      </w:r>
      <w:r>
        <w:rPr>
          <w:rFonts w:eastAsiaTheme="minorEastAsia"/>
          <w:bCs/>
        </w:rPr>
        <w:t xml:space="preserve"> </w:t>
      </w:r>
      <w:r>
        <w:rPr>
          <w:rFonts w:eastAsiaTheme="minorEastAsia"/>
          <w:bCs/>
          <w:lang w:val="en-US"/>
        </w:rPr>
        <w:t>u</w:t>
      </w:r>
      <w:r>
        <w:rPr>
          <w:rFonts w:eastAsiaTheme="minorEastAsia"/>
          <w:bCs/>
        </w:rPr>
        <w:t xml:space="preserve">sed </w:t>
      </w:r>
      <w:r>
        <w:rPr>
          <w:rFonts w:eastAsiaTheme="minorEastAsia"/>
          <w:bCs/>
          <w:lang w:val="en-US"/>
        </w:rPr>
        <w:t>psychological</w:t>
      </w:r>
      <w:r>
        <w:rPr>
          <w:rFonts w:eastAsiaTheme="minorEastAsia"/>
          <w:bCs/>
        </w:rPr>
        <w:t xml:space="preserve"> </w:t>
      </w:r>
      <w:r>
        <w:rPr>
          <w:rFonts w:eastAsiaTheme="minorEastAsia"/>
          <w:bCs/>
          <w:lang w:val="en-US"/>
        </w:rPr>
        <w:t>assessments</w:t>
      </w:r>
      <w:r>
        <w:rPr>
          <w:rFonts w:eastAsiaTheme="minorEastAsia"/>
          <w:bCs/>
        </w:rPr>
        <w:t xml:space="preserve"> </w:t>
      </w:r>
    </w:p>
    <w:tbl>
      <w:tblPr>
        <w:tblStyle w:val="34"/>
        <w:tblW w:w="5000" w:type="pct"/>
        <w:tblInd w:w="0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1544"/>
        <w:gridCol w:w="1683"/>
        <w:gridCol w:w="5422"/>
      </w:tblGrid>
      <w:tr>
        <w:trPr>
          <w:trHeight w:val="20" w:hRule="atLeast"/>
        </w:trPr>
        <w:tc>
          <w:tcPr>
            <w:tcW w:w="484" w:type="pct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  <w:r>
              <w:rPr>
                <w:rFonts w:eastAsia="等线"/>
                <w:b w:val="0"/>
                <w:bCs/>
                <w:color w:val="000000"/>
                <w:lang w:val="en-US"/>
              </w:rPr>
              <w:t>Scale</w:t>
            </w:r>
          </w:p>
        </w:tc>
        <w:tc>
          <w:tcPr>
            <w:tcW w:w="806" w:type="pct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/>
                <w:bCs/>
                <w:color w:val="000000"/>
              </w:rPr>
            </w:pPr>
            <w:r>
              <w:rPr>
                <w:rFonts w:eastAsia="等线"/>
                <w:b w:val="0"/>
                <w:bCs/>
                <w:color w:val="000000"/>
                <w:lang w:val="en-US"/>
              </w:rPr>
              <w:t xml:space="preserve">Node </w:t>
            </w:r>
            <w:r>
              <w:rPr>
                <w:rFonts w:eastAsia="等线"/>
                <w:b w:val="0"/>
                <w:bCs/>
                <w:color w:val="000000"/>
              </w:rPr>
              <w:t>Reference Name</w:t>
            </w:r>
          </w:p>
        </w:tc>
        <w:tc>
          <w:tcPr>
            <w:tcW w:w="879" w:type="pct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  <w:r>
              <w:rPr>
                <w:rFonts w:eastAsia="等线"/>
                <w:b w:val="0"/>
                <w:bCs/>
                <w:color w:val="000000"/>
              </w:rPr>
              <w:t>Item (Abbreviation)</w:t>
            </w:r>
          </w:p>
        </w:tc>
        <w:tc>
          <w:tcPr>
            <w:tcW w:w="2831" w:type="pct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  <w:r>
              <w:rPr>
                <w:rFonts w:eastAsia="等线"/>
                <w:b w:val="0"/>
                <w:bCs/>
                <w:color w:val="000000"/>
              </w:rPr>
              <w:t>Item</w:t>
            </w:r>
            <w:r>
              <w:rPr>
                <w:rFonts w:eastAsia="等线"/>
                <w:b w:val="0"/>
                <w:bCs/>
                <w:color w:val="000000"/>
                <w:lang w:val="en-US"/>
              </w:rPr>
              <w:t xml:space="preserve"> content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  <w:r>
              <w:rPr>
                <w:rFonts w:eastAsia="等线"/>
                <w:b w:val="0"/>
                <w:bCs/>
                <w:color w:val="000000"/>
                <w:lang w:val="en-US"/>
              </w:rPr>
              <w:t>PHQ-9</w:t>
            </w: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Anhedonia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Anhedonia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1. </w:t>
            </w:r>
            <w:r>
              <w:rPr>
                <w:rFonts w:eastAsia="等线"/>
                <w:color w:val="000000"/>
              </w:rPr>
              <w:t>Little interest or pleasure in doing things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>Sad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Sad Mood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2. </w:t>
            </w:r>
            <w:r>
              <w:rPr>
                <w:rFonts w:eastAsia="等线"/>
                <w:color w:val="000000"/>
              </w:rPr>
              <w:t>Feeling down, depressed, or hopeless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Sleep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Sleep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3. </w:t>
            </w:r>
            <w:r>
              <w:rPr>
                <w:rFonts w:eastAsia="等线"/>
                <w:color w:val="000000"/>
              </w:rPr>
              <w:t>Trouble falling or staying asleep, or sleeping too much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Energy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Energy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4. </w:t>
            </w:r>
            <w:r>
              <w:rPr>
                <w:rFonts w:eastAsia="等线"/>
                <w:color w:val="000000"/>
              </w:rPr>
              <w:t>Feeling tired or having little energy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Appetite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Appetite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5. </w:t>
            </w:r>
            <w:r>
              <w:rPr>
                <w:rFonts w:eastAsia="等线"/>
                <w:color w:val="000000"/>
              </w:rPr>
              <w:t>Poor appetite or overeating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Guilty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lang w:val="zh-CN"/>
              </w:rPr>
            </w:pPr>
            <w:r>
              <w:rPr>
                <w:rFonts w:eastAsia="等线"/>
                <w:color w:val="000000"/>
              </w:rPr>
              <w:t>Guilty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6. </w:t>
            </w:r>
            <w:r>
              <w:rPr>
                <w:rFonts w:eastAsia="等线"/>
                <w:color w:val="000000"/>
              </w:rPr>
              <w:t>Feeling bad about yourself - or that you are a failure or have let yourself or your family down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>Concen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lang w:val="zh-CN"/>
              </w:rPr>
            </w:pPr>
            <w:r>
              <w:rPr>
                <w:rFonts w:eastAsia="等线"/>
                <w:color w:val="000000"/>
              </w:rPr>
              <w:t>Concentration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7. </w:t>
            </w:r>
            <w:r>
              <w:rPr>
                <w:rFonts w:eastAsia="等线"/>
                <w:color w:val="000000"/>
              </w:rPr>
              <w:t>Trouble concentrating on things, such as reading the newspaper or watching television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Motor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lang w:val="zh-CN"/>
              </w:rPr>
            </w:pPr>
            <w:r>
              <w:rPr>
                <w:rFonts w:eastAsia="等线"/>
                <w:color w:val="000000"/>
              </w:rPr>
              <w:t>Motor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8. </w:t>
            </w:r>
            <w:r>
              <w:rPr>
                <w:rFonts w:eastAsia="等线"/>
                <w:color w:val="000000"/>
              </w:rPr>
              <w:t>Moving or speaking so slowly that other people could have noticed</w:t>
            </w:r>
            <w:r>
              <w:rPr>
                <w:rFonts w:eastAsia="等线"/>
                <w:color w:val="000000"/>
                <w:lang w:val="en-US"/>
              </w:rPr>
              <w:t>.</w:t>
            </w:r>
            <w:r>
              <w:rPr>
                <w:rFonts w:eastAsia="等线"/>
                <w:color w:val="000000"/>
              </w:rPr>
              <w:t xml:space="preserve"> Or so fidgety or restless that you have been moving a lot more than usual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Suicide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lang w:val="zh-CN"/>
              </w:rPr>
            </w:pPr>
            <w:r>
              <w:rPr>
                <w:rFonts w:eastAsia="等线"/>
                <w:color w:val="000000"/>
              </w:rPr>
              <w:t>Suicide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9. </w:t>
            </w:r>
            <w:r>
              <w:rPr>
                <w:rFonts w:eastAsia="等线"/>
                <w:color w:val="000000"/>
              </w:rPr>
              <w:t>Thoughts that you would be better off dead, or thoughts of hurting yourself in some way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zh-CN"/>
              </w:rPr>
            </w:pPr>
            <w:r>
              <w:rPr>
                <w:rFonts w:eastAsia="宋体"/>
                <w:b w:val="0"/>
                <w:bCs/>
                <w:color w:val="000000"/>
                <w:lang w:val="en-US"/>
              </w:rPr>
              <w:t>GAD-7</w:t>
            </w: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Nervous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Nervous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bCs/>
                <w:color w:val="000000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1. </w:t>
            </w:r>
            <w:r>
              <w:rPr>
                <w:rFonts w:eastAsia="等线"/>
                <w:color w:val="000000"/>
              </w:rPr>
              <w:t>Feeling nervous, anxious</w:t>
            </w:r>
            <w:r>
              <w:rPr>
                <w:rFonts w:eastAsia="等线"/>
                <w:color w:val="000000"/>
                <w:lang w:val="en-US"/>
              </w:rPr>
              <w:t>,</w:t>
            </w:r>
            <w:r>
              <w:rPr>
                <w:rFonts w:eastAsia="等线"/>
                <w:color w:val="000000"/>
              </w:rPr>
              <w:t xml:space="preserve"> or on edge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Control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Control Worry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2. </w:t>
            </w:r>
            <w:r>
              <w:rPr>
                <w:rFonts w:eastAsia="等线"/>
                <w:color w:val="000000"/>
              </w:rPr>
              <w:t>Not being able to stop or control worrying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Worry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Worry A Lot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3. </w:t>
            </w:r>
            <w:r>
              <w:rPr>
                <w:rFonts w:eastAsia="等线"/>
                <w:color w:val="000000"/>
              </w:rPr>
              <w:t>Worrying too much about different things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Relax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Relax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4. </w:t>
            </w:r>
            <w:r>
              <w:rPr>
                <w:rFonts w:eastAsia="等线"/>
                <w:color w:val="000000"/>
              </w:rPr>
              <w:t>Trouble relaxing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Restless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Restless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5. </w:t>
            </w:r>
            <w:r>
              <w:rPr>
                <w:rFonts w:eastAsia="等线"/>
                <w:color w:val="000000"/>
              </w:rPr>
              <w:t>Being so restless that it is hard to sit still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Irritable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Irritable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6. </w:t>
            </w:r>
            <w:r>
              <w:rPr>
                <w:rFonts w:eastAsia="等线"/>
                <w:color w:val="000000"/>
              </w:rPr>
              <w:t>Becoming easily annoyed or irritable</w:t>
            </w:r>
          </w:p>
        </w:tc>
      </w:tr>
      <w:tr>
        <w:trPr>
          <w:trHeight w:val="20" w:hRule="atLeast"/>
        </w:trPr>
        <w:tc>
          <w:tcPr>
            <w:tcW w:w="484" w:type="pct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 w:val="0"/>
                <w:bCs/>
                <w:color w:val="000000"/>
                <w:lang w:val="en-US"/>
              </w:rPr>
            </w:pPr>
          </w:p>
        </w:tc>
        <w:tc>
          <w:tcPr>
            <w:tcW w:w="806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/>
                <w:color w:val="000000"/>
              </w:rPr>
              <w:t>Afraid</w:t>
            </w:r>
          </w:p>
        </w:tc>
        <w:tc>
          <w:tcPr>
            <w:tcW w:w="879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</w:rPr>
              <w:t>Afraid</w:t>
            </w:r>
          </w:p>
        </w:tc>
        <w:tc>
          <w:tcPr>
            <w:tcW w:w="2831" w:type="pct"/>
            <w:vAlign w:val="center"/>
          </w:tcPr>
          <w:p>
            <w:pPr>
              <w:spacing w:line="360" w:lineRule="auto"/>
              <w:jc w:val="center"/>
              <w:rPr>
                <w:rFonts w:eastAsia="等线"/>
                <w:bCs/>
                <w:color w:val="000000"/>
                <w:lang w:val="en-US"/>
              </w:rPr>
            </w:pPr>
            <w:r>
              <w:rPr>
                <w:rFonts w:eastAsia="等线"/>
                <w:color w:val="000000"/>
                <w:lang w:val="en-US"/>
              </w:rPr>
              <w:t xml:space="preserve">7. </w:t>
            </w:r>
            <w:r>
              <w:rPr>
                <w:rFonts w:eastAsia="等线"/>
                <w:color w:val="000000"/>
              </w:rPr>
              <w:t>Feeling afraid</w:t>
            </w:r>
            <w:r>
              <w:rPr>
                <w:rFonts w:eastAsia="等线"/>
                <w:color w:val="000000"/>
                <w:lang w:val="en-US"/>
              </w:rPr>
              <w:t>,</w:t>
            </w:r>
            <w:r>
              <w:rPr>
                <w:rFonts w:eastAsia="等线"/>
                <w:color w:val="000000"/>
              </w:rPr>
              <w:t xml:space="preserve"> as if something awful might happen</w:t>
            </w:r>
          </w:p>
        </w:tc>
      </w:tr>
    </w:tbl>
    <w:p>
      <w:pPr>
        <w:pStyle w:val="23"/>
        <w:spacing w:line="360" w:lineRule="auto"/>
        <w:ind w:left="720" w:hanging="720"/>
        <w:rPr>
          <w:rFonts w:eastAsiaTheme="minorEastAsia"/>
          <w:bCs/>
          <w:sz w:val="22"/>
          <w:szCs w:val="22"/>
          <w:lang w:val="en-US"/>
        </w:rPr>
      </w:pPr>
      <w:r>
        <w:rPr>
          <w:rFonts w:eastAsiaTheme="minorEastAsia"/>
          <w:bCs/>
          <w:i/>
          <w:iCs/>
          <w:sz w:val="22"/>
          <w:szCs w:val="22"/>
          <w:lang w:val="en-US"/>
        </w:rPr>
        <w:t>Note.</w:t>
      </w:r>
      <w:r>
        <w:rPr>
          <w:rFonts w:eastAsiaTheme="minorEastAsia"/>
          <w:bCs/>
          <w:sz w:val="22"/>
          <w:szCs w:val="22"/>
          <w:lang w:val="en-US"/>
        </w:rPr>
        <w:t xml:space="preserve"> </w:t>
      </w:r>
      <w:r>
        <w:rPr>
          <w:rFonts w:eastAsiaTheme="minorEastAsia"/>
          <w:bCs/>
          <w:sz w:val="22"/>
          <w:szCs w:val="22"/>
        </w:rPr>
        <w:t>PHQ-9: Patient Health Questionnaire-9; GAD-7: Generalized Anxiety Disorder Scale</w:t>
      </w:r>
      <w:r>
        <w:rPr>
          <w:rFonts w:eastAsiaTheme="minorEastAsia"/>
          <w:bCs/>
          <w:sz w:val="22"/>
          <w:szCs w:val="22"/>
          <w:lang w:val="en-US"/>
        </w:rPr>
        <w:t>.</w:t>
      </w:r>
    </w:p>
    <w:p>
      <w:pPr>
        <w:pStyle w:val="23"/>
        <w:spacing w:line="360" w:lineRule="auto"/>
        <w:ind w:left="720" w:hanging="720"/>
        <w:rPr>
          <w:rFonts w:eastAsiaTheme="minorEastAsia"/>
          <w:bCs/>
          <w:sz w:val="22"/>
          <w:szCs w:val="22"/>
          <w:lang w:val="en-US"/>
        </w:rPr>
      </w:pPr>
    </w:p>
    <w:p>
      <w:pPr>
        <w:pStyle w:val="23"/>
        <w:spacing w:line="360" w:lineRule="auto"/>
        <w:ind w:left="720" w:hanging="720"/>
        <w:rPr>
          <w:rFonts w:eastAsiaTheme="minorEastAsia"/>
          <w:bCs/>
          <w:sz w:val="22"/>
          <w:szCs w:val="22"/>
        </w:rPr>
      </w:pPr>
    </w:p>
    <w:p>
      <w:pPr>
        <w:pStyle w:val="23"/>
        <w:spacing w:line="360" w:lineRule="auto"/>
        <w:ind w:left="720" w:hanging="720"/>
        <w:rPr>
          <w:rFonts w:eastAsiaTheme="minorEastAsia"/>
          <w:bCs/>
          <w:sz w:val="22"/>
          <w:szCs w:val="22"/>
        </w:rPr>
      </w:pPr>
    </w:p>
    <w:p>
      <w:pPr>
        <w:spacing w:line="276" w:lineRule="auto"/>
        <w:rPr>
          <w:b/>
          <w:bCs/>
          <w:lang w:val="en-US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line="276" w:lineRule="auto"/>
        <w:rPr>
          <w:lang w:val="en-US"/>
        </w:rPr>
      </w:pPr>
      <w:r>
        <w:rPr>
          <w:lang w:val="en-US"/>
        </w:rPr>
        <w:t>Table S2. Descriptions of the 16 items during school and vacation</w:t>
      </w:r>
    </w:p>
    <w:tbl>
      <w:tblPr>
        <w:tblStyle w:val="11"/>
        <w:tblW w:w="92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38"/>
        <w:gridCol w:w="1625"/>
        <w:gridCol w:w="1525"/>
        <w:gridCol w:w="916"/>
        <w:gridCol w:w="1143"/>
      </w:tblGrid>
      <w:tr>
        <w:trPr>
          <w:trHeight w:val="20" w:hRule="atLeast"/>
          <w:jc w:val="center"/>
        </w:trPr>
        <w:tc>
          <w:tcPr>
            <w:tcW w:w="4038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</w:pPr>
            <w:r>
              <w:t>Participant characteristics</w:t>
            </w:r>
          </w:p>
        </w:tc>
        <w:tc>
          <w:tcPr>
            <w:tcW w:w="1625" w:type="dxa"/>
            <w:tcBorders>
              <w:top w:val="single" w:color="000000" w:sz="4" w:space="0"/>
              <w:left w:val="nil"/>
              <w:bottom w:val="nil"/>
              <w:right w:val="nil"/>
            </w:tcBorders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School</w:t>
            </w:r>
          </w:p>
          <w:p>
            <w:pPr>
              <w:spacing w:line="276" w:lineRule="auto"/>
              <w:jc w:val="center"/>
            </w:pPr>
            <w:r>
              <w:t xml:space="preserve">(n = </w:t>
            </w:r>
            <w:r>
              <w:rPr>
                <w:lang w:val="en-US"/>
              </w:rPr>
              <w:t>1380</w:t>
            </w:r>
            <w:r>
              <w:t>)</w:t>
            </w:r>
          </w:p>
        </w:tc>
        <w:tc>
          <w:tcPr>
            <w:tcW w:w="1525" w:type="dxa"/>
            <w:tcBorders>
              <w:top w:val="single" w:color="000000" w:sz="4" w:space="0"/>
              <w:left w:val="nil"/>
              <w:bottom w:val="nil"/>
              <w:right w:val="nil"/>
            </w:tcBorders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Vacation</w:t>
            </w:r>
          </w:p>
          <w:p>
            <w:pPr>
              <w:spacing w:line="276" w:lineRule="auto"/>
              <w:jc w:val="center"/>
            </w:pPr>
            <w:r>
              <w:t xml:space="preserve">(n = </w:t>
            </w:r>
            <w:r>
              <w:rPr>
                <w:lang w:val="en-US"/>
              </w:rPr>
              <w:t>1100</w:t>
            </w:r>
            <w:r>
              <w:t>)</w:t>
            </w: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微软雅黑"/>
                <w:color w:val="333333"/>
                <w:shd w:val="clear" w:color="auto" w:fill="FFFFFF"/>
              </w:rPr>
              <w:t>Z/χ2</w:t>
            </w:r>
          </w:p>
        </w:tc>
        <w:tc>
          <w:tcPr>
            <w:tcW w:w="1143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t>P value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</w:pPr>
            <w:r>
              <w:t xml:space="preserve">PHQ-9 </w:t>
            </w:r>
            <w:r>
              <w:rPr>
                <w:rFonts w:eastAsia="等线"/>
                <w:lang w:val="en-US"/>
              </w:rPr>
              <w:t>(</w:t>
            </w:r>
            <w:r>
              <w:rPr>
                <w:rFonts w:eastAsia="等线"/>
              </w:rPr>
              <w:t>median, IQR)</w:t>
            </w:r>
          </w:p>
        </w:tc>
        <w:tc>
          <w:tcPr>
            <w:tcW w:w="1625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1525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916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1143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Anhedonia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7.</w:t>
            </w:r>
            <w:r>
              <w:rPr>
                <w:color w:val="000000"/>
                <w:lang w:val="en-US"/>
              </w:rPr>
              <w:t>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Sad Mood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12.1</w:t>
            </w: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Sleep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5.</w:t>
            </w:r>
            <w:r>
              <w:rPr>
                <w:color w:val="000000"/>
                <w:lang w:val="en-US"/>
              </w:rPr>
              <w:t>61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Energy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11.</w:t>
            </w:r>
            <w:r>
              <w:rPr>
                <w:color w:val="000000"/>
                <w:lang w:val="en-US"/>
              </w:rPr>
              <w:t>76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Appetite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6.</w:t>
            </w:r>
            <w:r>
              <w:rPr>
                <w:color w:val="000000"/>
                <w:lang w:val="en-US"/>
              </w:rPr>
              <w:t>67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Guilty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9.</w:t>
            </w:r>
            <w:r>
              <w:rPr>
                <w:color w:val="000000"/>
                <w:lang w:val="en-US"/>
              </w:rPr>
              <w:t>73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Concentration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6.</w:t>
            </w:r>
            <w:r>
              <w:rPr>
                <w:color w:val="000000"/>
                <w:lang w:val="en-US"/>
              </w:rPr>
              <w:t>02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Motor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4.</w:t>
            </w:r>
            <w:r>
              <w:rPr>
                <w:color w:val="000000"/>
                <w:lang w:val="en-US"/>
              </w:rPr>
              <w:t>91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Suicide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5.</w:t>
            </w:r>
            <w:r>
              <w:rPr>
                <w:color w:val="000000"/>
                <w:lang w:val="en-US"/>
              </w:rPr>
              <w:t>95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rPr>
                <w:lang w:val="en-US"/>
              </w:rPr>
            </w:pPr>
            <w:r>
              <w:rPr>
                <w:rFonts w:eastAsia="等线"/>
              </w:rPr>
              <w:t xml:space="preserve">GAD-7 </w:t>
            </w:r>
            <w:r>
              <w:rPr>
                <w:rFonts w:eastAsia="等线"/>
                <w:lang w:val="en-US"/>
              </w:rPr>
              <w:t>(</w:t>
            </w:r>
            <w:r>
              <w:rPr>
                <w:rFonts w:eastAsia="等线"/>
              </w:rPr>
              <w:t>median, IQR)</w:t>
            </w:r>
            <w:r>
              <w:rPr>
                <w:rFonts w:eastAsia="等线"/>
                <w:lang w:val="en-US"/>
              </w:rPr>
              <w:t xml:space="preserve">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rFonts w:eastAsia="等线"/>
                <w:color w:val="000000"/>
              </w:rPr>
              <w:t xml:space="preserve">Nervous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15.</w:t>
            </w:r>
            <w:r>
              <w:rPr>
                <w:color w:val="000000"/>
                <w:lang w:val="en-US"/>
              </w:rPr>
              <w:t>56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Control Worry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8</w:t>
            </w:r>
            <w:r>
              <w:rPr>
                <w:color w:val="000000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Worry A Lot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2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77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Relax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10.</w:t>
            </w:r>
            <w:r>
              <w:rPr>
                <w:color w:val="000000"/>
                <w:lang w:val="en-US"/>
              </w:rPr>
              <w:t>08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color w:val="000000"/>
              </w:rPr>
              <w:t xml:space="preserve">Restless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8.</w:t>
            </w:r>
            <w:r>
              <w:rPr>
                <w:color w:val="000000"/>
                <w:lang w:val="en-US"/>
              </w:rPr>
              <w:t>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Irritable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2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7.</w:t>
            </w:r>
            <w:r>
              <w:rPr>
                <w:color w:val="000000"/>
                <w:lang w:val="en-US"/>
              </w:rPr>
              <w:t>10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</w:rPr>
              <w:t>a</w:t>
            </w:r>
          </w:p>
        </w:tc>
      </w:tr>
      <w:tr>
        <w:trPr>
          <w:trHeight w:val="20" w:hRule="atLeast"/>
          <w:jc w:val="center"/>
        </w:trPr>
        <w:tc>
          <w:tcPr>
            <w:tcW w:w="403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</w:rPr>
            </w:pPr>
            <w:r>
              <w:rPr>
                <w:rFonts w:eastAsia="等线"/>
                <w:color w:val="000000"/>
              </w:rPr>
              <w:t xml:space="preserve">Afraid </w:t>
            </w:r>
          </w:p>
        </w:tc>
        <w:tc>
          <w:tcPr>
            <w:tcW w:w="162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 xml:space="preserve"> (</w:t>
            </w:r>
            <w:r>
              <w:rPr>
                <w:rFonts w:eastAsia="等线"/>
                <w:lang w:val="en-US"/>
              </w:rPr>
              <w:t>0</w:t>
            </w:r>
            <w:r>
              <w:rPr>
                <w:rFonts w:eastAsia="等线"/>
              </w:rPr>
              <w:t>-</w:t>
            </w:r>
            <w:r>
              <w:rPr>
                <w:rFonts w:eastAsia="等线"/>
                <w:lang w:val="en-US"/>
              </w:rPr>
              <w:t>1</w:t>
            </w:r>
            <w:r>
              <w:rPr>
                <w:rFonts w:eastAsia="等线"/>
              </w:rPr>
              <w:t>)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72</w:t>
            </w:r>
          </w:p>
        </w:tc>
        <w:tc>
          <w:tcPr>
            <w:tcW w:w="114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276" w:lineRule="auto"/>
              <w:jc w:val="center"/>
            </w:pPr>
            <w:r>
              <w:rPr>
                <w:rFonts w:eastAsia="等线"/>
                <w:lang w:val="en-US"/>
              </w:rPr>
              <w:t xml:space="preserve">&lt; </w:t>
            </w:r>
            <w:r>
              <w:rPr>
                <w:rFonts w:eastAsia="等线"/>
              </w:rPr>
              <w:t>0.</w:t>
            </w:r>
            <w:r>
              <w:rPr>
                <w:rFonts w:eastAsia="等线"/>
                <w:lang w:val="en-US"/>
              </w:rPr>
              <w:t>001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Calibri"/>
                <w:vertAlign w:val="superscript"/>
                <w:lang w:val="en-US"/>
              </w:rPr>
              <w:t>a</w:t>
            </w:r>
          </w:p>
        </w:tc>
      </w:tr>
    </w:tbl>
    <w:p>
      <w:pPr>
        <w:spacing w:line="276" w:lineRule="auto"/>
        <w:rPr>
          <w:lang w:val="en-US"/>
        </w:rPr>
      </w:pPr>
      <w:r>
        <w:rPr>
          <w:rFonts w:eastAsiaTheme="minorEastAsia"/>
          <w:bCs/>
          <w:i/>
          <w:iCs/>
          <w:sz w:val="22"/>
          <w:szCs w:val="22"/>
          <w:lang w:val="en-US"/>
        </w:rPr>
        <w:t xml:space="preserve">Note. </w:t>
      </w:r>
      <w:r>
        <w:rPr>
          <w:lang w:val="en-US"/>
        </w:rPr>
        <w:t xml:space="preserve">PHQ-9: Patient Health Questionnaire-9; GAD-7: Generalized Anxiety Disorder Scale; n, number of participants; a, </w:t>
      </w:r>
      <w:r>
        <w:rPr>
          <w:i/>
          <w:iCs/>
          <w:color w:val="000000"/>
          <w:lang w:val="en-US"/>
        </w:rPr>
        <w:t xml:space="preserve">P </w:t>
      </w:r>
      <w:r>
        <w:rPr>
          <w:lang w:val="en-US"/>
        </w:rPr>
        <w:t>values obtained by Mann–Whitney U test.</w:t>
      </w:r>
    </w:p>
    <w:p>
      <w:pPr>
        <w:pStyle w:val="23"/>
        <w:spacing w:line="360" w:lineRule="auto"/>
        <w:ind w:left="720" w:hanging="720"/>
        <w:rPr>
          <w:rFonts w:eastAsiaTheme="minorEastAsia"/>
          <w:bCs/>
          <w:sz w:val="22"/>
          <w:szCs w:val="22"/>
        </w:rPr>
        <w:sectPr>
          <w:pgSz w:w="12240" w:h="15840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widowControl w:val="0"/>
        <w:autoSpaceDE w:val="0"/>
        <w:autoSpaceDN w:val="0"/>
        <w:adjustRightInd w:val="0"/>
        <w:rPr>
          <w:rFonts w:hint="default" w:ascii="Times New Roman Regular" w:hAnsi="Times New Roman Regular" w:eastAsia="宋体" w:cs="Times New Roman Regular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 Regular" w:hAnsi="Times New Roman Regular" w:eastAsia="Times New Roman" w:cs="Times New Roman Regular"/>
          <w:b w:val="0"/>
          <w:bCs w:val="0"/>
          <w:sz w:val="24"/>
          <w:szCs w:val="24"/>
          <w:lang w:val="en-US" w:eastAsia="de-DE"/>
        </w:rPr>
        <w:t xml:space="preserve">Table 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0070C0"/>
          <w:sz w:val="24"/>
          <w:szCs w:val="24"/>
          <w:lang w:val="en-US" w:eastAsia="zh-CN"/>
        </w:rPr>
        <w:t>3</w:t>
      </w:r>
      <w:r>
        <w:rPr>
          <w:rFonts w:hint="default" w:ascii="Times New Roman Regular" w:hAnsi="Times New Roman Regular" w:eastAsia="Times New Roman" w:cs="Times New Roman Regular"/>
          <w:b w:val="0"/>
          <w:bCs w:val="0"/>
          <w:sz w:val="24"/>
          <w:szCs w:val="24"/>
          <w:lang w:val="en-US" w:eastAsia="de-DE"/>
        </w:rPr>
        <w:t xml:space="preserve">. </w:t>
      </w:r>
      <w:r>
        <w:rPr>
          <w:rFonts w:hint="default" w:ascii="Times New Roman Regular" w:hAnsi="Times New Roman Regular" w:eastAsia="Times New Roman" w:cs="Times New Roman Regular"/>
          <w:b w:val="0"/>
          <w:bCs w:val="0"/>
          <w:sz w:val="24"/>
          <w:szCs w:val="24"/>
          <w:lang w:val="en-US"/>
        </w:rPr>
        <w:t xml:space="preserve">Associations of different factors with depressive and anxiety levels (Number </w:t>
      </w:r>
      <w:r>
        <w:rPr>
          <w:rFonts w:hint="default" w:ascii="Times New Roman Regular" w:hAnsi="Times New Roman Regular" w:eastAsia="Times New Roman" w:cs="Times New Roman Regular"/>
          <w:b w:val="0"/>
          <w:bCs w:val="0"/>
          <w:color w:val="auto"/>
          <w:sz w:val="24"/>
          <w:szCs w:val="24"/>
          <w:lang w:val="en-US"/>
        </w:rPr>
        <w:t>of observations =2,480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sz w:val="24"/>
          <w:szCs w:val="24"/>
          <w:lang w:val="en-US"/>
        </w:rPr>
        <w:t xml:space="preserve">). </w:t>
      </w:r>
    </w:p>
    <w:tbl>
      <w:tblPr>
        <w:tblStyle w:val="10"/>
        <w:tblW w:w="10774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2"/>
        <w:gridCol w:w="953"/>
        <w:gridCol w:w="954"/>
        <w:gridCol w:w="958"/>
        <w:gridCol w:w="239"/>
        <w:gridCol w:w="952"/>
        <w:gridCol w:w="952"/>
        <w:gridCol w:w="984"/>
      </w:tblGrid>
      <w:tr>
        <w:trPr>
          <w:trHeight w:val="20" w:hRule="atLeast"/>
        </w:trPr>
        <w:tc>
          <w:tcPr>
            <w:tcW w:w="4782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Coefficient</w:t>
            </w:r>
          </w:p>
        </w:tc>
        <w:tc>
          <w:tcPr>
            <w:tcW w:w="286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  <w:t>PHQ-9</w:t>
            </w:r>
          </w:p>
        </w:tc>
        <w:tc>
          <w:tcPr>
            <w:tcW w:w="2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  <w:t>GAD-7</w:t>
            </w:r>
          </w:p>
        </w:tc>
      </w:tr>
      <w:tr>
        <w:trPr>
          <w:trHeight w:val="20" w:hRule="atLeast"/>
        </w:trPr>
        <w:tc>
          <w:tcPr>
            <w:tcW w:w="4782" w:type="dxa"/>
            <w:vMerge w:val="continue"/>
            <w:tcBorders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 xml:space="preserve">b 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/>
              </w:rPr>
              <w:t>SE</w:t>
            </w:r>
          </w:p>
        </w:tc>
        <w:tc>
          <w:tcPr>
            <w:tcW w:w="95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>P</w:t>
            </w:r>
          </w:p>
        </w:tc>
        <w:tc>
          <w:tcPr>
            <w:tcW w:w="239" w:type="dxa"/>
            <w:tcBorders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 xml:space="preserve">b </w:t>
            </w: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/>
              </w:rPr>
              <w:t>SE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>P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single" w:color="auto" w:sz="12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Age</w:t>
            </w:r>
          </w:p>
        </w:tc>
        <w:tc>
          <w:tcPr>
            <w:tcW w:w="953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0.412</w:t>
            </w:r>
          </w:p>
        </w:tc>
        <w:tc>
          <w:tcPr>
            <w:tcW w:w="954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0.232</w:t>
            </w:r>
          </w:p>
        </w:tc>
        <w:tc>
          <w:tcPr>
            <w:tcW w:w="958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0.076</w:t>
            </w:r>
          </w:p>
        </w:tc>
        <w:tc>
          <w:tcPr>
            <w:tcW w:w="239" w:type="dxa"/>
            <w:tcBorders>
              <w:top w:val="single" w:color="auto" w:sz="12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0.387</w:t>
            </w:r>
          </w:p>
        </w:tc>
        <w:tc>
          <w:tcPr>
            <w:tcW w:w="952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0.250</w:t>
            </w:r>
          </w:p>
        </w:tc>
        <w:tc>
          <w:tcPr>
            <w:tcW w:w="984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0.121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Gender</w:t>
            </w:r>
          </w:p>
        </w:tc>
        <w:tc>
          <w:tcPr>
            <w:tcW w:w="953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Male vs. Female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-1.236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0.194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&lt; 0.001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-1.258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0.209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&lt; 0.001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Residence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Urban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Rural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0.137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0.566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0.486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Only child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Yes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No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-0.199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0.210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-0.174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0.441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Grade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7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0.035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0.357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0.921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8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-0.146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0.509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0.774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-0.152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7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-0.181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 xml:space="preserve">0.350 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0.604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-0.307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0.369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0.406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Monthly household income per capita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1000-5000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0.007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0.526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0.990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0.567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0.251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5000-10000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-0.207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0.530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0.696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-0.667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0.243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0.240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0.575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-0.130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0.834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0.839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0.269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0.905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0.477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5000-10000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-0.214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0.225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0.342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-0.016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0.243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0.947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0.288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0.418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0.521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0.311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0.093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0.920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0.674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0.172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1.296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0.727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0.075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5000-10000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0.447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0.271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0.098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0.537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0.292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0.066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5000-10000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1.134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0.666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0.089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1.312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0.719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0.068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10000-50000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0.687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0.677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0.310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0.774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Educational level of father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0.121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0.450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0.788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0.486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0.483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0.477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-0.68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0.521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0.192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-0.054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0.542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0.921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-0.928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0.585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0.113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-0.346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0.840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0.680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-0.95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0.905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0.294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0.222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0.258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0.389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-0.160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0.279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0.565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-0.175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0.351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0.618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-0.409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0.378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-0.467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0.731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0.523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-0.430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0.788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0.585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-0.397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0.329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0.227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-0.307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0.369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0.406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-0.689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0.718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0.337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-0.155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0.372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-0.292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0.686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0.670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-0.021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0.740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0.977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Educational level of mother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-0.797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0.401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0.047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-0.517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-1.313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0.439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0.003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-0.646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0.473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0.172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-0.821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0.512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0.109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-0.662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0.552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-0.547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0.870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0.530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-0.819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0.383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-0.517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0.260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0.047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-0.129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0.281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0.645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-0.024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0.368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0.948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-0.145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0.397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0.715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0.250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0.796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0.754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-0.302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0.859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0.726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0.493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0.152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0.371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0.966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0.767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0.784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0.328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-0.172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0.846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0.839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0.274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0.756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0.717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-0.156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0.816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0.848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Group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-2.255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0.235</w:t>
            </w:r>
          </w:p>
        </w:tc>
        <w:tc>
          <w:tcPr>
            <w:tcW w:w="95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&lt; 0.001</w:t>
            </w:r>
          </w:p>
        </w:tc>
        <w:tc>
          <w:tcPr>
            <w:tcW w:w="23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-2.996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0.241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&lt; 0.001</w:t>
            </w:r>
          </w:p>
        </w:tc>
      </w:tr>
    </w:tbl>
    <w:p>
      <w:pP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</w:pPr>
      <w:r>
        <w:rPr>
          <w:rFonts w:hint="default" w:ascii="Times New Roman Regular" w:hAnsi="Times New Roman Regular" w:eastAsia="DengXian" w:cs="Times New Roman Regular"/>
          <w:bCs/>
          <w:sz w:val="24"/>
          <w:szCs w:val="24"/>
          <w:lang w:val="en-US"/>
        </w:rPr>
        <w:t xml:space="preserve">Notes: </w:t>
      </w:r>
      <w:r>
        <w:rPr>
          <w:rFonts w:hint="default" w:ascii="Times New Roman Regular" w:hAnsi="Times New Roman Regular" w:eastAsia="Times New Roman" w:cs="Times New Roman Regular"/>
          <w:iCs/>
          <w:color w:val="000000"/>
          <w:sz w:val="24"/>
          <w:szCs w:val="24"/>
          <w:lang w:val="en-US" w:eastAsia="de-DE"/>
        </w:rPr>
        <w:t>b, unstandardized coefficients;</w:t>
      </w:r>
      <w:r>
        <w:rPr>
          <w:rFonts w:hint="default" w:ascii="Times New Roman Regular" w:hAnsi="Times New Roman Regular" w:eastAsia="Times New Roman" w:cs="Times New Roman Regular"/>
          <w:iCs/>
          <w:sz w:val="24"/>
          <w:szCs w:val="24"/>
          <w:lang w:val="en-US" w:eastAsia="de-DE"/>
        </w:rPr>
        <w:t xml:space="preserve"> </w:t>
      </w:r>
      <w:r>
        <w:rPr>
          <w:rFonts w:hint="default" w:ascii="Times New Roman Regular" w:hAnsi="Times New Roman Regular" w:eastAsia="Times New Roman" w:cs="Times New Roman Regular"/>
          <w:iCs/>
          <w:sz w:val="24"/>
          <w:szCs w:val="24"/>
          <w:lang w:val="en-US"/>
        </w:rPr>
        <w:t>SE, standard error</w:t>
      </w:r>
      <w: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  <w:t>.</w:t>
      </w:r>
    </w:p>
    <w:p>
      <w:pP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</w:pPr>
      <w: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  <w:br w:type="page"/>
      </w:r>
    </w:p>
    <w:p>
      <w:pPr>
        <w:widowControl w:val="0"/>
        <w:autoSpaceDE w:val="0"/>
        <w:autoSpaceDN w:val="0"/>
        <w:adjustRightInd w:val="0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de-DE"/>
        </w:rPr>
        <w:t xml:space="preserve">Table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eastAsia="宋体" w:cs="Times New Roman"/>
          <w:b w:val="0"/>
          <w:bCs w:val="0"/>
          <w:color w:val="0070C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de-DE"/>
        </w:rPr>
        <w:t xml:space="preserve">. 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/>
        </w:rPr>
        <w:t>Associations of different factors with depressive and anxiety levels – MLM further analysis (Number of observations =2,480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/>
        </w:rPr>
        <w:t xml:space="preserve">). </w:t>
      </w:r>
    </w:p>
    <w:tbl>
      <w:tblPr>
        <w:tblStyle w:val="10"/>
        <w:tblW w:w="10774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2"/>
        <w:gridCol w:w="953"/>
        <w:gridCol w:w="954"/>
        <w:gridCol w:w="958"/>
        <w:gridCol w:w="239"/>
        <w:gridCol w:w="952"/>
        <w:gridCol w:w="952"/>
        <w:gridCol w:w="984"/>
      </w:tblGrid>
      <w:tr>
        <w:trPr>
          <w:trHeight w:val="20" w:hRule="atLeast"/>
        </w:trPr>
        <w:tc>
          <w:tcPr>
            <w:tcW w:w="4782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Coefficient</w:t>
            </w:r>
          </w:p>
        </w:tc>
        <w:tc>
          <w:tcPr>
            <w:tcW w:w="286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  <w:t>PHQ-9</w:t>
            </w:r>
          </w:p>
        </w:tc>
        <w:tc>
          <w:tcPr>
            <w:tcW w:w="2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color w:val="auto"/>
                <w:sz w:val="24"/>
                <w:szCs w:val="24"/>
                <w:lang w:val="en-US"/>
              </w:rPr>
              <w:t>GAD-7</w:t>
            </w:r>
          </w:p>
        </w:tc>
      </w:tr>
      <w:tr>
        <w:trPr>
          <w:trHeight w:val="20" w:hRule="atLeast"/>
        </w:trPr>
        <w:tc>
          <w:tcPr>
            <w:tcW w:w="4782" w:type="dxa"/>
            <w:vMerge w:val="continue"/>
            <w:tcBorders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 xml:space="preserve">b 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/>
              </w:rPr>
              <w:t>SE</w:t>
            </w:r>
          </w:p>
        </w:tc>
        <w:tc>
          <w:tcPr>
            <w:tcW w:w="958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>P</w:t>
            </w:r>
          </w:p>
        </w:tc>
        <w:tc>
          <w:tcPr>
            <w:tcW w:w="239" w:type="dxa"/>
            <w:tcBorders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 xml:space="preserve">b </w:t>
            </w: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/>
              </w:rPr>
              <w:t>SE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i/>
                <w:color w:val="auto"/>
                <w:sz w:val="24"/>
                <w:szCs w:val="24"/>
                <w:lang w:val="en-US" w:eastAsia="de-DE"/>
              </w:rPr>
              <w:t>P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single" w:color="auto" w:sz="12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Age</w:t>
            </w:r>
          </w:p>
        </w:tc>
        <w:tc>
          <w:tcPr>
            <w:tcW w:w="953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0.347</w:t>
            </w:r>
          </w:p>
        </w:tc>
        <w:tc>
          <w:tcPr>
            <w:tcW w:w="954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0.233</w:t>
            </w:r>
          </w:p>
        </w:tc>
        <w:tc>
          <w:tcPr>
            <w:tcW w:w="958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0.137</w:t>
            </w:r>
          </w:p>
        </w:tc>
        <w:tc>
          <w:tcPr>
            <w:tcW w:w="239" w:type="dxa"/>
            <w:tcBorders>
              <w:top w:val="single" w:color="auto" w:sz="12" w:space="0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0.367</w:t>
            </w:r>
          </w:p>
        </w:tc>
        <w:tc>
          <w:tcPr>
            <w:tcW w:w="952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0.250</w:t>
            </w:r>
          </w:p>
        </w:tc>
        <w:tc>
          <w:tcPr>
            <w:tcW w:w="984" w:type="dxa"/>
            <w:tcBorders>
              <w:top w:val="single" w:color="auto" w:sz="12" w:space="0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0.142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Gender</w:t>
            </w:r>
          </w:p>
        </w:tc>
        <w:tc>
          <w:tcPr>
            <w:tcW w:w="953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Male vs. Female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-1.191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0.194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&lt; 0.001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-1.243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0.209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  <w:t>&lt; 0.001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Residence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Urban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Rural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0.122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0.237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0.608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-0.045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0.256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0.859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Only child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Yes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No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-0.210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0.210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0.318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-0.185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0.414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Grade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7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-2.144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0.900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0.021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8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-1.439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0.846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0.090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-0.152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 7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0.705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0.854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0.412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-0.294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0.369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0.426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Monthly household income per capita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1000-5000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0.066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0.900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-0.584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0.568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0.303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5000-10000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-0.109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0.530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0.838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-0.621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0.573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0.279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0.381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0.575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0.507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-0.084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0.621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0.892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&lt; 1000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1.040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0.839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0.215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0.643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0.907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0.478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5000-10000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-0.175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0.226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0.440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-0.036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0.244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0.882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0.315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0.290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0.278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0.500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0.313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0.110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1000-5000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0.974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0.149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1.227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0.729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0.093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5000-10000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10000-50000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0.490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0.271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0.071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0.537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0.293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0.067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5000-10000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1.149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0.666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0.085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1.264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0.720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0.079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10000-50000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&gt; 50000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0.659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0.330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0.727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0.731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0.320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bookmarkStart w:id="1" w:name="OLE_LINK6"/>
            <w:bookmarkStart w:id="2" w:name="OLE_LINK5"/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Educational level of father</w:t>
            </w:r>
            <w:bookmarkEnd w:id="1"/>
            <w:bookmarkEnd w:id="2"/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4.071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1.331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2.690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1.439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0.062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3.968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1.381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0.004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1.952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1.494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0.191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4.215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1.463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0.004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1.215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1.582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0.443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4.819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2.129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0.024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2.881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2.302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0.211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-0.103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0.732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0.888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-0.738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0.791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0.351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0.144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0.881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0.871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-1.475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0.952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0.122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0.748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1.782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0.675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0.191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1.926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0.921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0.247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0.790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-0.737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1.000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0.461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0.851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1.797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0.636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0.929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1.942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0.632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0.604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1.834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0.742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1.666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1.983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0.401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Educational level of mother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-0.719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0.400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0.072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-0.482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0.265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-1.225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0.438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0.005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-0.611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0.473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0.197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-0.734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0.512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0.151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-0.574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0.553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0.300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-0.521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0.868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0.548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-0.793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0.398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-0.505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0.260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0.052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-0.129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0.281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0.646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-0.015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0.370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0.967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-0.092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0.400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0.818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0.198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0.795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0.803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-0.312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0.859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0.717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0.490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0.347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0.158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0.037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0.375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0.921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0.703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0.782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0.369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-0.182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0.846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0.829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0.213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0.756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0.778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-0.220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0.817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0.788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Group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-0.271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0.878</w:t>
            </w:r>
          </w:p>
        </w:tc>
        <w:tc>
          <w:tcPr>
            <w:tcW w:w="95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0.758</w:t>
            </w:r>
          </w:p>
        </w:tc>
        <w:tc>
          <w:tcPr>
            <w:tcW w:w="23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-1.139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0.887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0.199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Group *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Grade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</w:p>
        </w:tc>
        <w:tc>
          <w:tcPr>
            <w:tcW w:w="23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7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1.424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0.569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0.015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7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0.508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0.049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8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>vs.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-0.495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0.504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0.329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n.s.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Educational level of father</w:t>
            </w:r>
          </w:p>
        </w:tc>
        <w:tc>
          <w:tcPr>
            <w:tcW w:w="95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8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3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-2.692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0.861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-2.203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0.931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  <w:t>0.018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-2.476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0.886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0.005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-1.812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0.958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color w:val="auto"/>
                <w:sz w:val="24"/>
                <w:szCs w:val="24"/>
                <w:lang w:val="en-US" w:eastAsia="de-DE"/>
              </w:rPr>
              <w:t>0.048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-2.879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0.928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0.002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-1.500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1.003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0.135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>Primary school or below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Master or above 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-3.492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1.340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auto"/>
                <w:sz w:val="24"/>
                <w:szCs w:val="24"/>
              </w:rPr>
              <w:t>0.009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-2.632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1.450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0.070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0.217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0.462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0.639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0.391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0.499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0.433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-0.187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0.537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0.728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0.704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0.581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0.226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Middle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-0.799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1.107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0.470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-0.429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1.198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0.720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-0.403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0.567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0.477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0.613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0.610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High school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-1.016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1.117</w:t>
            </w:r>
          </w:p>
        </w:tc>
        <w:tc>
          <w:tcPr>
            <w:tcW w:w="95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0.363</w:t>
            </w:r>
          </w:p>
        </w:tc>
        <w:tc>
          <w:tcPr>
            <w:tcW w:w="239" w:type="dxa"/>
            <w:tcBorders>
              <w:top w:val="nil"/>
              <w:left w:val="nil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-0.820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1.208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0.497</w:t>
            </w:r>
          </w:p>
        </w:tc>
      </w:tr>
      <w:tr>
        <w:trPr>
          <w:trHeight w:val="20" w:hRule="atLeast"/>
        </w:trPr>
        <w:tc>
          <w:tcPr>
            <w:tcW w:w="47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 xml:space="preserve">  Group * 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>Bachelor</w:t>
            </w: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  <w:t xml:space="preserve"> vs.</w:t>
            </w:r>
            <w:r>
              <w:rPr>
                <w:rFonts w:hint="default" w:ascii="Times New Roman Regular" w:hAnsi="Times New Roman Regular" w:eastAsia="Calibri" w:cs="Times New Roman Regular"/>
                <w:color w:val="auto"/>
                <w:sz w:val="24"/>
                <w:szCs w:val="24"/>
                <w:lang w:val="en-US"/>
              </w:rPr>
              <w:t xml:space="preserve"> Master or above</w:t>
            </w:r>
          </w:p>
        </w:tc>
        <w:tc>
          <w:tcPr>
            <w:tcW w:w="95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-0.612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1.146</w:t>
            </w:r>
          </w:p>
        </w:tc>
        <w:tc>
          <w:tcPr>
            <w:tcW w:w="95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</w:pPr>
            <w:r>
              <w:rPr>
                <w:rFonts w:hint="default" w:ascii="Times New Roman Regular" w:hAnsi="Times New Roman Regular" w:cs="Times New Roman Regular"/>
                <w:color w:val="auto"/>
                <w:sz w:val="24"/>
                <w:szCs w:val="24"/>
              </w:rPr>
              <w:t>0.593</w:t>
            </w:r>
          </w:p>
        </w:tc>
        <w:tc>
          <w:tcPr>
            <w:tcW w:w="23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-1.133</w:t>
            </w:r>
          </w:p>
        </w:tc>
        <w:tc>
          <w:tcPr>
            <w:tcW w:w="95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1.239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 w:val="0"/>
              <w:autoSpaceDE w:val="0"/>
              <w:autoSpaceDN w:val="0"/>
              <w:adjustRightInd w:val="0"/>
              <w:jc w:val="center"/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color w:val="auto"/>
                <w:sz w:val="24"/>
                <w:szCs w:val="24"/>
                <w:lang w:val="en-US" w:eastAsia="de-DE"/>
              </w:rPr>
              <w:t>0.361</w:t>
            </w:r>
          </w:p>
        </w:tc>
      </w:tr>
    </w:tbl>
    <w:p>
      <w:pP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</w:pPr>
      <w:r>
        <w:rPr>
          <w:rFonts w:hint="default" w:ascii="Times New Roman Regular" w:hAnsi="Times New Roman Regular" w:eastAsia="DengXian" w:cs="Times New Roman Regular"/>
          <w:bCs/>
          <w:color w:val="auto"/>
          <w:sz w:val="24"/>
          <w:szCs w:val="24"/>
          <w:lang w:val="en-US"/>
        </w:rPr>
        <w:t xml:space="preserve">Notes: </w:t>
      </w:r>
      <w:r>
        <w:rPr>
          <w:rFonts w:hint="default" w:ascii="Times New Roman Regular" w:hAnsi="Times New Roman Regular" w:eastAsia="Times New Roman" w:cs="Times New Roman Regular"/>
          <w:iCs/>
          <w:color w:val="auto"/>
          <w:sz w:val="24"/>
          <w:szCs w:val="24"/>
          <w:lang w:val="en-US" w:eastAsia="de-DE"/>
        </w:rPr>
        <w:t xml:space="preserve">b, unstandardized coefficients; </w:t>
      </w:r>
      <w:r>
        <w:rPr>
          <w:rFonts w:hint="default" w:ascii="Times New Roman Regular" w:hAnsi="Times New Roman Regular" w:eastAsia="Times New Roman" w:cs="Times New Roman Regular"/>
          <w:iCs/>
          <w:color w:val="auto"/>
          <w:sz w:val="24"/>
          <w:szCs w:val="24"/>
          <w:lang w:val="en-US"/>
        </w:rPr>
        <w:t>SE, standard error</w:t>
      </w:r>
      <w:r>
        <w:rPr>
          <w:rFonts w:hint="default" w:ascii="Times New Roman Regular" w:hAnsi="Times New Roman Regular" w:eastAsia="Times New Roman" w:cs="Times New Roman Regular"/>
          <w:color w:val="auto"/>
          <w:sz w:val="24"/>
          <w:szCs w:val="24"/>
          <w:lang w:val="en-US" w:eastAsia="de-DE"/>
        </w:rPr>
        <w:t>; n.s., not significant.</w:t>
      </w:r>
    </w:p>
    <w:p>
      <w:pPr>
        <w:rPr>
          <w:rFonts w:ascii="Times New Roman" w:hAnsi="Times New Roman" w:eastAsia="Times New Roman" w:cs="Times New Roman"/>
          <w:sz w:val="20"/>
          <w:szCs w:val="20"/>
          <w:lang w:val="en-US" w:eastAsia="de-DE"/>
        </w:rPr>
      </w:pPr>
    </w:p>
    <w:p>
      <w:pPr>
        <w:rPr>
          <w:rFonts w:eastAsia="宋体"/>
          <w:bCs/>
          <w:color w:val="000000"/>
          <w:lang w:val="en-US"/>
        </w:rPr>
      </w:pPr>
    </w:p>
    <w:p>
      <w:pPr>
        <w:rPr>
          <w:rFonts w:hint="default" w:ascii="Times New Roman Regular" w:hAnsi="Times New Roman Regular" w:eastAsia="Times New Roman" w:cs="Times New Roman Regular"/>
          <w:sz w:val="24"/>
          <w:szCs w:val="24"/>
          <w:lang w:val="en-US" w:eastAsia="de-DE"/>
        </w:rPr>
      </w:pPr>
    </w:p>
    <w:p>
      <w:pPr>
        <w:spacing w:line="360" w:lineRule="auto"/>
        <w:jc w:val="both"/>
        <w:rPr>
          <w:lang w:val="en-US"/>
        </w:rPr>
      </w:pPr>
    </w:p>
    <w:p>
      <w:pPr>
        <w:spacing w:line="360" w:lineRule="auto"/>
        <w:jc w:val="both"/>
        <w:rPr>
          <w:lang w:val="en-US"/>
        </w:rPr>
      </w:pPr>
    </w:p>
    <w:p>
      <w:pPr>
        <w:tabs>
          <w:tab w:val="left" w:pos="2038"/>
        </w:tabs>
        <w:spacing w:line="360" w:lineRule="auto"/>
        <w:ind w:firstLine="480" w:firstLineChars="200"/>
        <w:jc w:val="both"/>
        <w:rPr>
          <w:rFonts w:eastAsiaTheme="minorEastAsia"/>
          <w:bCs/>
          <w:lang w:val="en-US"/>
        </w:rPr>
      </w:pPr>
      <w:r>
        <w:rPr>
          <w:rFonts w:eastAsia="宋体"/>
          <w:bCs/>
          <w:color w:val="000000"/>
          <w:lang w:val="en-US"/>
        </w:rPr>
        <w:br w:type="page"/>
      </w:r>
      <w:r>
        <w:rPr>
          <w:rFonts w:eastAsiaTheme="minorEastAsia"/>
          <w:bCs/>
          <w:lang w:val="en-US"/>
        </w:rPr>
        <w:t>Table S</w:t>
      </w:r>
      <w:r>
        <w:rPr>
          <w:rFonts w:hint="default" w:eastAsiaTheme="minorEastAsia"/>
          <w:bCs/>
          <w:color w:val="0070C0"/>
          <w:lang w:val="en-US"/>
        </w:rPr>
        <w:t>5</w:t>
      </w:r>
      <w:r>
        <w:rPr>
          <w:rFonts w:eastAsiaTheme="minorEastAsia"/>
          <w:bCs/>
          <w:lang w:val="en-US"/>
        </w:rPr>
        <w:t xml:space="preserve">. Estimated edge weights in school network   </w:t>
      </w:r>
    </w:p>
    <w:tbl>
      <w:tblPr>
        <w:tblStyle w:val="10"/>
        <w:tblpPr w:leftFromText="180" w:rightFromText="180" w:vertAnchor="text" w:horzAnchor="page" w:tblpX="1617" w:tblpY="183"/>
        <w:tblOverlap w:val="never"/>
        <w:tblW w:w="1199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656"/>
        <w:gridCol w:w="737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737"/>
        <w:gridCol w:w="656"/>
        <w:gridCol w:w="656"/>
      </w:tblGrid>
      <w:tr>
        <w:trPr>
          <w:cantSplit/>
          <w:trHeight w:val="1309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0.16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-0.02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0.14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0.32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0.32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-0.02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0.28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</w:tr>
      <w:tr>
        <w:trPr>
          <w:trHeight w:val="376" w:hRule="atLeast"/>
        </w:trPr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0.14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</w:tbl>
    <w:p>
      <w:pPr>
        <w:tabs>
          <w:tab w:val="left" w:pos="2038"/>
        </w:tabs>
        <w:spacing w:line="360" w:lineRule="auto"/>
        <w:jc w:val="both"/>
        <w:rPr>
          <w:rFonts w:eastAsiaTheme="minorEastAsia"/>
          <w:bCs/>
          <w:lang w:val="en-US"/>
        </w:rPr>
        <w:sectPr>
          <w:pgSz w:w="15840" w:h="12240" w:orient="landscape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tabs>
          <w:tab w:val="left" w:pos="2038"/>
        </w:tabs>
        <w:spacing w:line="360" w:lineRule="auto"/>
        <w:ind w:firstLine="120" w:firstLineChars="50"/>
        <w:jc w:val="both"/>
        <w:rPr>
          <w:rFonts w:eastAsiaTheme="minorEastAsia"/>
          <w:bCs/>
          <w:lang w:val="en-US"/>
        </w:rPr>
      </w:pPr>
      <w:r>
        <w:rPr>
          <w:rFonts w:eastAsiaTheme="minorEastAsia"/>
          <w:bCs/>
          <w:lang w:val="en-US"/>
        </w:rPr>
        <w:t>Table S</w:t>
      </w:r>
      <w:r>
        <w:rPr>
          <w:rFonts w:hint="default" w:eastAsiaTheme="minorEastAsia"/>
          <w:bCs/>
          <w:color w:val="0070C0"/>
          <w:lang w:val="en-US"/>
        </w:rPr>
        <w:t>6</w:t>
      </w:r>
      <w:r>
        <w:rPr>
          <w:rFonts w:eastAsiaTheme="minorEastAsia"/>
          <w:bCs/>
          <w:lang w:val="en-US"/>
        </w:rPr>
        <w:t xml:space="preserve">. Estimated edge weights in vacation network   </w:t>
      </w:r>
    </w:p>
    <w:tbl>
      <w:tblPr>
        <w:tblStyle w:val="10"/>
        <w:tblpPr w:leftFromText="180" w:rightFromText="180" w:vertAnchor="text" w:horzAnchor="page" w:tblpX="1574" w:tblpY="141"/>
        <w:tblOverlap w:val="never"/>
        <w:tblW w:w="12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</w:tblGrid>
      <w:tr>
        <w:trPr>
          <w:cantSplit/>
          <w:trHeight w:val="1371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0.19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0.05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0.04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</w:tr>
      <w:tr>
        <w:trPr>
          <w:trHeight w:val="394" w:hRule="atLeast"/>
        </w:trPr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0.06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0.09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0.08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0.03 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NA </w:t>
            </w:r>
          </w:p>
        </w:tc>
      </w:tr>
    </w:tbl>
    <w:p>
      <w:pPr>
        <w:tabs>
          <w:tab w:val="left" w:pos="2038"/>
        </w:tabs>
        <w:spacing w:line="360" w:lineRule="auto"/>
        <w:jc w:val="both"/>
        <w:rPr>
          <w:rFonts w:eastAsiaTheme="minorEastAsia"/>
          <w:bCs/>
          <w:lang w:val="en-US"/>
        </w:rPr>
        <w:sectPr>
          <w:pgSz w:w="15840" w:h="12240" w:orient="landscape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rPr>
          <w:rFonts w:eastAsia="等线"/>
          <w:bCs/>
        </w:rPr>
      </w:pPr>
      <w:r>
        <w:rPr>
          <w:rFonts w:eastAsia="等线"/>
          <w:bCs/>
        </w:rPr>
        <w:t xml:space="preserve">Table </w:t>
      </w:r>
      <w:r>
        <w:rPr>
          <w:rFonts w:eastAsia="等线"/>
          <w:bCs/>
          <w:lang w:val="en-US"/>
        </w:rPr>
        <w:t>S7</w:t>
      </w:r>
      <w:r>
        <w:rPr>
          <w:rFonts w:eastAsia="等线"/>
          <w:bCs/>
        </w:rPr>
        <w:t xml:space="preserve">. Results of NCT comparing </w:t>
      </w:r>
      <w:r>
        <w:rPr>
          <w:bCs/>
          <w:color w:val="000000"/>
          <w:lang w:val="en-US"/>
        </w:rPr>
        <w:t>centrality indices</w:t>
      </w:r>
      <w:r>
        <w:rPr>
          <w:color w:val="000000"/>
          <w:lang w:val="en-US"/>
        </w:rPr>
        <w:t xml:space="preserve"> </w:t>
      </w:r>
      <w:r>
        <w:rPr>
          <w:rFonts w:eastAsia="微软雅黑"/>
          <w:bCs/>
          <w:lang w:val="en-US"/>
        </w:rPr>
        <w:t>between groups</w:t>
      </w:r>
      <w:r>
        <w:rPr>
          <w:rFonts w:eastAsia="等线"/>
          <w:bCs/>
        </w:rPr>
        <w:t xml:space="preserve"> </w:t>
      </w:r>
    </w:p>
    <w:tbl>
      <w:tblPr>
        <w:tblStyle w:val="37"/>
        <w:tblpPr w:leftFromText="180" w:rightFromText="180" w:vertAnchor="text" w:horzAnchor="page" w:tblpX="1476" w:tblpY="264"/>
        <w:tblW w:w="1295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1"/>
        <w:gridCol w:w="1326"/>
        <w:gridCol w:w="1327"/>
        <w:gridCol w:w="1327"/>
        <w:gridCol w:w="1327"/>
        <w:gridCol w:w="1499"/>
        <w:gridCol w:w="1505"/>
      </w:tblGrid>
      <w:tr>
        <w:trPr>
          <w:trHeight w:val="20" w:hRule="atLeast"/>
        </w:trPr>
        <w:tc>
          <w:tcPr>
            <w:tcW w:w="464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djustRightInd w:val="0"/>
              <w:snapToGrid w:val="0"/>
              <w:spacing w:line="276" w:lineRule="auto"/>
              <w:rPr>
                <w:rFonts w:eastAsia="微软雅黑"/>
                <w:bCs/>
                <w:sz w:val="22"/>
                <w:szCs w:val="22"/>
                <w:lang w:val="en-US"/>
              </w:rPr>
            </w:pPr>
            <w:r>
              <w:rPr>
                <w:rFonts w:eastAsia="微软雅黑"/>
                <w:bCs/>
                <w:sz w:val="22"/>
                <w:szCs w:val="22"/>
                <w:lang w:val="en-US"/>
              </w:rPr>
              <w:t>Items</w:t>
            </w:r>
          </w:p>
          <w:p>
            <w:pPr>
              <w:adjustRightInd w:val="0"/>
              <w:snapToGrid w:val="0"/>
              <w:spacing w:line="276" w:lineRule="auto"/>
              <w:rPr>
                <w:rFonts w:eastAsia="微软雅黑"/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26" w:type="dxa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Nodal strength at school</w:t>
            </w:r>
          </w:p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Nodal strength at vacation</w:t>
            </w:r>
          </w:p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Bridge strength at school</w:t>
            </w:r>
          </w:p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Bridge strength at vacation</w:t>
            </w:r>
          </w:p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9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  <w:t>P</w:t>
            </w:r>
            <w:r>
              <w:rPr>
                <w:rFonts w:eastAsia="宋体"/>
                <w:bCs/>
                <w:i/>
                <w:iCs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150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宋体"/>
                <w:bCs/>
                <w:i/>
                <w:iCs/>
                <w:color w:val="000000"/>
                <w:sz w:val="22"/>
                <w:szCs w:val="22"/>
                <w:lang w:val="en-US"/>
              </w:rPr>
              <w:t>P</w:t>
            </w:r>
            <w:r>
              <w:rPr>
                <w:rFonts w:eastAsia="宋体"/>
                <w:bCs/>
                <w:i/>
                <w:iCs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</w:tr>
      <w:tr>
        <w:trPr>
          <w:trHeight w:val="20" w:hRule="atLeast"/>
        </w:trPr>
        <w:tc>
          <w:tcPr>
            <w:tcW w:w="4641" w:type="dxa"/>
            <w:tcBorders>
              <w:top w:val="nil"/>
            </w:tcBorders>
            <w:vAlign w:val="center"/>
          </w:tcPr>
          <w:p>
            <w:pPr>
              <w:spacing w:line="276" w:lineRule="auto"/>
              <w:rPr>
                <w:rFonts w:eastAsia="等线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1. Anhedonia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PHQ-1)</w:t>
            </w:r>
          </w:p>
        </w:tc>
        <w:tc>
          <w:tcPr>
            <w:tcW w:w="1326" w:type="dxa"/>
            <w:tcBorders>
              <w:top w:val="nil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0.78 </w:t>
            </w:r>
          </w:p>
        </w:tc>
        <w:tc>
          <w:tcPr>
            <w:tcW w:w="1327" w:type="dxa"/>
            <w:tcBorders>
              <w:top w:val="nil"/>
            </w:tcBorders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0.89 </w:t>
            </w:r>
          </w:p>
        </w:tc>
        <w:tc>
          <w:tcPr>
            <w:tcW w:w="1327" w:type="dxa"/>
            <w:tcBorders>
              <w:top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0.14 </w:t>
            </w:r>
          </w:p>
        </w:tc>
        <w:tc>
          <w:tcPr>
            <w:tcW w:w="1327" w:type="dxa"/>
            <w:tcBorders>
              <w:top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1499" w:type="dxa"/>
            <w:tcBorders>
              <w:top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0.10 </w:t>
            </w:r>
          </w:p>
        </w:tc>
        <w:tc>
          <w:tcPr>
            <w:tcW w:w="1505" w:type="dxa"/>
            <w:tcBorders>
              <w:top w:val="nil"/>
            </w:tcBorders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0.60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2. Sad Mood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PHQ-2)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1.02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1.00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0.34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0.26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0.76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3. Sleep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PHQ-3)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0.75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0.80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0.20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0.35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4. Energy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PHQ-4)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1.06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0.98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0.15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0.18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0.17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0.53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5. Appetite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PHQ-5)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0.78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0.76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6. Guilty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PHQ-6)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0.84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0.28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0.30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0.010</w:t>
            </w:r>
            <w:r>
              <w:rPr>
                <w:color w:val="000000"/>
                <w:sz w:val="22"/>
                <w:szCs w:val="22"/>
                <w:vertAlign w:val="superscript"/>
              </w:rPr>
              <w:t>**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0.78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7. Concentration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PHQ-7)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0.72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0.65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0.14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0.11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0.16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0.57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8. Motor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PHQ-8)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0.85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0.86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0.37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0.41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0.87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0.47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9. Suicide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PHQ-9)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0.73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0.80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0.30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0.37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10. Nervous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GAD-1)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1.04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1.05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0.42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0.42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0.82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0.97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11. Control Worry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GAD-2)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1.12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1.11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0.24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0.76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0.71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12. Worry A Lot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GAD-3)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1.11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0.99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0.23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0.025</w:t>
            </w:r>
            <w:r>
              <w:rPr>
                <w:color w:val="000000"/>
                <w:sz w:val="22"/>
                <w:szCs w:val="22"/>
                <w:vertAlign w:val="superscript"/>
              </w:rPr>
              <w:t>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0.13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13. Relax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GAD-4)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1.04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1.08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0.12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0.29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0.54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0.020</w:t>
            </w:r>
            <w:r>
              <w:rPr>
                <w:color w:val="000000"/>
                <w:sz w:val="22"/>
                <w:szCs w:val="22"/>
                <w:vertAlign w:val="superscript"/>
              </w:rPr>
              <w:t>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14. Restless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GAD-5)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1.11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0.96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0.51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0.41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0.016</w:t>
            </w:r>
            <w:r>
              <w:rPr>
                <w:color w:val="000000"/>
                <w:sz w:val="22"/>
                <w:szCs w:val="22"/>
                <w:vertAlign w:val="superscript"/>
              </w:rPr>
              <w:t>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0.21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15. Irritable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GAD-6)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0.87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1.02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0.51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0.010</w:t>
            </w:r>
            <w:r>
              <w:rPr>
                <w:color w:val="000000"/>
                <w:sz w:val="22"/>
                <w:szCs w:val="22"/>
                <w:vertAlign w:val="superscript"/>
              </w:rPr>
              <w:t>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0.001</w:t>
            </w:r>
            <w:r>
              <w:rPr>
                <w:color w:val="000000"/>
                <w:sz w:val="22"/>
                <w:szCs w:val="22"/>
                <w:vertAlign w:val="superscript"/>
              </w:rPr>
              <w:t>***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>
        <w:trPr>
          <w:trHeight w:val="20" w:hRule="atLeast"/>
        </w:trPr>
        <w:tc>
          <w:tcPr>
            <w:tcW w:w="4641" w:type="dxa"/>
            <w:vAlign w:val="center"/>
          </w:tcPr>
          <w:p>
            <w:pPr>
              <w:spacing w:line="276" w:lineRule="auto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等线"/>
                <w:color w:val="000000"/>
                <w:sz w:val="22"/>
                <w:szCs w:val="22"/>
              </w:rPr>
              <w:t xml:space="preserve">16. Afraid </w:t>
            </w:r>
            <w:r>
              <w:rPr>
                <w:rFonts w:hint="eastAsia" w:eastAsia="等线"/>
                <w:color w:val="000000"/>
                <w:sz w:val="22"/>
                <w:szCs w:val="22"/>
              </w:rPr>
              <w:t>(</w:t>
            </w:r>
            <w:r>
              <w:rPr>
                <w:rFonts w:eastAsia="等线"/>
                <w:color w:val="000000"/>
                <w:sz w:val="22"/>
                <w:szCs w:val="22"/>
              </w:rPr>
              <w:t>GAD-7)</w:t>
            </w:r>
          </w:p>
        </w:tc>
        <w:tc>
          <w:tcPr>
            <w:tcW w:w="1326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0.72 </w:t>
            </w:r>
          </w:p>
        </w:tc>
        <w:tc>
          <w:tcPr>
            <w:tcW w:w="132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0.78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0.27 </w:t>
            </w:r>
          </w:p>
        </w:tc>
        <w:tc>
          <w:tcPr>
            <w:tcW w:w="1327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0.26 </w:t>
            </w:r>
          </w:p>
        </w:tc>
        <w:tc>
          <w:tcPr>
            <w:tcW w:w="1499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0.30 </w:t>
            </w:r>
          </w:p>
        </w:tc>
        <w:tc>
          <w:tcPr>
            <w:tcW w:w="1505" w:type="dxa"/>
            <w:vAlign w:val="center"/>
          </w:tcPr>
          <w:p>
            <w:pPr>
              <w:spacing w:line="276" w:lineRule="auto"/>
              <w:jc w:val="center"/>
              <w:rPr>
                <w:rFonts w:eastAsia="等线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0.91 </w:t>
            </w:r>
          </w:p>
        </w:tc>
      </w:tr>
    </w:tbl>
    <w:p>
      <w:pPr>
        <w:spacing w:line="360" w:lineRule="auto"/>
        <w:jc w:val="both"/>
        <w:rPr>
          <w:lang w:val="en-US"/>
        </w:rPr>
      </w:pPr>
      <w:r>
        <w:rPr>
          <w:rFonts w:eastAsiaTheme="minorEastAsia"/>
          <w:bCs/>
          <w:i/>
          <w:iCs/>
          <w:sz w:val="22"/>
          <w:szCs w:val="22"/>
          <w:lang w:val="en-US"/>
        </w:rPr>
        <w:t>Note.</w:t>
      </w:r>
      <w:r>
        <w:rPr>
          <w:rFonts w:eastAsiaTheme="minorEastAsia"/>
          <w:bCs/>
          <w:sz w:val="22"/>
          <w:szCs w:val="22"/>
          <w:lang w:val="en-US"/>
        </w:rPr>
        <w:t xml:space="preserve"> </w:t>
      </w:r>
      <w:r>
        <w:rPr>
          <w:i/>
          <w:iCs/>
          <w:color w:val="000000"/>
        </w:rPr>
        <w:t>P</w:t>
      </w:r>
      <w:r>
        <w:rPr>
          <w:i/>
          <w:iCs/>
          <w:color w:val="000000"/>
          <w:vertAlign w:val="subscript"/>
          <w:lang w:val="en-US"/>
        </w:rPr>
        <w:t>1</w:t>
      </w:r>
      <w:r>
        <w:rPr>
          <w:color w:val="000000"/>
          <w:lang w:val="en-US"/>
        </w:rPr>
        <w:t>:</w:t>
      </w:r>
      <w:r>
        <w:rPr>
          <w:lang w:val="en-US"/>
        </w:rPr>
        <w:t xml:space="preserve"> Nodal strength at school  vs. Nodal strength at </w:t>
      </w:r>
      <w:r>
        <w:rPr>
          <w:rFonts w:hint="eastAsia"/>
          <w:lang w:val="en-US"/>
        </w:rPr>
        <w:t>vacation</w:t>
      </w:r>
      <w:r>
        <w:t>;</w:t>
      </w:r>
      <w:r>
        <w:rPr>
          <w:lang w:val="en-US"/>
        </w:rPr>
        <w:t xml:space="preserve"> </w:t>
      </w:r>
      <w:r>
        <w:rPr>
          <w:i/>
          <w:iCs/>
          <w:color w:val="000000"/>
        </w:rPr>
        <w:t>P</w:t>
      </w:r>
      <w:r>
        <w:rPr>
          <w:i/>
          <w:iCs/>
          <w:color w:val="000000"/>
          <w:vertAlign w:val="subscript"/>
          <w:lang w:val="en-US"/>
        </w:rPr>
        <w:t>2</w:t>
      </w:r>
      <w:r>
        <w:rPr>
          <w:color w:val="000000"/>
          <w:lang w:val="en-US"/>
        </w:rPr>
        <w:t xml:space="preserve">: </w:t>
      </w:r>
      <w:r>
        <w:rPr>
          <w:lang w:val="en-US"/>
        </w:rPr>
        <w:t xml:space="preserve">Bridge strength at school vs. Bridge strength at </w:t>
      </w:r>
      <w:r>
        <w:rPr>
          <w:rFonts w:hint="eastAsia"/>
          <w:lang w:val="en-US"/>
        </w:rPr>
        <w:t>vacation</w:t>
      </w:r>
      <w:r>
        <w:rPr>
          <w:lang w:val="en-US"/>
        </w:rPr>
        <w:t>;</w:t>
      </w:r>
      <w:r>
        <w:rPr>
          <w:color w:val="000000"/>
          <w:lang w:val="en-US"/>
        </w:rPr>
        <w:t xml:space="preserve"> </w:t>
      </w:r>
      <w:r>
        <w:t>n, number of participants</w:t>
      </w:r>
      <w:r>
        <w:rPr>
          <w:lang w:val="en-US"/>
        </w:rPr>
        <w:t xml:space="preserve">; </w:t>
      </w:r>
      <w:r>
        <w:rPr>
          <w:vertAlign w:val="superscript"/>
          <w:lang w:val="en-US"/>
        </w:rPr>
        <w:t>*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 xml:space="preserve">P </w:t>
      </w:r>
      <w:r>
        <w:rPr>
          <w:lang w:val="en-US"/>
        </w:rPr>
        <w:t xml:space="preserve">&lt; 0.05; </w:t>
      </w:r>
      <w:r>
        <w:rPr>
          <w:vertAlign w:val="superscript"/>
          <w:lang w:val="en-US"/>
        </w:rPr>
        <w:t>**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 xml:space="preserve">P </w:t>
      </w:r>
      <w:r>
        <w:rPr>
          <w:lang w:val="en-US"/>
        </w:rPr>
        <w:t xml:space="preserve">&lt; 0.01; </w:t>
      </w:r>
      <w:r>
        <w:rPr>
          <w:vertAlign w:val="superscript"/>
          <w:lang w:val="en-US"/>
        </w:rPr>
        <w:t>***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 xml:space="preserve">P </w:t>
      </w:r>
      <w:r>
        <w:rPr>
          <w:lang w:val="en-US"/>
        </w:rPr>
        <w:t>&lt; 0.001.</w:t>
      </w:r>
    </w:p>
    <w:p>
      <w:pPr>
        <w:rPr>
          <w:rFonts w:eastAsiaTheme="minorEastAsia"/>
          <w:bCs/>
          <w:lang w:val="en-US"/>
        </w:rPr>
      </w:pPr>
      <w:r>
        <w:rPr>
          <w:rFonts w:eastAsiaTheme="minorEastAsia"/>
          <w:bCs/>
          <w:lang w:val="en-US"/>
        </w:rPr>
        <w:br w:type="page"/>
      </w:r>
    </w:p>
    <w:p>
      <w:pPr>
        <w:tabs>
          <w:tab w:val="left" w:pos="2038"/>
        </w:tabs>
        <w:spacing w:line="360" w:lineRule="auto"/>
        <w:ind w:firstLine="120" w:firstLineChars="50"/>
        <w:jc w:val="both"/>
        <w:rPr>
          <w:rFonts w:eastAsiaTheme="minorEastAsia"/>
          <w:bCs/>
          <w:lang w:val="en-US"/>
        </w:rPr>
      </w:pPr>
      <w:r>
        <w:rPr>
          <w:rFonts w:eastAsiaTheme="minorEastAsia"/>
          <w:bCs/>
          <w:lang w:val="en-US"/>
        </w:rPr>
        <w:t>Table S</w:t>
      </w:r>
      <w:r>
        <w:rPr>
          <w:rFonts w:hint="default" w:eastAsiaTheme="minorEastAsia"/>
          <w:bCs/>
          <w:color w:val="0070C0"/>
          <w:lang w:val="en-US"/>
        </w:rPr>
        <w:t>8</w:t>
      </w:r>
      <w:r>
        <w:rPr>
          <w:rFonts w:eastAsiaTheme="minorEastAsia"/>
          <w:bCs/>
          <w:lang w:val="en-US"/>
        </w:rPr>
        <w:t>. Delta edge weights in school network</w:t>
      </w:r>
    </w:p>
    <w:tbl>
      <w:tblPr>
        <w:tblStyle w:val="10"/>
        <w:tblpPr w:leftFromText="180" w:rightFromText="180" w:vertAnchor="text" w:horzAnchor="page" w:tblpX="1574" w:tblpY="116"/>
        <w:tblOverlap w:val="never"/>
        <w:tblW w:w="1271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>
        <w:trPr>
          <w:cantSplit/>
          <w:trHeight w:val="1309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0.009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0.023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</w:tbl>
    <w:p>
      <w:pPr>
        <w:tabs>
          <w:tab w:val="left" w:pos="2038"/>
        </w:tabs>
        <w:spacing w:line="360" w:lineRule="auto"/>
        <w:jc w:val="both"/>
        <w:rPr>
          <w:rFonts w:eastAsiaTheme="minorEastAsia"/>
          <w:bCs/>
          <w:lang w:val="en-US"/>
        </w:rPr>
        <w:sectPr>
          <w:pgSz w:w="15840" w:h="12240" w:orient="landscape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tabs>
          <w:tab w:val="left" w:pos="2038"/>
        </w:tabs>
        <w:spacing w:line="360" w:lineRule="auto"/>
        <w:ind w:firstLine="120" w:firstLineChars="50"/>
        <w:jc w:val="both"/>
        <w:rPr>
          <w:rFonts w:eastAsiaTheme="minorEastAsia"/>
          <w:bCs/>
          <w:lang w:val="en-US"/>
        </w:rPr>
      </w:pPr>
      <w:r>
        <w:rPr>
          <w:rFonts w:eastAsiaTheme="minorEastAsia"/>
          <w:bCs/>
          <w:lang w:val="en-US"/>
        </w:rPr>
        <w:t>Table S</w:t>
      </w:r>
      <w:r>
        <w:rPr>
          <w:rFonts w:hint="default" w:eastAsiaTheme="minorEastAsia"/>
          <w:bCs/>
          <w:color w:val="0070C0"/>
          <w:lang w:val="en-US"/>
        </w:rPr>
        <w:t>9</w:t>
      </w:r>
      <w:r>
        <w:rPr>
          <w:rFonts w:eastAsiaTheme="minorEastAsia"/>
          <w:bCs/>
          <w:lang w:val="en-US"/>
        </w:rPr>
        <w:t xml:space="preserve">. Delta edge weights in vacation network    </w:t>
      </w:r>
    </w:p>
    <w:tbl>
      <w:tblPr>
        <w:tblStyle w:val="10"/>
        <w:tblpPr w:leftFromText="180" w:rightFromText="180" w:vertAnchor="text" w:horzAnchor="page" w:tblpX="1558" w:tblpY="223"/>
        <w:tblOverlap w:val="never"/>
        <w:tblW w:w="1271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>
        <w:trPr>
          <w:cantSplit/>
          <w:trHeight w:val="1309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btLr"/>
            <w:vAlign w:val="center"/>
          </w:tcPr>
          <w:p>
            <w:pPr>
              <w:adjustRightInd w:val="0"/>
              <w:snapToGrid w:val="0"/>
              <w:ind w:left="57"/>
              <w:jc w:val="center"/>
              <w:textAlignment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Anhedonia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Sad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Sleep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Energy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Appetite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Guilty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  <w:lang w:val="en-US"/>
              </w:rPr>
              <w:t>Concen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Motor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Suicide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Nervous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Control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Worry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Relax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Restless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0.010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0.006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rFonts w:eastAsia="等线"/>
                <w:b/>
                <w:bCs/>
                <w:color w:val="000000"/>
              </w:rPr>
              <w:t>Irritable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0.008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</w:tr>
      <w:tr>
        <w:trPr>
          <w:trHeight w:val="376" w:hRule="atLeast"/>
        </w:trPr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等线"/>
                <w:b/>
                <w:bCs/>
                <w:color w:val="000000"/>
              </w:rPr>
              <w:t>Afraid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0.004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0.005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0.003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0.002 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auto"/>
              <w:jc w:val="center"/>
              <w:rPr>
                <w:rFonts w:eastAsia="宋体"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0.000 </w:t>
            </w:r>
          </w:p>
        </w:tc>
      </w:tr>
    </w:tbl>
    <w:p>
      <w:pPr>
        <w:rPr>
          <w:rFonts w:hint="default" w:eastAsia="宋体"/>
          <w:bCs/>
          <w:color w:val="000000"/>
          <w:lang w:val="en-US"/>
        </w:rPr>
      </w:pPr>
      <w:bookmarkStart w:id="3" w:name="_GoBack"/>
      <w:bookmarkEnd w:id="3"/>
    </w:p>
    <w:sectPr>
      <w:pgSz w:w="15840" w:h="12240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uro Child Adol Psyc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tfavde7tsvd1eva9qxz9r12ra50z95w9aa&quot;&gt;citation&lt;record-ids&gt;&lt;item&gt;2846&lt;/item&gt;&lt;/record-ids&gt;&lt;/item&gt;&lt;/Libraries&gt;"/>
  </w:docVars>
  <w:rsids>
    <w:rsidRoot w:val="00741E00"/>
    <w:rsid w:val="00000170"/>
    <w:rsid w:val="0000176F"/>
    <w:rsid w:val="00002082"/>
    <w:rsid w:val="00004E32"/>
    <w:rsid w:val="00011FB9"/>
    <w:rsid w:val="00013CFC"/>
    <w:rsid w:val="00030542"/>
    <w:rsid w:val="00031A32"/>
    <w:rsid w:val="00031E25"/>
    <w:rsid w:val="000332E3"/>
    <w:rsid w:val="00036D63"/>
    <w:rsid w:val="00062E35"/>
    <w:rsid w:val="00071654"/>
    <w:rsid w:val="00071E1E"/>
    <w:rsid w:val="00072E1B"/>
    <w:rsid w:val="00073DE9"/>
    <w:rsid w:val="00084009"/>
    <w:rsid w:val="00087025"/>
    <w:rsid w:val="000876CA"/>
    <w:rsid w:val="00090372"/>
    <w:rsid w:val="0009456C"/>
    <w:rsid w:val="000963A6"/>
    <w:rsid w:val="00097DD6"/>
    <w:rsid w:val="000A714A"/>
    <w:rsid w:val="000B2401"/>
    <w:rsid w:val="000B2F72"/>
    <w:rsid w:val="000B648E"/>
    <w:rsid w:val="000C17AE"/>
    <w:rsid w:val="000C1E4D"/>
    <w:rsid w:val="000C26D1"/>
    <w:rsid w:val="000C4029"/>
    <w:rsid w:val="000C5D03"/>
    <w:rsid w:val="000D2B4E"/>
    <w:rsid w:val="000D2F67"/>
    <w:rsid w:val="000D301D"/>
    <w:rsid w:val="000D6897"/>
    <w:rsid w:val="000E43A9"/>
    <w:rsid w:val="000F4905"/>
    <w:rsid w:val="000F4B39"/>
    <w:rsid w:val="000F6980"/>
    <w:rsid w:val="001017FF"/>
    <w:rsid w:val="00104ACB"/>
    <w:rsid w:val="00104BD2"/>
    <w:rsid w:val="00106901"/>
    <w:rsid w:val="0012518D"/>
    <w:rsid w:val="0013423D"/>
    <w:rsid w:val="00134EBA"/>
    <w:rsid w:val="0017422B"/>
    <w:rsid w:val="00174A31"/>
    <w:rsid w:val="00174D5F"/>
    <w:rsid w:val="00177BB1"/>
    <w:rsid w:val="00186D7F"/>
    <w:rsid w:val="00190225"/>
    <w:rsid w:val="001937F3"/>
    <w:rsid w:val="00196312"/>
    <w:rsid w:val="00197BEA"/>
    <w:rsid w:val="001A55B7"/>
    <w:rsid w:val="001A7EE3"/>
    <w:rsid w:val="001B6778"/>
    <w:rsid w:val="001B6E0E"/>
    <w:rsid w:val="001D627F"/>
    <w:rsid w:val="001D67DD"/>
    <w:rsid w:val="001E0E07"/>
    <w:rsid w:val="001E122C"/>
    <w:rsid w:val="001E5605"/>
    <w:rsid w:val="001E7C71"/>
    <w:rsid w:val="00212574"/>
    <w:rsid w:val="0021486E"/>
    <w:rsid w:val="00216124"/>
    <w:rsid w:val="00220067"/>
    <w:rsid w:val="00220B36"/>
    <w:rsid w:val="002213A4"/>
    <w:rsid w:val="00221B91"/>
    <w:rsid w:val="0022308E"/>
    <w:rsid w:val="00225BFC"/>
    <w:rsid w:val="00226FDF"/>
    <w:rsid w:val="0023134C"/>
    <w:rsid w:val="0023184A"/>
    <w:rsid w:val="002351E9"/>
    <w:rsid w:val="00236852"/>
    <w:rsid w:val="00243A7D"/>
    <w:rsid w:val="00246432"/>
    <w:rsid w:val="00254EE1"/>
    <w:rsid w:val="00255BAD"/>
    <w:rsid w:val="00271092"/>
    <w:rsid w:val="00273413"/>
    <w:rsid w:val="002809A1"/>
    <w:rsid w:val="002979A1"/>
    <w:rsid w:val="002A0FAB"/>
    <w:rsid w:val="002A2AC3"/>
    <w:rsid w:val="002A3CBE"/>
    <w:rsid w:val="002A781B"/>
    <w:rsid w:val="002A7BCA"/>
    <w:rsid w:val="002A7D19"/>
    <w:rsid w:val="002B0E59"/>
    <w:rsid w:val="002B1767"/>
    <w:rsid w:val="002B2CB0"/>
    <w:rsid w:val="002B3EF8"/>
    <w:rsid w:val="002B62E7"/>
    <w:rsid w:val="002C17D6"/>
    <w:rsid w:val="002C1FB7"/>
    <w:rsid w:val="002C4446"/>
    <w:rsid w:val="002C764F"/>
    <w:rsid w:val="002D479F"/>
    <w:rsid w:val="002F3429"/>
    <w:rsid w:val="002F3D24"/>
    <w:rsid w:val="00314E30"/>
    <w:rsid w:val="00316C2E"/>
    <w:rsid w:val="003203C6"/>
    <w:rsid w:val="0032536E"/>
    <w:rsid w:val="00325641"/>
    <w:rsid w:val="00336510"/>
    <w:rsid w:val="003401CD"/>
    <w:rsid w:val="003462AE"/>
    <w:rsid w:val="003525EF"/>
    <w:rsid w:val="0035336B"/>
    <w:rsid w:val="00354342"/>
    <w:rsid w:val="0035507B"/>
    <w:rsid w:val="003551F6"/>
    <w:rsid w:val="003553C0"/>
    <w:rsid w:val="003612FE"/>
    <w:rsid w:val="003715EC"/>
    <w:rsid w:val="00374449"/>
    <w:rsid w:val="00376B3C"/>
    <w:rsid w:val="00377630"/>
    <w:rsid w:val="003814FD"/>
    <w:rsid w:val="003827D4"/>
    <w:rsid w:val="00383231"/>
    <w:rsid w:val="00392498"/>
    <w:rsid w:val="003935E3"/>
    <w:rsid w:val="003939F6"/>
    <w:rsid w:val="003A412D"/>
    <w:rsid w:val="003B37D6"/>
    <w:rsid w:val="003B3AD6"/>
    <w:rsid w:val="003B6E14"/>
    <w:rsid w:val="003B7280"/>
    <w:rsid w:val="003C3858"/>
    <w:rsid w:val="003C3F10"/>
    <w:rsid w:val="003E430D"/>
    <w:rsid w:val="003E601B"/>
    <w:rsid w:val="003F4C73"/>
    <w:rsid w:val="00401FE8"/>
    <w:rsid w:val="00405F4F"/>
    <w:rsid w:val="00407587"/>
    <w:rsid w:val="0041266A"/>
    <w:rsid w:val="00416453"/>
    <w:rsid w:val="00432383"/>
    <w:rsid w:val="00432621"/>
    <w:rsid w:val="0043349E"/>
    <w:rsid w:val="00434D1B"/>
    <w:rsid w:val="004455F0"/>
    <w:rsid w:val="004503C8"/>
    <w:rsid w:val="00463184"/>
    <w:rsid w:val="00475C27"/>
    <w:rsid w:val="004800F9"/>
    <w:rsid w:val="00491282"/>
    <w:rsid w:val="004964F0"/>
    <w:rsid w:val="00497D46"/>
    <w:rsid w:val="004A07CA"/>
    <w:rsid w:val="004B4648"/>
    <w:rsid w:val="004B4779"/>
    <w:rsid w:val="004C2877"/>
    <w:rsid w:val="004D01BF"/>
    <w:rsid w:val="004D2565"/>
    <w:rsid w:val="004D41A3"/>
    <w:rsid w:val="004E20AE"/>
    <w:rsid w:val="004E4C87"/>
    <w:rsid w:val="004F3D64"/>
    <w:rsid w:val="004F496D"/>
    <w:rsid w:val="004F4C4D"/>
    <w:rsid w:val="004F79AF"/>
    <w:rsid w:val="00500D5B"/>
    <w:rsid w:val="005015EE"/>
    <w:rsid w:val="0051042F"/>
    <w:rsid w:val="0051241B"/>
    <w:rsid w:val="00513756"/>
    <w:rsid w:val="00514D9E"/>
    <w:rsid w:val="005236BD"/>
    <w:rsid w:val="005256DD"/>
    <w:rsid w:val="005258E6"/>
    <w:rsid w:val="00534A08"/>
    <w:rsid w:val="00545078"/>
    <w:rsid w:val="005450B7"/>
    <w:rsid w:val="00550D43"/>
    <w:rsid w:val="0056676B"/>
    <w:rsid w:val="00570D4D"/>
    <w:rsid w:val="00574789"/>
    <w:rsid w:val="005754AB"/>
    <w:rsid w:val="005850AF"/>
    <w:rsid w:val="005858D3"/>
    <w:rsid w:val="00594B6A"/>
    <w:rsid w:val="00594E65"/>
    <w:rsid w:val="005A6CB3"/>
    <w:rsid w:val="005B208A"/>
    <w:rsid w:val="005B2ABB"/>
    <w:rsid w:val="005B7FB4"/>
    <w:rsid w:val="005D0747"/>
    <w:rsid w:val="005D2CF3"/>
    <w:rsid w:val="005D4C44"/>
    <w:rsid w:val="005D4DCE"/>
    <w:rsid w:val="005E553B"/>
    <w:rsid w:val="005E71EA"/>
    <w:rsid w:val="006027C7"/>
    <w:rsid w:val="006036F8"/>
    <w:rsid w:val="006037D3"/>
    <w:rsid w:val="006038B4"/>
    <w:rsid w:val="00604403"/>
    <w:rsid w:val="00611515"/>
    <w:rsid w:val="00613B94"/>
    <w:rsid w:val="00614532"/>
    <w:rsid w:val="006158C1"/>
    <w:rsid w:val="00626B60"/>
    <w:rsid w:val="00651462"/>
    <w:rsid w:val="00651B88"/>
    <w:rsid w:val="006528B6"/>
    <w:rsid w:val="0065711B"/>
    <w:rsid w:val="0066446C"/>
    <w:rsid w:val="006679C0"/>
    <w:rsid w:val="00667D7A"/>
    <w:rsid w:val="00670953"/>
    <w:rsid w:val="00671CB0"/>
    <w:rsid w:val="00681213"/>
    <w:rsid w:val="00686218"/>
    <w:rsid w:val="00691122"/>
    <w:rsid w:val="006945B9"/>
    <w:rsid w:val="006957B7"/>
    <w:rsid w:val="00697F05"/>
    <w:rsid w:val="006A13F5"/>
    <w:rsid w:val="006C0741"/>
    <w:rsid w:val="006C4194"/>
    <w:rsid w:val="006C66E3"/>
    <w:rsid w:val="006D157D"/>
    <w:rsid w:val="006D7625"/>
    <w:rsid w:val="006E1466"/>
    <w:rsid w:val="006E27E7"/>
    <w:rsid w:val="006E3B85"/>
    <w:rsid w:val="006F2B7D"/>
    <w:rsid w:val="0070012C"/>
    <w:rsid w:val="0070218A"/>
    <w:rsid w:val="007026E1"/>
    <w:rsid w:val="0072173B"/>
    <w:rsid w:val="00726D89"/>
    <w:rsid w:val="00727992"/>
    <w:rsid w:val="00731D50"/>
    <w:rsid w:val="00735229"/>
    <w:rsid w:val="00741DB5"/>
    <w:rsid w:val="00741E00"/>
    <w:rsid w:val="00744BA6"/>
    <w:rsid w:val="0074745B"/>
    <w:rsid w:val="00754FF9"/>
    <w:rsid w:val="00765D9D"/>
    <w:rsid w:val="007673AE"/>
    <w:rsid w:val="00780326"/>
    <w:rsid w:val="00794EDD"/>
    <w:rsid w:val="007B4561"/>
    <w:rsid w:val="007C2116"/>
    <w:rsid w:val="007C2BE3"/>
    <w:rsid w:val="007C3E2C"/>
    <w:rsid w:val="007C5D9A"/>
    <w:rsid w:val="007D0FB6"/>
    <w:rsid w:val="007D2A65"/>
    <w:rsid w:val="007D3A2C"/>
    <w:rsid w:val="007D6928"/>
    <w:rsid w:val="007D77D3"/>
    <w:rsid w:val="007E0BEF"/>
    <w:rsid w:val="007E27CE"/>
    <w:rsid w:val="007E38A7"/>
    <w:rsid w:val="007E435F"/>
    <w:rsid w:val="007E74F2"/>
    <w:rsid w:val="007E7860"/>
    <w:rsid w:val="007F0057"/>
    <w:rsid w:val="007F5A01"/>
    <w:rsid w:val="007F6703"/>
    <w:rsid w:val="00800EC8"/>
    <w:rsid w:val="00806BC5"/>
    <w:rsid w:val="008102F1"/>
    <w:rsid w:val="00814516"/>
    <w:rsid w:val="0081517F"/>
    <w:rsid w:val="008228C4"/>
    <w:rsid w:val="00823D2F"/>
    <w:rsid w:val="008267C4"/>
    <w:rsid w:val="0082762E"/>
    <w:rsid w:val="00830157"/>
    <w:rsid w:val="00835D8C"/>
    <w:rsid w:val="008432DF"/>
    <w:rsid w:val="008503C3"/>
    <w:rsid w:val="00853CD2"/>
    <w:rsid w:val="00857E34"/>
    <w:rsid w:val="008625CD"/>
    <w:rsid w:val="00865420"/>
    <w:rsid w:val="00885C66"/>
    <w:rsid w:val="008960D6"/>
    <w:rsid w:val="00896ACD"/>
    <w:rsid w:val="008A4922"/>
    <w:rsid w:val="008A7C7F"/>
    <w:rsid w:val="008C35C0"/>
    <w:rsid w:val="008D03A1"/>
    <w:rsid w:val="008D0654"/>
    <w:rsid w:val="008D1BA5"/>
    <w:rsid w:val="008D3109"/>
    <w:rsid w:val="008D62A3"/>
    <w:rsid w:val="008E7BB8"/>
    <w:rsid w:val="008F005D"/>
    <w:rsid w:val="00905E37"/>
    <w:rsid w:val="00910630"/>
    <w:rsid w:val="009203AE"/>
    <w:rsid w:val="00921F12"/>
    <w:rsid w:val="00923AD3"/>
    <w:rsid w:val="009243E1"/>
    <w:rsid w:val="00941472"/>
    <w:rsid w:val="009435E2"/>
    <w:rsid w:val="00956E08"/>
    <w:rsid w:val="00962B82"/>
    <w:rsid w:val="0096664C"/>
    <w:rsid w:val="00971B18"/>
    <w:rsid w:val="00977477"/>
    <w:rsid w:val="00977A23"/>
    <w:rsid w:val="00986A55"/>
    <w:rsid w:val="00993E62"/>
    <w:rsid w:val="00996747"/>
    <w:rsid w:val="009A3612"/>
    <w:rsid w:val="009B1DE0"/>
    <w:rsid w:val="009B2B97"/>
    <w:rsid w:val="009B4153"/>
    <w:rsid w:val="009C2450"/>
    <w:rsid w:val="009C4BEC"/>
    <w:rsid w:val="009C5F45"/>
    <w:rsid w:val="009D1949"/>
    <w:rsid w:val="009E2236"/>
    <w:rsid w:val="009F08A4"/>
    <w:rsid w:val="009F328B"/>
    <w:rsid w:val="009F60D4"/>
    <w:rsid w:val="00A03CC4"/>
    <w:rsid w:val="00A1448A"/>
    <w:rsid w:val="00A17170"/>
    <w:rsid w:val="00A179E7"/>
    <w:rsid w:val="00A232C4"/>
    <w:rsid w:val="00A25C08"/>
    <w:rsid w:val="00A26A2E"/>
    <w:rsid w:val="00A274BD"/>
    <w:rsid w:val="00A3084A"/>
    <w:rsid w:val="00A35637"/>
    <w:rsid w:val="00A50A32"/>
    <w:rsid w:val="00A57DA8"/>
    <w:rsid w:val="00A611B8"/>
    <w:rsid w:val="00A61C4A"/>
    <w:rsid w:val="00A638FA"/>
    <w:rsid w:val="00A64E49"/>
    <w:rsid w:val="00A7027D"/>
    <w:rsid w:val="00A7034B"/>
    <w:rsid w:val="00A7209D"/>
    <w:rsid w:val="00A755E5"/>
    <w:rsid w:val="00A773BF"/>
    <w:rsid w:val="00A91160"/>
    <w:rsid w:val="00AA2CC6"/>
    <w:rsid w:val="00AB7335"/>
    <w:rsid w:val="00AC4B75"/>
    <w:rsid w:val="00AD74EA"/>
    <w:rsid w:val="00AD7767"/>
    <w:rsid w:val="00AE595D"/>
    <w:rsid w:val="00AE6818"/>
    <w:rsid w:val="00B033AE"/>
    <w:rsid w:val="00B11F30"/>
    <w:rsid w:val="00B3208D"/>
    <w:rsid w:val="00B35ABB"/>
    <w:rsid w:val="00B44998"/>
    <w:rsid w:val="00B51649"/>
    <w:rsid w:val="00B52E72"/>
    <w:rsid w:val="00B700AE"/>
    <w:rsid w:val="00B84B07"/>
    <w:rsid w:val="00BA3860"/>
    <w:rsid w:val="00BA7BAF"/>
    <w:rsid w:val="00BB01DB"/>
    <w:rsid w:val="00BB1842"/>
    <w:rsid w:val="00BB1ACD"/>
    <w:rsid w:val="00BB1EC7"/>
    <w:rsid w:val="00BC2A70"/>
    <w:rsid w:val="00BC6FD7"/>
    <w:rsid w:val="00BC7416"/>
    <w:rsid w:val="00BD053F"/>
    <w:rsid w:val="00BD7A0F"/>
    <w:rsid w:val="00BE1B5D"/>
    <w:rsid w:val="00C0069E"/>
    <w:rsid w:val="00C00981"/>
    <w:rsid w:val="00C02D02"/>
    <w:rsid w:val="00C041C7"/>
    <w:rsid w:val="00C04AC3"/>
    <w:rsid w:val="00C04F79"/>
    <w:rsid w:val="00C0696D"/>
    <w:rsid w:val="00C15207"/>
    <w:rsid w:val="00C164C4"/>
    <w:rsid w:val="00C178DA"/>
    <w:rsid w:val="00C2177B"/>
    <w:rsid w:val="00C24070"/>
    <w:rsid w:val="00C24147"/>
    <w:rsid w:val="00C24578"/>
    <w:rsid w:val="00C26E11"/>
    <w:rsid w:val="00C27312"/>
    <w:rsid w:val="00C30765"/>
    <w:rsid w:val="00C37875"/>
    <w:rsid w:val="00C4114F"/>
    <w:rsid w:val="00C468BC"/>
    <w:rsid w:val="00C606DB"/>
    <w:rsid w:val="00C7156C"/>
    <w:rsid w:val="00C83B70"/>
    <w:rsid w:val="00C847DA"/>
    <w:rsid w:val="00C84856"/>
    <w:rsid w:val="00C871B2"/>
    <w:rsid w:val="00C87B14"/>
    <w:rsid w:val="00C90B5C"/>
    <w:rsid w:val="00C95913"/>
    <w:rsid w:val="00C96817"/>
    <w:rsid w:val="00C9694F"/>
    <w:rsid w:val="00CA10FF"/>
    <w:rsid w:val="00CB0088"/>
    <w:rsid w:val="00CB3003"/>
    <w:rsid w:val="00CC6CBB"/>
    <w:rsid w:val="00CD1C0A"/>
    <w:rsid w:val="00CD4E64"/>
    <w:rsid w:val="00CD623B"/>
    <w:rsid w:val="00CD6541"/>
    <w:rsid w:val="00CE3F41"/>
    <w:rsid w:val="00CE6050"/>
    <w:rsid w:val="00D0073A"/>
    <w:rsid w:val="00D00B02"/>
    <w:rsid w:val="00D01A7A"/>
    <w:rsid w:val="00D0254E"/>
    <w:rsid w:val="00D05F6F"/>
    <w:rsid w:val="00D06B67"/>
    <w:rsid w:val="00D07476"/>
    <w:rsid w:val="00D12829"/>
    <w:rsid w:val="00D143E5"/>
    <w:rsid w:val="00D21360"/>
    <w:rsid w:val="00D2603E"/>
    <w:rsid w:val="00D26196"/>
    <w:rsid w:val="00D26F0C"/>
    <w:rsid w:val="00D31822"/>
    <w:rsid w:val="00D4791B"/>
    <w:rsid w:val="00D47FA8"/>
    <w:rsid w:val="00D51C36"/>
    <w:rsid w:val="00D5229E"/>
    <w:rsid w:val="00D550B2"/>
    <w:rsid w:val="00D56F69"/>
    <w:rsid w:val="00D609B5"/>
    <w:rsid w:val="00D628E9"/>
    <w:rsid w:val="00D645DE"/>
    <w:rsid w:val="00D6531A"/>
    <w:rsid w:val="00D72F52"/>
    <w:rsid w:val="00D730BE"/>
    <w:rsid w:val="00D74E87"/>
    <w:rsid w:val="00D805B1"/>
    <w:rsid w:val="00D83C1A"/>
    <w:rsid w:val="00D95D7F"/>
    <w:rsid w:val="00DA001A"/>
    <w:rsid w:val="00DA004C"/>
    <w:rsid w:val="00DA032D"/>
    <w:rsid w:val="00DA10A7"/>
    <w:rsid w:val="00DA2E66"/>
    <w:rsid w:val="00DA756D"/>
    <w:rsid w:val="00DA7F00"/>
    <w:rsid w:val="00DB58CA"/>
    <w:rsid w:val="00DB5FC7"/>
    <w:rsid w:val="00DB6FB4"/>
    <w:rsid w:val="00DC480B"/>
    <w:rsid w:val="00DD6F29"/>
    <w:rsid w:val="00DE04D8"/>
    <w:rsid w:val="00DE16FF"/>
    <w:rsid w:val="00DE58DD"/>
    <w:rsid w:val="00DF706F"/>
    <w:rsid w:val="00E02E3C"/>
    <w:rsid w:val="00E06C18"/>
    <w:rsid w:val="00E15606"/>
    <w:rsid w:val="00E16BFF"/>
    <w:rsid w:val="00E236FC"/>
    <w:rsid w:val="00E32FBA"/>
    <w:rsid w:val="00E34E93"/>
    <w:rsid w:val="00E36E8B"/>
    <w:rsid w:val="00E449E0"/>
    <w:rsid w:val="00E46BE0"/>
    <w:rsid w:val="00E51129"/>
    <w:rsid w:val="00E60AAF"/>
    <w:rsid w:val="00E646EA"/>
    <w:rsid w:val="00E64F04"/>
    <w:rsid w:val="00E7034C"/>
    <w:rsid w:val="00E70807"/>
    <w:rsid w:val="00E77F15"/>
    <w:rsid w:val="00E92EC6"/>
    <w:rsid w:val="00E92F0C"/>
    <w:rsid w:val="00E943CF"/>
    <w:rsid w:val="00EA73A6"/>
    <w:rsid w:val="00EB0CC9"/>
    <w:rsid w:val="00EB3438"/>
    <w:rsid w:val="00EB4C85"/>
    <w:rsid w:val="00EB4D63"/>
    <w:rsid w:val="00EB671E"/>
    <w:rsid w:val="00EC3634"/>
    <w:rsid w:val="00ED09D3"/>
    <w:rsid w:val="00ED2821"/>
    <w:rsid w:val="00ED535F"/>
    <w:rsid w:val="00ED6022"/>
    <w:rsid w:val="00ED7451"/>
    <w:rsid w:val="00EE62A2"/>
    <w:rsid w:val="00EF0F85"/>
    <w:rsid w:val="00EF6D66"/>
    <w:rsid w:val="00EF758F"/>
    <w:rsid w:val="00F14AD8"/>
    <w:rsid w:val="00F21A0B"/>
    <w:rsid w:val="00F30151"/>
    <w:rsid w:val="00F303BA"/>
    <w:rsid w:val="00F305FC"/>
    <w:rsid w:val="00F34C38"/>
    <w:rsid w:val="00F43A50"/>
    <w:rsid w:val="00F5189F"/>
    <w:rsid w:val="00F552F1"/>
    <w:rsid w:val="00F6277A"/>
    <w:rsid w:val="00F63DBD"/>
    <w:rsid w:val="00F65E82"/>
    <w:rsid w:val="00F666A4"/>
    <w:rsid w:val="00F66B18"/>
    <w:rsid w:val="00F849D2"/>
    <w:rsid w:val="00F87498"/>
    <w:rsid w:val="00F92C48"/>
    <w:rsid w:val="00F93583"/>
    <w:rsid w:val="00FA44B6"/>
    <w:rsid w:val="00FA7748"/>
    <w:rsid w:val="00FB10A9"/>
    <w:rsid w:val="00FB6B60"/>
    <w:rsid w:val="00FD30F5"/>
    <w:rsid w:val="00FF27E3"/>
    <w:rsid w:val="00FF3B2E"/>
    <w:rsid w:val="00FF4356"/>
    <w:rsid w:val="57FD1747"/>
    <w:rsid w:val="6DFFC425"/>
    <w:rsid w:val="6F45ED7E"/>
    <w:rsid w:val="7FF9D5D3"/>
    <w:rsid w:val="FBA5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zh-CN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pPr>
      <w:widowControl w:val="0"/>
      <w:jc w:val="both"/>
    </w:pPr>
    <w:rPr>
      <w:rFonts w:ascii="等线" w:hAnsi="等线" w:eastAsia="等线" w:cs="Arial"/>
      <w:i/>
      <w:iCs/>
      <w:color w:val="44546A"/>
      <w:sz w:val="18"/>
      <w:szCs w:val="18"/>
      <w:lang w:val="en-US"/>
    </w:rPr>
  </w:style>
  <w:style w:type="paragraph" w:styleId="4">
    <w:name w:val="annotation text"/>
    <w:basedOn w:val="1"/>
    <w:link w:val="16"/>
    <w:semiHidden/>
    <w:unhideWhenUsed/>
    <w:uiPriority w:val="99"/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480" w:lineRule="auto"/>
    </w:pPr>
    <w:rPr>
      <w:lang w:val="en-US"/>
    </w:rPr>
  </w:style>
  <w:style w:type="paragraph" w:styleId="9">
    <w:name w:val="annotation subject"/>
    <w:basedOn w:val="4"/>
    <w:next w:val="4"/>
    <w:link w:val="17"/>
    <w:semiHidden/>
    <w:unhideWhenUsed/>
    <w:uiPriority w:val="99"/>
    <w:rPr>
      <w:b/>
      <w:bCs/>
    </w:rPr>
  </w:style>
  <w:style w:type="table" w:styleId="11">
    <w:name w:val="Table Grid"/>
    <w:basedOn w:val="1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6">
    <w:name w:val="批注文字 字符"/>
    <w:basedOn w:val="12"/>
    <w:link w:val="4"/>
    <w:semiHidden/>
    <w:uiPriority w:val="99"/>
    <w:rPr>
      <w:rFonts w:ascii="Times New Roman" w:hAnsi="Times New Roman" w:eastAsia="Times New Roman" w:cs="Times New Roman"/>
    </w:rPr>
  </w:style>
  <w:style w:type="character" w:customStyle="1" w:styleId="17">
    <w:name w:val="批注主题 字符"/>
    <w:basedOn w:val="16"/>
    <w:link w:val="9"/>
    <w:semiHidden/>
    <w:uiPriority w:val="99"/>
    <w:rPr>
      <w:rFonts w:ascii="Times New Roman" w:hAnsi="Times New Roman" w:eastAsia="Times New Roman" w:cs="Times New Roman"/>
      <w:b/>
      <w:bCs/>
    </w:rPr>
  </w:style>
  <w:style w:type="character" w:customStyle="1" w:styleId="18">
    <w:name w:val="批注框文本 字符"/>
    <w:basedOn w:val="12"/>
    <w:link w:val="5"/>
    <w:semiHidden/>
    <w:uiPriority w:val="99"/>
    <w:rPr>
      <w:rFonts w:ascii="Times New Roman" w:hAnsi="Times New Roman" w:eastAsia="Times New Roman" w:cs="Times New Roman"/>
      <w:sz w:val="18"/>
      <w:szCs w:val="18"/>
    </w:rPr>
  </w:style>
  <w:style w:type="character" w:customStyle="1" w:styleId="19">
    <w:name w:val="页眉 字符"/>
    <w:basedOn w:val="12"/>
    <w:link w:val="7"/>
    <w:uiPriority w:val="99"/>
    <w:rPr>
      <w:rFonts w:ascii="Times New Roman" w:hAnsi="Times New Roman" w:eastAsia="Times New Roman" w:cs="Times New Roman"/>
      <w:sz w:val="18"/>
      <w:szCs w:val="18"/>
    </w:rPr>
  </w:style>
  <w:style w:type="character" w:customStyle="1" w:styleId="20">
    <w:name w:val="页脚 字符"/>
    <w:basedOn w:val="12"/>
    <w:link w:val="6"/>
    <w:uiPriority w:val="99"/>
    <w:rPr>
      <w:rFonts w:ascii="Times New Roman" w:hAnsi="Times New Roman" w:eastAsia="Times New Roman" w:cs="Times New Roman"/>
      <w:sz w:val="18"/>
      <w:szCs w:val="18"/>
    </w:rPr>
  </w:style>
  <w:style w:type="paragraph" w:customStyle="1" w:styleId="21">
    <w:name w:val="EndNote Bibliography Title"/>
    <w:basedOn w:val="1"/>
    <w:link w:val="22"/>
    <w:uiPriority w:val="0"/>
    <w:pPr>
      <w:jc w:val="center"/>
    </w:pPr>
  </w:style>
  <w:style w:type="character" w:customStyle="1" w:styleId="22">
    <w:name w:val="EndNote Bibliography Title Char"/>
    <w:basedOn w:val="12"/>
    <w:link w:val="21"/>
    <w:uiPriority w:val="0"/>
    <w:rPr>
      <w:rFonts w:ascii="Times New Roman" w:hAnsi="Times New Roman" w:eastAsia="Times New Roman" w:cs="Times New Roman"/>
    </w:rPr>
  </w:style>
  <w:style w:type="paragraph" w:customStyle="1" w:styleId="23">
    <w:name w:val="EndNote Bibliography"/>
    <w:basedOn w:val="1"/>
    <w:link w:val="24"/>
    <w:uiPriority w:val="0"/>
    <w:pPr>
      <w:jc w:val="both"/>
    </w:pPr>
  </w:style>
  <w:style w:type="character" w:customStyle="1" w:styleId="24">
    <w:name w:val="EndNote Bibliography Char"/>
    <w:basedOn w:val="12"/>
    <w:link w:val="23"/>
    <w:uiPriority w:val="0"/>
    <w:rPr>
      <w:rFonts w:ascii="Times New Roman" w:hAnsi="Times New Roman" w:eastAsia="Times New Roman" w:cs="Times New Roman"/>
    </w:rPr>
  </w:style>
  <w:style w:type="paragraph" w:customStyle="1" w:styleId="25">
    <w:name w:val="Revision"/>
    <w:hidden/>
    <w:semiHidden/>
    <w:uiPriority w:val="99"/>
    <w:rPr>
      <w:rFonts w:ascii="Times New Roman" w:hAnsi="Times New Roman" w:eastAsia="Times New Roman" w:cs="Times New Roman"/>
      <w:sz w:val="24"/>
      <w:szCs w:val="24"/>
      <w:lang w:val="zh-CN" w:eastAsia="zh-CN" w:bidi="ar-SA"/>
    </w:rPr>
  </w:style>
  <w:style w:type="character" w:customStyle="1" w:styleId="26">
    <w:name w:val="标题 1 字符"/>
    <w:basedOn w:val="12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table" w:customStyle="1" w:styleId="27">
    <w:name w:val="Grid Table 1 Light Accent 1"/>
    <w:basedOn w:val="10"/>
    <w:uiPriority w:val="46"/>
    <w:tblPr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Plain Table 3"/>
    <w:basedOn w:val="10"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29">
    <w:name w:val="Grid Table Light"/>
    <w:basedOn w:val="10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30">
    <w:name w:val="Plain Table 1"/>
    <w:basedOn w:val="10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1">
    <w:name w:val="Plain Table 2"/>
    <w:basedOn w:val="10"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2">
    <w:name w:val="Plain Table 4"/>
    <w:basedOn w:val="10"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3">
    <w:name w:val="Plain Table 5"/>
    <w:basedOn w:val="10"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4">
    <w:name w:val="Grid Table 1 Light"/>
    <w:basedOn w:val="10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Grid Table 1 Light Accent 2"/>
    <w:basedOn w:val="10"/>
    <w:uiPriority w:val="46"/>
    <w:tblPr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table" w:customStyle="1" w:styleId="37">
    <w:name w:val="Table Grid1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2197</Words>
  <Characters>12526</Characters>
  <Lines>104</Lines>
  <Paragraphs>29</Paragraphs>
  <TotalTime>7</TotalTime>
  <ScaleCrop>false</ScaleCrop>
  <LinksUpToDate>false</LinksUpToDate>
  <CharactersWithSpaces>14694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2022-07-04T06:12:00Z</dcterms:created>
  <dc:creator>Runsen Chen</dc:creator>
  <cp:lastModifiedBy>Mandy</cp:lastModifiedBy>
  <dcterms:modified xsi:type="dcterms:W3CDTF">2024-08-02T11:30:36Z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2F213EC6374979963C3BAB6604314268_42</vt:lpwstr>
  </property>
</Properties>
</file>