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AA38" w14:textId="77777777" w:rsidR="001C5FFA" w:rsidRPr="00FB523C" w:rsidRDefault="001C5FFA" w:rsidP="001C5FFA">
      <w:pPr>
        <w:rPr>
          <w:rFonts w:cstheme="minorHAnsi"/>
          <w:b/>
          <w:bCs/>
          <w:color w:val="000000"/>
          <w:sz w:val="20"/>
          <w:szCs w:val="20"/>
        </w:rPr>
      </w:pPr>
      <w:r w:rsidRPr="00FB523C">
        <w:rPr>
          <w:rFonts w:cstheme="minorHAnsi"/>
          <w:b/>
          <w:bCs/>
          <w:color w:val="000000"/>
          <w:sz w:val="20"/>
          <w:szCs w:val="20"/>
        </w:rPr>
        <w:t xml:space="preserve">Table S1. </w:t>
      </w:r>
      <w:r w:rsidRPr="00FB523C">
        <w:rPr>
          <w:rFonts w:cstheme="minorHAnsi"/>
          <w:bCs/>
          <w:color w:val="000000"/>
          <w:sz w:val="20"/>
          <w:szCs w:val="20"/>
        </w:rPr>
        <w:t xml:space="preserve">Adjusted </w:t>
      </w:r>
      <w:r w:rsidRPr="00FB523C">
        <w:rPr>
          <w:rFonts w:cstheme="minorHAnsi"/>
          <w:color w:val="000000"/>
          <w:sz w:val="20"/>
          <w:szCs w:val="20"/>
        </w:rPr>
        <w:t>Odds ratio (OR) and 95% confidence interval (95%CI) for the risk of subsequent hospitalization for suicide attempts over the 12-months period after initial hospital discharge, for patients hospitalized for COVID-19  versus those hospitalized for another reason, in all adult patients hospitalized in metropolitan France the first half of 2020: Model 5, stratified by sex using model adjusted for all variables (Model 4) and Model 6, stratified by level of clinical care using model adjusted for all variables (Model 4)</w:t>
      </w:r>
    </w:p>
    <w:p w14:paraId="2D192307" w14:textId="77777777" w:rsidR="001C5FFA" w:rsidRPr="00FB523C" w:rsidRDefault="001C5FFA" w:rsidP="001C5FFA">
      <w:pPr>
        <w:spacing w:line="259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8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4511"/>
        <w:gridCol w:w="2932"/>
      </w:tblGrid>
      <w:tr w:rsidR="001C5FFA" w:rsidRPr="00FB523C" w14:paraId="105790A8" w14:textId="77777777" w:rsidTr="008143DD">
        <w:trPr>
          <w:trHeight w:val="340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61809C" w14:textId="77777777" w:rsidR="001C5FFA" w:rsidRPr="00FB523C" w:rsidRDefault="001C5FFA" w:rsidP="008143D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8FBBF0" w14:textId="77777777" w:rsidR="001C5FFA" w:rsidRPr="00FB523C" w:rsidRDefault="001C5FFA" w:rsidP="008143DD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9A2CF" w14:textId="77777777" w:rsidR="001C5FFA" w:rsidRPr="00FB523C" w:rsidRDefault="001C5FFA" w:rsidP="008143DD">
            <w:pPr>
              <w:jc w:val="center"/>
              <w:rPr>
                <w:color w:val="000000"/>
                <w:sz w:val="20"/>
                <w:szCs w:val="20"/>
              </w:rPr>
            </w:pPr>
            <w:r w:rsidRPr="00FB523C">
              <w:rPr>
                <w:i/>
                <w:iCs/>
                <w:color w:val="000000"/>
                <w:sz w:val="20"/>
                <w:szCs w:val="20"/>
              </w:rPr>
              <w:t>Hospitalization for COVID-19 vs hospitalization for another reason</w:t>
            </w:r>
          </w:p>
        </w:tc>
      </w:tr>
      <w:tr w:rsidR="001C5FFA" w:rsidRPr="00FB523C" w14:paraId="64FFF1F9" w14:textId="77777777" w:rsidTr="008143DD">
        <w:trPr>
          <w:trHeight w:val="340"/>
        </w:trPr>
        <w:tc>
          <w:tcPr>
            <w:tcW w:w="1018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0A552C04" w14:textId="77777777" w:rsidR="001C5FFA" w:rsidRPr="00FB523C" w:rsidRDefault="001C5FFA" w:rsidP="008143D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008644AA" w14:textId="77777777" w:rsidR="001C5FFA" w:rsidRPr="00FB523C" w:rsidRDefault="001C5FFA" w:rsidP="008143DD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A04CB81" w14:textId="77777777" w:rsidR="001C5FFA" w:rsidRPr="00FB523C" w:rsidRDefault="001C5FFA" w:rsidP="008143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B523C">
              <w:rPr>
                <w:color w:val="000000"/>
                <w:sz w:val="20"/>
                <w:szCs w:val="20"/>
              </w:rPr>
              <w:t>aOR</w:t>
            </w:r>
            <w:proofErr w:type="spellEnd"/>
            <w:r w:rsidRPr="00FB523C">
              <w:rPr>
                <w:color w:val="000000"/>
                <w:sz w:val="20"/>
                <w:szCs w:val="20"/>
              </w:rPr>
              <w:t xml:space="preserve"> (95%CI)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π</w:t>
            </w:r>
          </w:p>
        </w:tc>
      </w:tr>
      <w:tr w:rsidR="001C5FFA" w:rsidRPr="00FB523C" w14:paraId="70D4ADB5" w14:textId="77777777" w:rsidTr="008143DD">
        <w:trPr>
          <w:trHeight w:val="320"/>
        </w:trPr>
        <w:tc>
          <w:tcPr>
            <w:tcW w:w="1018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49F2C828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</w:rPr>
              <w:t>Model 5</w:t>
            </w:r>
          </w:p>
        </w:tc>
        <w:tc>
          <w:tcPr>
            <w:tcW w:w="4511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01F57330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4050A4F2" w14:textId="77777777" w:rsidR="001C5FFA" w:rsidRPr="00FB523C" w:rsidRDefault="001C5FFA" w:rsidP="008143DD">
            <w:pPr>
              <w:jc w:val="center"/>
              <w:rPr>
                <w:sz w:val="20"/>
                <w:szCs w:val="20"/>
              </w:rPr>
            </w:pPr>
          </w:p>
        </w:tc>
      </w:tr>
      <w:tr w:rsidR="001C5FFA" w:rsidRPr="00FB523C" w14:paraId="7EFB3E7A" w14:textId="77777777" w:rsidTr="008143DD">
        <w:trPr>
          <w:trHeight w:val="32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18E8C6" w14:textId="77777777" w:rsidR="001C5FFA" w:rsidRPr="00FB523C" w:rsidRDefault="001C5FFA" w:rsidP="008143DD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  <w:noWrap/>
            <w:vAlign w:val="center"/>
            <w:hideMark/>
          </w:tcPr>
          <w:p w14:paraId="18A6BCB0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14:paraId="4FA16DB9" w14:textId="77777777" w:rsidR="001C5FFA" w:rsidRPr="00FB523C" w:rsidRDefault="001C5FFA" w:rsidP="0081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23C">
              <w:rPr>
                <w:b/>
                <w:bCs/>
                <w:color w:val="000000"/>
                <w:sz w:val="20"/>
                <w:szCs w:val="20"/>
              </w:rPr>
              <w:t>0.75</w:t>
            </w:r>
            <w:r w:rsidRPr="00FB523C">
              <w:rPr>
                <w:b/>
                <w:bCs/>
                <w:color w:val="E97132" w:themeColor="accent2"/>
                <w:sz w:val="20"/>
                <w:szCs w:val="20"/>
              </w:rPr>
              <w:t xml:space="preserve"> </w:t>
            </w:r>
            <w:r w:rsidRPr="00FB523C">
              <w:rPr>
                <w:b/>
                <w:bCs/>
                <w:color w:val="000000"/>
                <w:sz w:val="20"/>
                <w:szCs w:val="20"/>
              </w:rPr>
              <w:t>[0.64</w:t>
            </w:r>
            <w:r w:rsidRPr="00FB523C">
              <w:rPr>
                <w:b/>
                <w:bCs/>
                <w:color w:val="E97132" w:themeColor="accent2"/>
                <w:sz w:val="20"/>
                <w:szCs w:val="20"/>
              </w:rPr>
              <w:t xml:space="preserve"> </w:t>
            </w:r>
            <w:r w:rsidRPr="00FB523C">
              <w:rPr>
                <w:b/>
                <w:bCs/>
                <w:color w:val="000000"/>
                <w:sz w:val="20"/>
                <w:szCs w:val="20"/>
              </w:rPr>
              <w:t>-0.87]</w:t>
            </w:r>
          </w:p>
        </w:tc>
      </w:tr>
      <w:tr w:rsidR="001C5FFA" w:rsidRPr="00FB523C" w14:paraId="602B0D44" w14:textId="77777777" w:rsidTr="008143DD">
        <w:trPr>
          <w:trHeight w:val="320"/>
        </w:trPr>
        <w:tc>
          <w:tcPr>
            <w:tcW w:w="1018" w:type="dxa"/>
            <w:tcBorders>
              <w:bottom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0798BA39" w14:textId="77777777" w:rsidR="001C5FFA" w:rsidRPr="00FB523C" w:rsidRDefault="001C5FFA" w:rsidP="008143DD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92CBF67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932" w:type="dxa"/>
            <w:tcBorders>
              <w:bottom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14B789B8" w14:textId="77777777" w:rsidR="001C5FFA" w:rsidRPr="00FB523C" w:rsidRDefault="001C5FFA" w:rsidP="0081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23C">
              <w:rPr>
                <w:b/>
                <w:bCs/>
                <w:color w:val="000000"/>
                <w:sz w:val="20"/>
                <w:szCs w:val="20"/>
              </w:rPr>
              <w:t>0.63</w:t>
            </w:r>
            <w:r w:rsidRPr="00FB523C">
              <w:rPr>
                <w:b/>
                <w:bCs/>
                <w:color w:val="E97132" w:themeColor="accent2"/>
                <w:sz w:val="20"/>
                <w:szCs w:val="20"/>
              </w:rPr>
              <w:t xml:space="preserve"> </w:t>
            </w:r>
            <w:r w:rsidRPr="00FB523C">
              <w:rPr>
                <w:b/>
                <w:bCs/>
                <w:color w:val="000000"/>
                <w:sz w:val="20"/>
                <w:szCs w:val="20"/>
              </w:rPr>
              <w:t>[0.</w:t>
            </w:r>
            <w:r w:rsidRPr="00FB523C">
              <w:rPr>
                <w:b/>
                <w:bCs/>
                <w:color w:val="000000" w:themeColor="text1"/>
                <w:sz w:val="20"/>
                <w:szCs w:val="20"/>
              </w:rPr>
              <w:t>53-0.74</w:t>
            </w:r>
            <w:r w:rsidRPr="00FB523C"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1C5FFA" w:rsidRPr="00FB523C" w14:paraId="649F4A1B" w14:textId="77777777" w:rsidTr="008143DD">
        <w:trPr>
          <w:trHeight w:val="320"/>
        </w:trPr>
        <w:tc>
          <w:tcPr>
            <w:tcW w:w="1018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6EA8D719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</w:rPr>
              <w:t>Model 6</w:t>
            </w:r>
          </w:p>
        </w:tc>
        <w:tc>
          <w:tcPr>
            <w:tcW w:w="4511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5E50BB6A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5A32A98C" w14:textId="77777777" w:rsidR="001C5FFA" w:rsidRPr="00FB523C" w:rsidRDefault="001C5FFA" w:rsidP="00814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5FFA" w:rsidRPr="00FB523C" w14:paraId="5A01ACA5" w14:textId="77777777" w:rsidTr="008143DD">
        <w:trPr>
          <w:trHeight w:val="32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DEADD60" w14:textId="77777777" w:rsidR="001C5FFA" w:rsidRPr="00FB523C" w:rsidRDefault="001C5FFA" w:rsidP="008143DD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63B9779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FB523C">
              <w:rPr>
                <w:color w:val="000000"/>
                <w:sz w:val="20"/>
                <w:szCs w:val="20"/>
              </w:rPr>
              <w:t xml:space="preserve"> Level 1: General hospital ward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14:paraId="772ED080" w14:textId="77777777" w:rsidR="001C5FFA" w:rsidRPr="00FB523C" w:rsidRDefault="001C5FFA" w:rsidP="0081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23C">
              <w:rPr>
                <w:b/>
                <w:bCs/>
                <w:color w:val="000000"/>
                <w:sz w:val="20"/>
                <w:szCs w:val="20"/>
              </w:rPr>
              <w:t>0.84 [0.74-0.96]</w:t>
            </w:r>
          </w:p>
        </w:tc>
      </w:tr>
      <w:tr w:rsidR="001C5FFA" w:rsidRPr="00FB523C" w14:paraId="29294C21" w14:textId="77777777" w:rsidTr="008143DD">
        <w:trPr>
          <w:trHeight w:val="32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D491062" w14:textId="77777777" w:rsidR="001C5FFA" w:rsidRPr="00FB523C" w:rsidRDefault="001C5FFA" w:rsidP="008143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47063C4B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B523C">
              <w:rPr>
                <w:color w:val="000000"/>
                <w:sz w:val="20"/>
                <w:szCs w:val="20"/>
              </w:rPr>
              <w:t xml:space="preserve"> Level 2: Intensive care unit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14:paraId="5543E808" w14:textId="77777777" w:rsidR="001C5FFA" w:rsidRPr="00FB523C" w:rsidRDefault="001C5FFA" w:rsidP="0081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23C">
              <w:rPr>
                <w:b/>
                <w:bCs/>
                <w:color w:val="000000"/>
                <w:sz w:val="20"/>
                <w:szCs w:val="20"/>
              </w:rPr>
              <w:t>0.61 [0.46-0.80]</w:t>
            </w:r>
          </w:p>
        </w:tc>
      </w:tr>
      <w:tr w:rsidR="001C5FFA" w:rsidRPr="00FB523C" w14:paraId="414A9832" w14:textId="77777777" w:rsidTr="008143DD">
        <w:trPr>
          <w:trHeight w:val="32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05A63EF" w14:textId="77777777" w:rsidR="001C5FFA" w:rsidRPr="00FB523C" w:rsidRDefault="001C5FFA" w:rsidP="008143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  <w:noWrap/>
            <w:vAlign w:val="bottom"/>
            <w:hideMark/>
          </w:tcPr>
          <w:p w14:paraId="16B8886A" w14:textId="77777777" w:rsidR="001C5FFA" w:rsidRPr="00FB523C" w:rsidRDefault="001C5FFA" w:rsidP="008143DD">
            <w:pPr>
              <w:rPr>
                <w:color w:val="000000"/>
                <w:sz w:val="20"/>
                <w:szCs w:val="20"/>
              </w:rPr>
            </w:pPr>
            <w:r w:rsidRPr="00FB523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B523C">
              <w:rPr>
                <w:color w:val="000000"/>
                <w:sz w:val="20"/>
                <w:szCs w:val="20"/>
              </w:rPr>
              <w:t xml:space="preserve"> Level 3: Intensive care unit with invasive procedures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14:paraId="40561403" w14:textId="77777777" w:rsidR="001C5FFA" w:rsidRPr="00FB523C" w:rsidRDefault="001C5FFA" w:rsidP="0081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23C">
              <w:rPr>
                <w:b/>
                <w:bCs/>
                <w:color w:val="000000"/>
                <w:sz w:val="20"/>
                <w:szCs w:val="20"/>
              </w:rPr>
              <w:t>0.22 [0.14-0.34]</w:t>
            </w:r>
          </w:p>
        </w:tc>
      </w:tr>
    </w:tbl>
    <w:p w14:paraId="65BD9F96" w14:textId="77777777" w:rsidR="001C5FFA" w:rsidRPr="00FB523C" w:rsidRDefault="001C5FFA" w:rsidP="001C5FFA">
      <w:pPr>
        <w:spacing w:line="259" w:lineRule="auto"/>
        <w:rPr>
          <w:rFonts w:cstheme="minorHAnsi"/>
          <w:color w:val="000000"/>
          <w:sz w:val="18"/>
          <w:szCs w:val="18"/>
          <w:lang w:val="en-GB"/>
        </w:rPr>
      </w:pPr>
    </w:p>
    <w:p w14:paraId="36A02D23" w14:textId="77777777" w:rsidR="001C5FFA" w:rsidRPr="00FB523C" w:rsidRDefault="001C5FFA" w:rsidP="001C5FFA">
      <w:pPr>
        <w:spacing w:line="259" w:lineRule="auto"/>
        <w:rPr>
          <w:rFonts w:cstheme="minorHAnsi"/>
          <w:color w:val="000000"/>
          <w:sz w:val="18"/>
          <w:szCs w:val="18"/>
          <w:lang w:val="en-GB"/>
        </w:rPr>
      </w:pPr>
    </w:p>
    <w:p w14:paraId="39F063EB" w14:textId="77777777" w:rsidR="001C5FFA" w:rsidRPr="00FB523C" w:rsidRDefault="001C5FFA" w:rsidP="001C5FFA">
      <w:pPr>
        <w:spacing w:line="259" w:lineRule="auto"/>
        <w:rPr>
          <w:rFonts w:cstheme="minorHAnsi"/>
          <w:color w:val="000000"/>
          <w:sz w:val="18"/>
          <w:szCs w:val="18"/>
          <w:lang w:val="en-GB"/>
        </w:rPr>
      </w:pPr>
    </w:p>
    <w:p w14:paraId="5635FDCB" w14:textId="77777777" w:rsidR="001C5FFA" w:rsidRPr="00FB523C" w:rsidRDefault="001C5FFA" w:rsidP="001C5FFA">
      <w:pPr>
        <w:spacing w:line="259" w:lineRule="auto"/>
        <w:rPr>
          <w:rFonts w:cstheme="minorHAnsi"/>
          <w:b/>
          <w:bCs/>
          <w:color w:val="000000"/>
          <w:sz w:val="20"/>
          <w:szCs w:val="20"/>
        </w:rPr>
      </w:pPr>
      <w:r w:rsidRPr="00FB523C">
        <w:rPr>
          <w:rFonts w:cstheme="minorHAnsi"/>
          <w:b/>
          <w:bCs/>
          <w:color w:val="000000"/>
          <w:sz w:val="20"/>
          <w:szCs w:val="20"/>
        </w:rPr>
        <w:br w:type="page"/>
      </w:r>
    </w:p>
    <w:tbl>
      <w:tblPr>
        <w:tblStyle w:val="GridTable1Light-Accent5"/>
        <w:tblpPr w:leftFromText="141" w:rightFromText="141" w:vertAnchor="page" w:horzAnchor="margin" w:tblpXSpec="center" w:tblpY="3571"/>
        <w:tblW w:w="5638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702"/>
        <w:gridCol w:w="1702"/>
        <w:gridCol w:w="1987"/>
        <w:gridCol w:w="1987"/>
      </w:tblGrid>
      <w:tr w:rsidR="001C5FFA" w:rsidRPr="00FB523C" w14:paraId="7C280074" w14:textId="77777777" w:rsidTr="00814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7056434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61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85F5E79" w14:textId="77777777" w:rsidR="001C5FFA" w:rsidRPr="00FB523C" w:rsidRDefault="001C5FFA" w:rsidP="008143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1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832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DB8089F" w14:textId="77777777" w:rsidR="001C5FFA" w:rsidRPr="00FB523C" w:rsidRDefault="001C5FFA" w:rsidP="008143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2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‡</w:t>
            </w:r>
          </w:p>
        </w:tc>
        <w:tc>
          <w:tcPr>
            <w:tcW w:w="971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582F8C3C" w14:textId="77777777" w:rsidR="001C5FFA" w:rsidRPr="00FB523C" w:rsidRDefault="001C5FFA" w:rsidP="008143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3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971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323B6C9" w14:textId="77777777" w:rsidR="001C5FFA" w:rsidRPr="00FB523C" w:rsidRDefault="001C5FFA" w:rsidP="008143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4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π</w:t>
            </w:r>
          </w:p>
        </w:tc>
      </w:tr>
      <w:tr w:rsidR="001C5FFA" w:rsidRPr="00FB523C" w14:paraId="308D40B3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5A64E44" w14:textId="77777777" w:rsidR="001C5FFA" w:rsidRPr="00FB523C" w:rsidRDefault="001C5FFA" w:rsidP="008143DD">
            <w:pPr>
              <w:ind w:left="-642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  <w:hideMark/>
          </w:tcPr>
          <w:p w14:paraId="78153E5F" w14:textId="77777777" w:rsidR="001C5FFA" w:rsidRPr="00FB523C" w:rsidRDefault="001C5FFA" w:rsidP="008143DD">
            <w:pPr>
              <w:ind w:left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OR (95%CI)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  <w:hideMark/>
          </w:tcPr>
          <w:p w14:paraId="6206C124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  <w:hideMark/>
          </w:tcPr>
          <w:p w14:paraId="382C5B05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  <w:hideMark/>
          </w:tcPr>
          <w:p w14:paraId="18AC999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</w:tr>
      <w:tr w:rsidR="001C5FFA" w:rsidRPr="00FB523C" w14:paraId="769051D4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single" w:sz="4" w:space="0" w:color="auto"/>
            </w:tcBorders>
            <w:hideMark/>
          </w:tcPr>
          <w:p w14:paraId="35F7DCC2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hospitalization for COVID-19</w:t>
            </w:r>
          </w:p>
        </w:tc>
        <w:tc>
          <w:tcPr>
            <w:tcW w:w="832" w:type="pct"/>
            <w:tcBorders>
              <w:top w:val="single" w:sz="4" w:space="0" w:color="auto"/>
            </w:tcBorders>
            <w:hideMark/>
          </w:tcPr>
          <w:p w14:paraId="00DCCE21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tcBorders>
              <w:top w:val="single" w:sz="4" w:space="0" w:color="auto"/>
            </w:tcBorders>
            <w:hideMark/>
          </w:tcPr>
          <w:p w14:paraId="31DC7EB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  <w:hideMark/>
          </w:tcPr>
          <w:p w14:paraId="72F4F05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  <w:hideMark/>
          </w:tcPr>
          <w:p w14:paraId="39B52D1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C5FFA" w:rsidRPr="00FB523C" w14:paraId="690FDCBC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19A016DF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832" w:type="pct"/>
            <w:hideMark/>
          </w:tcPr>
          <w:p w14:paraId="2D9A2F5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32" w:type="pct"/>
            <w:hideMark/>
          </w:tcPr>
          <w:p w14:paraId="0F18187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hideMark/>
          </w:tcPr>
          <w:p w14:paraId="2A70707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hideMark/>
          </w:tcPr>
          <w:p w14:paraId="36976524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35A73EA8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2093FD27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832" w:type="pct"/>
            <w:noWrap/>
            <w:hideMark/>
          </w:tcPr>
          <w:p w14:paraId="6863876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0.45 [0.40-0.50]</w:t>
            </w:r>
          </w:p>
        </w:tc>
        <w:tc>
          <w:tcPr>
            <w:tcW w:w="832" w:type="pct"/>
            <w:noWrap/>
            <w:hideMark/>
          </w:tcPr>
          <w:p w14:paraId="4D4D4F4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0.60 [0.54-0.67]</w:t>
            </w:r>
          </w:p>
        </w:tc>
        <w:tc>
          <w:tcPr>
            <w:tcW w:w="971" w:type="pct"/>
            <w:noWrap/>
            <w:hideMark/>
          </w:tcPr>
          <w:p w14:paraId="29E75C1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0.58 [0.52-0.66]</w:t>
            </w:r>
          </w:p>
        </w:tc>
        <w:tc>
          <w:tcPr>
            <w:tcW w:w="971" w:type="pct"/>
            <w:noWrap/>
            <w:hideMark/>
          </w:tcPr>
          <w:p w14:paraId="2BC4BD84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0.63 [0.56-0.71]</w:t>
            </w:r>
          </w:p>
        </w:tc>
      </w:tr>
      <w:tr w:rsidR="001C5FFA" w:rsidRPr="00FB523C" w14:paraId="03D66725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6C1B745E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Sex</w:t>
            </w:r>
          </w:p>
        </w:tc>
        <w:tc>
          <w:tcPr>
            <w:tcW w:w="832" w:type="pct"/>
            <w:noWrap/>
            <w:hideMark/>
          </w:tcPr>
          <w:p w14:paraId="744C22F8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</w:tcPr>
          <w:p w14:paraId="27E688C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</w:tcPr>
          <w:p w14:paraId="521AA19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</w:tcPr>
          <w:p w14:paraId="62B639D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1C5FFA" w:rsidRPr="00FB523C" w14:paraId="5C5EE01B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533FAF16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32" w:type="pct"/>
            <w:noWrap/>
            <w:hideMark/>
          </w:tcPr>
          <w:p w14:paraId="4D2CC51E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</w:tcPr>
          <w:p w14:paraId="4992FFD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</w:tcPr>
          <w:p w14:paraId="276DC32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</w:tcPr>
          <w:p w14:paraId="38E5A104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15CA4E36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3EC85ADA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32" w:type="pct"/>
            <w:noWrap/>
            <w:hideMark/>
          </w:tcPr>
          <w:p w14:paraId="27523E61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192FD945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0.83 [0.79-0.86]</w:t>
            </w:r>
          </w:p>
        </w:tc>
        <w:tc>
          <w:tcPr>
            <w:tcW w:w="971" w:type="pct"/>
            <w:noWrap/>
            <w:hideMark/>
          </w:tcPr>
          <w:p w14:paraId="5BAEF13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0.82 [0.79-0.85]</w:t>
            </w:r>
          </w:p>
        </w:tc>
        <w:tc>
          <w:tcPr>
            <w:tcW w:w="971" w:type="pct"/>
            <w:noWrap/>
            <w:hideMark/>
          </w:tcPr>
          <w:p w14:paraId="61690AA5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0.87 [0.83-0.90]</w:t>
            </w:r>
          </w:p>
        </w:tc>
      </w:tr>
      <w:tr w:rsidR="001C5FFA" w:rsidRPr="00FB523C" w14:paraId="25997B22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0D27212C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832" w:type="pct"/>
            <w:noWrap/>
            <w:hideMark/>
          </w:tcPr>
          <w:p w14:paraId="31304743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242AAA9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13DFF146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1137D2AA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C5FFA" w:rsidRPr="00FB523C" w14:paraId="4B137523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0C1583BF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832" w:type="pct"/>
            <w:noWrap/>
            <w:hideMark/>
          </w:tcPr>
          <w:p w14:paraId="306BF94D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3947BA51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  <w:hideMark/>
          </w:tcPr>
          <w:p w14:paraId="0FC389E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  <w:hideMark/>
          </w:tcPr>
          <w:p w14:paraId="5B8CFEA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096C9CC0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44819954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832" w:type="pct"/>
            <w:noWrap/>
            <w:hideMark/>
          </w:tcPr>
          <w:p w14:paraId="3AE40EA5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5A12B5B1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</w:rPr>
              <w:t>1.18</w:t>
            </w: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[1.13-1.24]</w:t>
            </w:r>
          </w:p>
        </w:tc>
        <w:tc>
          <w:tcPr>
            <w:tcW w:w="971" w:type="pct"/>
            <w:noWrap/>
          </w:tcPr>
          <w:p w14:paraId="1AD13AC5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0.82 [0.79-0.86]</w:t>
            </w:r>
          </w:p>
        </w:tc>
        <w:tc>
          <w:tcPr>
            <w:tcW w:w="971" w:type="pct"/>
            <w:noWrap/>
            <w:hideMark/>
          </w:tcPr>
          <w:p w14:paraId="67C84785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0.82 [0.78-0.86]</w:t>
            </w:r>
          </w:p>
        </w:tc>
      </w:tr>
      <w:tr w:rsidR="001C5FFA" w:rsidRPr="00FB523C" w14:paraId="2D25FAEC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26C626A7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60-74</w:t>
            </w:r>
          </w:p>
        </w:tc>
        <w:tc>
          <w:tcPr>
            <w:tcW w:w="832" w:type="pct"/>
            <w:noWrap/>
            <w:hideMark/>
          </w:tcPr>
          <w:p w14:paraId="1AC5914A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28637556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0.33 [0.31-0.35]</w:t>
            </w:r>
          </w:p>
        </w:tc>
        <w:tc>
          <w:tcPr>
            <w:tcW w:w="971" w:type="pct"/>
            <w:noWrap/>
          </w:tcPr>
          <w:p w14:paraId="0A99399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0.26 [0.25-0.28]</w:t>
            </w:r>
          </w:p>
        </w:tc>
        <w:tc>
          <w:tcPr>
            <w:tcW w:w="971" w:type="pct"/>
            <w:noWrap/>
            <w:hideMark/>
          </w:tcPr>
          <w:p w14:paraId="3343051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0.27 [0.26-0.29]</w:t>
            </w:r>
          </w:p>
        </w:tc>
      </w:tr>
      <w:tr w:rsidR="001C5FFA" w:rsidRPr="00FB523C" w14:paraId="4F53ABC3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25180DD9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75+</w:t>
            </w:r>
          </w:p>
        </w:tc>
        <w:tc>
          <w:tcPr>
            <w:tcW w:w="832" w:type="pct"/>
            <w:noWrap/>
            <w:hideMark/>
          </w:tcPr>
          <w:p w14:paraId="26D7F6B4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46202C0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</w:rPr>
              <w:t>0.20 [0.18-0.21]</w:t>
            </w:r>
          </w:p>
        </w:tc>
        <w:tc>
          <w:tcPr>
            <w:tcW w:w="971" w:type="pct"/>
            <w:noWrap/>
            <w:hideMark/>
          </w:tcPr>
          <w:p w14:paraId="5B471F0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0.14 [0.13-0.15]</w:t>
            </w:r>
          </w:p>
        </w:tc>
        <w:tc>
          <w:tcPr>
            <w:tcW w:w="971" w:type="pct"/>
            <w:noWrap/>
            <w:hideMark/>
          </w:tcPr>
          <w:p w14:paraId="527E38BE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</w:rPr>
              <w:t>0.17 [0.16-0.18]</w:t>
            </w:r>
          </w:p>
        </w:tc>
      </w:tr>
      <w:tr w:rsidR="001C5FFA" w:rsidRPr="00FB523C" w14:paraId="0B9C49AF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57F13067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Social </w:t>
            </w:r>
            <w:proofErr w:type="spellStart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deprivation</w:t>
            </w:r>
            <w:proofErr w:type="spellEnd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index (quintiles) </w:t>
            </w:r>
          </w:p>
        </w:tc>
        <w:tc>
          <w:tcPr>
            <w:tcW w:w="832" w:type="pct"/>
            <w:noWrap/>
            <w:hideMark/>
          </w:tcPr>
          <w:p w14:paraId="5ADAD414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noWrap/>
            <w:hideMark/>
          </w:tcPr>
          <w:p w14:paraId="1806FC5A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1" w:type="pct"/>
            <w:noWrap/>
            <w:hideMark/>
          </w:tcPr>
          <w:p w14:paraId="5F0BD08D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1" w:type="pct"/>
            <w:noWrap/>
            <w:hideMark/>
          </w:tcPr>
          <w:p w14:paraId="634C927A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C5FFA" w:rsidRPr="00FB523C" w14:paraId="3D3444FA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05C37F9E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</w:rPr>
              <w:t xml:space="preserve">1 (least </w:t>
            </w:r>
            <w:proofErr w:type="spellStart"/>
            <w:r w:rsidRPr="00FB523C">
              <w:rPr>
                <w:rFonts w:cstheme="minorHAnsi"/>
                <w:sz w:val="20"/>
                <w:szCs w:val="20"/>
              </w:rPr>
              <w:t>deprive</w:t>
            </w:r>
            <w:proofErr w:type="spellEnd"/>
            <w:r w:rsidRPr="00FB523C">
              <w:rPr>
                <w:rFonts w:cstheme="minorHAnsi"/>
                <w:sz w:val="20"/>
                <w:szCs w:val="20"/>
                <w:lang w:val="en-GB"/>
              </w:rPr>
              <w:t>d)</w:t>
            </w:r>
          </w:p>
        </w:tc>
        <w:tc>
          <w:tcPr>
            <w:tcW w:w="832" w:type="pct"/>
            <w:noWrap/>
            <w:hideMark/>
          </w:tcPr>
          <w:p w14:paraId="380376FD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77F8904A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  <w:hideMark/>
          </w:tcPr>
          <w:p w14:paraId="15C4528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  <w:hideMark/>
          </w:tcPr>
          <w:p w14:paraId="279FEC2D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0DD1E196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1947015D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832" w:type="pct"/>
            <w:noWrap/>
            <w:hideMark/>
          </w:tcPr>
          <w:p w14:paraId="540C1EC1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7004C76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0.99 [0.93-1.07]</w:t>
            </w:r>
          </w:p>
        </w:tc>
        <w:tc>
          <w:tcPr>
            <w:tcW w:w="971" w:type="pct"/>
            <w:noWrap/>
            <w:hideMark/>
          </w:tcPr>
          <w:p w14:paraId="026191F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0.99 [0.92-1.07]</w:t>
            </w:r>
          </w:p>
        </w:tc>
        <w:tc>
          <w:tcPr>
            <w:tcW w:w="971" w:type="pct"/>
            <w:noWrap/>
            <w:hideMark/>
          </w:tcPr>
          <w:p w14:paraId="742A176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0.99 [0.92-1.07]</w:t>
            </w:r>
          </w:p>
        </w:tc>
      </w:tr>
      <w:tr w:rsidR="001C5FFA" w:rsidRPr="00FB523C" w14:paraId="34420000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47C7DD08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32" w:type="pct"/>
            <w:noWrap/>
            <w:hideMark/>
          </w:tcPr>
          <w:p w14:paraId="597755D2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522431EE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1.02 [0.95-1.10]</w:t>
            </w:r>
          </w:p>
        </w:tc>
        <w:tc>
          <w:tcPr>
            <w:tcW w:w="971" w:type="pct"/>
            <w:noWrap/>
            <w:hideMark/>
          </w:tcPr>
          <w:p w14:paraId="519C4CB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0.97 [0.90-1.04]</w:t>
            </w:r>
          </w:p>
        </w:tc>
        <w:tc>
          <w:tcPr>
            <w:tcW w:w="971" w:type="pct"/>
            <w:noWrap/>
            <w:hideMark/>
          </w:tcPr>
          <w:p w14:paraId="7438708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0.98 [0.91-1.05]</w:t>
            </w:r>
          </w:p>
        </w:tc>
      </w:tr>
      <w:tr w:rsidR="001C5FFA" w:rsidRPr="00FB523C" w14:paraId="6E951C41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6306DDBC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832" w:type="pct"/>
            <w:noWrap/>
            <w:hideMark/>
          </w:tcPr>
          <w:p w14:paraId="1975580E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45BFD3F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1.18 [1.10-1.26]</w:t>
            </w:r>
          </w:p>
        </w:tc>
        <w:tc>
          <w:tcPr>
            <w:tcW w:w="971" w:type="pct"/>
            <w:noWrap/>
            <w:hideMark/>
          </w:tcPr>
          <w:p w14:paraId="6B34BF5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1.11 [1.03-1.19]</w:t>
            </w:r>
          </w:p>
        </w:tc>
        <w:tc>
          <w:tcPr>
            <w:tcW w:w="971" w:type="pct"/>
            <w:noWrap/>
            <w:hideMark/>
          </w:tcPr>
          <w:p w14:paraId="619D676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1.12 [1.05-1.21]</w:t>
            </w:r>
          </w:p>
        </w:tc>
      </w:tr>
      <w:tr w:rsidR="001C5FFA" w:rsidRPr="00FB523C" w14:paraId="6ADBC7D0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6969E624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5 (most deprived)</w:t>
            </w:r>
          </w:p>
        </w:tc>
        <w:tc>
          <w:tcPr>
            <w:tcW w:w="832" w:type="pct"/>
            <w:noWrap/>
            <w:hideMark/>
          </w:tcPr>
          <w:p w14:paraId="1EAEEF16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3816EA12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1.14 [1.06-1.22]</w:t>
            </w:r>
          </w:p>
        </w:tc>
        <w:tc>
          <w:tcPr>
            <w:tcW w:w="971" w:type="pct"/>
            <w:noWrap/>
            <w:hideMark/>
          </w:tcPr>
          <w:p w14:paraId="621E8E8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1.05 [0.98-1.13]</w:t>
            </w:r>
          </w:p>
        </w:tc>
        <w:tc>
          <w:tcPr>
            <w:tcW w:w="971" w:type="pct"/>
            <w:noWrap/>
            <w:hideMark/>
          </w:tcPr>
          <w:p w14:paraId="494EB0A7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1.07 [1.00-1.15]</w:t>
            </w:r>
          </w:p>
        </w:tc>
      </w:tr>
      <w:tr w:rsidR="001C5FFA" w:rsidRPr="00FB523C" w14:paraId="6818A1C2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0C8D6BE7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sz w:val="20"/>
                <w:szCs w:val="20"/>
                <w:lang w:val="en-GB"/>
              </w:rPr>
              <w:t>Psychiatric disorder history</w:t>
            </w:r>
          </w:p>
        </w:tc>
        <w:tc>
          <w:tcPr>
            <w:tcW w:w="832" w:type="pct"/>
            <w:noWrap/>
            <w:hideMark/>
          </w:tcPr>
          <w:p w14:paraId="287141C7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1BF5465D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2B9913CF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2A99C49E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C5FFA" w:rsidRPr="00FB523C" w14:paraId="59838C8F" w14:textId="77777777" w:rsidTr="008143D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140290CE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832" w:type="pct"/>
            <w:noWrap/>
            <w:hideMark/>
          </w:tcPr>
          <w:p w14:paraId="4179F5F1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7EDD06D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005CAD0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1" w:type="pct"/>
            <w:noWrap/>
            <w:hideMark/>
          </w:tcPr>
          <w:p w14:paraId="7E673C5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2F420038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noWrap/>
            <w:hideMark/>
          </w:tcPr>
          <w:p w14:paraId="26B42AD5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832" w:type="pct"/>
            <w:noWrap/>
            <w:hideMark/>
          </w:tcPr>
          <w:p w14:paraId="68DC01E5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5B41AA32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012B319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11.40 [10.95-11.87]</w:t>
            </w:r>
          </w:p>
        </w:tc>
        <w:tc>
          <w:tcPr>
            <w:tcW w:w="971" w:type="pct"/>
            <w:noWrap/>
            <w:hideMark/>
          </w:tcPr>
          <w:p w14:paraId="711AE14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11.22 [10.77-11.68]</w:t>
            </w:r>
          </w:p>
        </w:tc>
      </w:tr>
      <w:tr w:rsidR="001C5FFA" w:rsidRPr="00FB523C" w14:paraId="278C42B9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120F4108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Duration of initial hospital stay (days) - </w:t>
            </w:r>
            <w:proofErr w:type="gramStart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mean(</w:t>
            </w:r>
            <w:proofErr w:type="gramEnd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SD)</w:t>
            </w:r>
          </w:p>
        </w:tc>
        <w:tc>
          <w:tcPr>
            <w:tcW w:w="832" w:type="pct"/>
            <w:noWrap/>
            <w:hideMark/>
          </w:tcPr>
          <w:p w14:paraId="6E3E9DD4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7339CA9E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0B1F124D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420DD40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6C6781EB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hideMark/>
          </w:tcPr>
          <w:p w14:paraId="4AE88ACC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Level of clinical care received</w:t>
            </w:r>
          </w:p>
        </w:tc>
        <w:tc>
          <w:tcPr>
            <w:tcW w:w="832" w:type="pct"/>
            <w:noWrap/>
            <w:hideMark/>
          </w:tcPr>
          <w:p w14:paraId="56219AE9" w14:textId="77777777" w:rsidR="001C5FFA" w:rsidRPr="00FB523C" w:rsidRDefault="001C5FFA" w:rsidP="008143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6240BE93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68DBF6C0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59960C6C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0.94 [0.93-0.94]</w:t>
            </w:r>
          </w:p>
        </w:tc>
      </w:tr>
      <w:tr w:rsidR="001C5FFA" w:rsidRPr="00FB523C" w14:paraId="0BC029F1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vAlign w:val="center"/>
            <w:hideMark/>
          </w:tcPr>
          <w:p w14:paraId="59F009C8" w14:textId="77777777" w:rsidR="001C5FFA" w:rsidRPr="00FB523C" w:rsidRDefault="001C5FFA" w:rsidP="008143DD">
            <w:pPr>
              <w:ind w:left="57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>1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Level 1: General hospital ward</w:t>
            </w:r>
          </w:p>
        </w:tc>
        <w:tc>
          <w:tcPr>
            <w:tcW w:w="832" w:type="pct"/>
            <w:noWrap/>
            <w:hideMark/>
          </w:tcPr>
          <w:p w14:paraId="68B42FC5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noWrap/>
            <w:hideMark/>
          </w:tcPr>
          <w:p w14:paraId="63998AE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1472C72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noWrap/>
            <w:hideMark/>
          </w:tcPr>
          <w:p w14:paraId="124F6AC8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1A3320EB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bottom w:val="nil"/>
            </w:tcBorders>
            <w:vAlign w:val="center"/>
            <w:hideMark/>
          </w:tcPr>
          <w:p w14:paraId="6615A743" w14:textId="77777777" w:rsidR="001C5FFA" w:rsidRPr="00FB523C" w:rsidRDefault="001C5FFA" w:rsidP="008143DD">
            <w:pPr>
              <w:ind w:left="57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Level 2: ICU</w:t>
            </w:r>
            <w:r w:rsidRPr="00FB523C">
              <w:rPr>
                <w:rFonts w:cstheme="minorHAnsi"/>
                <w:sz w:val="18"/>
                <w:szCs w:val="18"/>
                <w:lang w:val="en-GB"/>
              </w:rPr>
              <w:t xml:space="preserve"> without invasive proc.</w:t>
            </w:r>
          </w:p>
        </w:tc>
        <w:tc>
          <w:tcPr>
            <w:tcW w:w="832" w:type="pct"/>
            <w:tcBorders>
              <w:bottom w:val="nil"/>
            </w:tcBorders>
            <w:noWrap/>
            <w:hideMark/>
          </w:tcPr>
          <w:p w14:paraId="67BEB5B1" w14:textId="77777777" w:rsidR="001C5FFA" w:rsidRPr="00FB523C" w:rsidRDefault="001C5FFA" w:rsidP="008143DD">
            <w:pPr>
              <w:ind w:firstLineChars="100" w:firstLine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tcBorders>
              <w:bottom w:val="nil"/>
            </w:tcBorders>
            <w:noWrap/>
            <w:hideMark/>
          </w:tcPr>
          <w:p w14:paraId="1A4D26E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tcBorders>
              <w:bottom w:val="nil"/>
            </w:tcBorders>
            <w:noWrap/>
            <w:hideMark/>
          </w:tcPr>
          <w:p w14:paraId="1CDA89CB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71" w:type="pct"/>
            <w:tcBorders>
              <w:bottom w:val="nil"/>
            </w:tcBorders>
            <w:noWrap/>
            <w:hideMark/>
          </w:tcPr>
          <w:p w14:paraId="06E4FFB9" w14:textId="77777777" w:rsidR="001C5FFA" w:rsidRPr="00FB523C" w:rsidRDefault="001C5FFA" w:rsidP="008143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1.72 [1.61-1.83]</w:t>
            </w:r>
          </w:p>
        </w:tc>
      </w:tr>
      <w:tr w:rsidR="001C5FFA" w:rsidRPr="00FB523C" w14:paraId="661D63DC" w14:textId="77777777" w:rsidTr="008143D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682A081" w14:textId="77777777" w:rsidR="001C5FFA" w:rsidRPr="00FB523C" w:rsidRDefault="001C5FFA" w:rsidP="008143DD">
            <w:pPr>
              <w:ind w:left="57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 xml:space="preserve">3 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>Level 3: ICU with invasive procedure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C543321" w14:textId="77777777" w:rsidR="001C5FFA" w:rsidRPr="00FB523C" w:rsidRDefault="001C5FFA" w:rsidP="008143DD">
            <w:pPr>
              <w:ind w:righ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53A50A7" w14:textId="77777777" w:rsidR="001C5FFA" w:rsidRPr="00FB523C" w:rsidRDefault="001C5FFA" w:rsidP="008143DD">
            <w:pPr>
              <w:ind w:righ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9350470" w14:textId="77777777" w:rsidR="001C5FFA" w:rsidRPr="00FB523C" w:rsidRDefault="001C5FFA" w:rsidP="008143DD">
            <w:pPr>
              <w:ind w:righ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1F81A7F" w14:textId="77777777" w:rsidR="001C5FFA" w:rsidRPr="00FB523C" w:rsidRDefault="001C5FFA" w:rsidP="008143DD">
            <w:pPr>
              <w:ind w:righ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4.14 [3.77-4.55]</w:t>
            </w:r>
          </w:p>
        </w:tc>
      </w:tr>
    </w:tbl>
    <w:p w14:paraId="108CD414" w14:textId="77777777" w:rsidR="001C5FFA" w:rsidRPr="00FB523C" w:rsidRDefault="001C5FFA" w:rsidP="001C5FFA"/>
    <w:p w14:paraId="05B0BEFD" w14:textId="77777777" w:rsidR="001C5FFA" w:rsidRPr="00FB523C" w:rsidRDefault="001C5FFA" w:rsidP="001C5FFA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  <w:lang w:val="en-GB"/>
        </w:rPr>
      </w:pPr>
      <w:r w:rsidRPr="00FB523C">
        <w:rPr>
          <w:rFonts w:cstheme="minorHAnsi"/>
          <w:b/>
          <w:bCs/>
          <w:color w:val="000000"/>
          <w:sz w:val="20"/>
          <w:szCs w:val="20"/>
        </w:rPr>
        <w:t xml:space="preserve">Table S2. </w:t>
      </w:r>
      <w:r w:rsidRPr="00FB523C">
        <w:rPr>
          <w:rFonts w:cstheme="minorHAnsi"/>
          <w:bCs/>
          <w:color w:val="000000"/>
          <w:sz w:val="20"/>
          <w:szCs w:val="20"/>
          <w:lang w:val="en-GB"/>
        </w:rPr>
        <w:t xml:space="preserve"> Odds-ratio (OR), adjusted</w:t>
      </w:r>
      <w:r w:rsidRPr="00FB523C">
        <w:rPr>
          <w:rFonts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Pr="00FB523C">
        <w:rPr>
          <w:rFonts w:cstheme="minorHAnsi"/>
          <w:color w:val="000000"/>
          <w:sz w:val="20"/>
          <w:szCs w:val="20"/>
          <w:lang w:val="en-GB"/>
        </w:rPr>
        <w:t>odds-ratio (</w:t>
      </w:r>
      <w:proofErr w:type="spellStart"/>
      <w:r w:rsidRPr="00FB523C">
        <w:rPr>
          <w:rFonts w:cstheme="minorHAnsi"/>
          <w:color w:val="000000"/>
          <w:sz w:val="20"/>
          <w:szCs w:val="20"/>
          <w:lang w:val="en-GB"/>
        </w:rPr>
        <w:t>aOR</w:t>
      </w:r>
      <w:proofErr w:type="spellEnd"/>
      <w:r w:rsidRPr="00FB523C">
        <w:rPr>
          <w:rFonts w:cstheme="minorHAnsi"/>
          <w:color w:val="000000"/>
          <w:sz w:val="20"/>
          <w:szCs w:val="20"/>
          <w:lang w:val="en-GB"/>
        </w:rPr>
        <w:t xml:space="preserve">), and 95% confidence intervals (95%CI) for the risk of hospitalization for self-harm in the 12 months following hospital discharge for patients hospitalized for COVID-19 versus those hospitalized for another reason (in all adult patients hospitalized in metropolitan France </w:t>
      </w:r>
      <w:r w:rsidRPr="00FB523C">
        <w:rPr>
          <w:rFonts w:cstheme="minorHAnsi"/>
          <w:b/>
          <w:i/>
          <w:color w:val="000000"/>
          <w:sz w:val="20"/>
          <w:szCs w:val="20"/>
          <w:lang w:val="en-GB"/>
        </w:rPr>
        <w:t>between 16 March 2020 and 30 June 2020</w:t>
      </w:r>
      <w:r w:rsidRPr="00FB523C">
        <w:rPr>
          <w:rFonts w:cstheme="minorHAnsi"/>
          <w:color w:val="000000"/>
          <w:sz w:val="20"/>
          <w:szCs w:val="20"/>
          <w:lang w:val="en-GB"/>
        </w:rPr>
        <w:t>).</w:t>
      </w:r>
      <w:r w:rsidRPr="00FB523C">
        <w:rPr>
          <w:rFonts w:cstheme="minorHAnsi"/>
          <w:color w:val="000000"/>
          <w:lang w:val="en-GB"/>
        </w:rPr>
        <w:t xml:space="preserve">  </w:t>
      </w:r>
    </w:p>
    <w:tbl>
      <w:tblPr>
        <w:tblpPr w:leftFromText="141" w:rightFromText="141" w:vertAnchor="page" w:horzAnchor="margin" w:tblpXSpec="center" w:tblpY="11326"/>
        <w:tblW w:w="11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9"/>
      </w:tblGrid>
      <w:tr w:rsidR="001C5FFA" w:rsidRPr="00FB523C" w14:paraId="3481CE07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A78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† No adjustment </w:t>
            </w:r>
          </w:p>
        </w:tc>
      </w:tr>
      <w:tr w:rsidR="001C5FFA" w:rsidRPr="00FB523C" w14:paraId="3EFC7C68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B39D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‡ </w:t>
            </w:r>
            <w:r w:rsidRPr="00FB523C">
              <w:rPr>
                <w:rFonts w:cstheme="minorHAnsi"/>
                <w:i/>
                <w:iCs/>
                <w:color w:val="000000"/>
                <w:sz w:val="18"/>
                <w:szCs w:val="18"/>
                <w:lang w:val="en-GB"/>
              </w:rPr>
              <w:t xml:space="preserve">Odds-ratio 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>adjusted for socio-demographic characteristics: sex, age, region of residence, and social deprivation index</w:t>
            </w:r>
          </w:p>
        </w:tc>
      </w:tr>
      <w:tr w:rsidR="001C5FFA" w:rsidRPr="00FB523C" w14:paraId="62DB1A59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AAF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18"/>
                <w:szCs w:val="18"/>
                <w:lang w:val="en-GB"/>
              </w:rPr>
              <w:t>§ Odds-ratio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adjusted for socio-demographic characteristics and history of psychiatric disorder </w:t>
            </w:r>
          </w:p>
          <w:p w14:paraId="0A32B1AA" w14:textId="77777777" w:rsidR="001C5FFA" w:rsidRPr="00FB523C" w:rsidRDefault="001C5FFA" w:rsidP="008143D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>Level 1: patients with the mildest level of respiratory difficulty admitted to a general hospital ward (medical, surgery, obstetrics) who required no or low-flow oxygen (up to 15 L/min).</w:t>
            </w:r>
          </w:p>
          <w:p w14:paraId="55D6846C" w14:textId="77777777" w:rsidR="001C5FFA" w:rsidRPr="00FB523C" w:rsidRDefault="001C5FFA" w:rsidP="008143D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 xml:space="preserve">Level 2: patients admitted to an intensive care unit (ICU) irrespective of the intensity (i.e., type and flowrate) of oxygen supply therapy, and patients who received high-flow nasal oxygen or non-invasive </w:t>
            </w:r>
            <w:proofErr w:type="gramStart"/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>ventilation;</w:t>
            </w:r>
            <w:proofErr w:type="gramEnd"/>
          </w:p>
          <w:p w14:paraId="21A30FE2" w14:textId="77777777" w:rsidR="001C5FFA" w:rsidRPr="00FB523C" w:rsidRDefault="001C5FFA" w:rsidP="008143DD">
            <w:pPr>
              <w:ind w:left="-227" w:firstLineChars="100" w:firstLine="180"/>
              <w:contextualSpacing/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 xml:space="preserve"> Level 3: patients who were hospitalized in an ICU and required at least invasive ventilatory support</w:t>
            </w:r>
          </w:p>
          <w:p w14:paraId="07A5131E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1C5FFA" w:rsidRPr="00FB523C" w14:paraId="1DCAB9D4" w14:textId="77777777" w:rsidTr="008143DD">
        <w:trPr>
          <w:cantSplit/>
          <w:trHeight w:val="82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EA7DF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547CD1D" w14:textId="77777777" w:rsidR="001C5FFA" w:rsidRPr="00FB523C" w:rsidRDefault="001C5FFA" w:rsidP="001C5FFA">
      <w:pPr>
        <w:autoSpaceDE w:val="0"/>
        <w:autoSpaceDN w:val="0"/>
        <w:adjustRightInd w:val="0"/>
        <w:rPr>
          <w:rFonts w:cstheme="minorHAnsi"/>
          <w:bCs/>
          <w:color w:val="000000"/>
          <w:lang w:val="en-GB"/>
        </w:rPr>
      </w:pPr>
    </w:p>
    <w:p w14:paraId="2E9495DF" w14:textId="77777777" w:rsidR="001C5FFA" w:rsidRPr="00FB523C" w:rsidRDefault="001C5FFA" w:rsidP="001C5FFA">
      <w:pPr>
        <w:autoSpaceDE w:val="0"/>
        <w:autoSpaceDN w:val="0"/>
        <w:adjustRightInd w:val="0"/>
        <w:rPr>
          <w:rFonts w:cstheme="minorHAnsi"/>
          <w:bCs/>
          <w:color w:val="000000"/>
          <w:vertAlign w:val="superscript"/>
          <w:lang w:val="en-GB"/>
        </w:rPr>
      </w:pPr>
    </w:p>
    <w:p w14:paraId="154658AB" w14:textId="77777777" w:rsidR="001C5FFA" w:rsidRPr="00FB523C" w:rsidRDefault="001C5FFA" w:rsidP="001C5FFA">
      <w:pPr>
        <w:autoSpaceDE w:val="0"/>
        <w:autoSpaceDN w:val="0"/>
        <w:adjustRightInd w:val="0"/>
        <w:rPr>
          <w:rFonts w:cstheme="minorHAnsi"/>
          <w:bCs/>
          <w:color w:val="000000"/>
          <w:vertAlign w:val="superscript"/>
          <w:lang w:val="en-GB"/>
        </w:rPr>
      </w:pPr>
    </w:p>
    <w:p w14:paraId="46C444A1" w14:textId="77777777" w:rsidR="001C5FFA" w:rsidRPr="00FB523C" w:rsidRDefault="001C5FFA" w:rsidP="001C5FFA">
      <w:pPr>
        <w:autoSpaceDE w:val="0"/>
        <w:autoSpaceDN w:val="0"/>
        <w:adjustRightInd w:val="0"/>
        <w:rPr>
          <w:rFonts w:cstheme="minorHAnsi"/>
          <w:bCs/>
          <w:color w:val="000000"/>
          <w:vertAlign w:val="superscript"/>
          <w:lang w:val="en-GB"/>
        </w:rPr>
      </w:pPr>
    </w:p>
    <w:p w14:paraId="7289AA47" w14:textId="77777777" w:rsidR="001C5FFA" w:rsidRPr="00FB523C" w:rsidRDefault="001C5FFA" w:rsidP="001C5FFA">
      <w:pPr>
        <w:spacing w:line="259" w:lineRule="auto"/>
        <w:rPr>
          <w:rFonts w:cstheme="minorHAnsi"/>
          <w:b/>
          <w:bCs/>
          <w:color w:val="000000"/>
          <w:sz w:val="20"/>
          <w:szCs w:val="20"/>
          <w:lang w:val="en-GB"/>
        </w:rPr>
      </w:pPr>
      <w:r w:rsidRPr="00FB523C">
        <w:rPr>
          <w:rFonts w:cstheme="minorHAnsi"/>
          <w:b/>
          <w:bCs/>
          <w:color w:val="000000"/>
          <w:sz w:val="20"/>
          <w:szCs w:val="20"/>
          <w:lang w:val="en-GB"/>
        </w:rPr>
        <w:t xml:space="preserve"> </w:t>
      </w:r>
      <w:r w:rsidRPr="00FB523C">
        <w:rPr>
          <w:rFonts w:cstheme="minorHAnsi"/>
          <w:b/>
          <w:bCs/>
          <w:color w:val="000000"/>
          <w:sz w:val="20"/>
          <w:szCs w:val="20"/>
          <w:lang w:val="en-GB"/>
        </w:rPr>
        <w:br w:type="page"/>
      </w:r>
    </w:p>
    <w:tbl>
      <w:tblPr>
        <w:tblpPr w:leftFromText="141" w:rightFromText="141" w:vertAnchor="page" w:horzAnchor="page" w:tblpX="646" w:tblpY="2971"/>
        <w:tblOverlap w:val="never"/>
        <w:tblW w:w="10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757"/>
        <w:gridCol w:w="1715"/>
        <w:gridCol w:w="1814"/>
        <w:gridCol w:w="1814"/>
      </w:tblGrid>
      <w:tr w:rsidR="001C5FFA" w:rsidRPr="00FB523C" w14:paraId="442CC61C" w14:textId="77777777" w:rsidTr="008143DD">
        <w:trPr>
          <w:cantSplit/>
          <w:trHeight w:val="170"/>
        </w:trPr>
        <w:tc>
          <w:tcPr>
            <w:tcW w:w="31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656652C" w14:textId="77777777" w:rsidR="001C5FFA" w:rsidRPr="00FB523C" w:rsidRDefault="001C5FFA" w:rsidP="008143DD">
            <w:pPr>
              <w:contextualSpacing/>
              <w:rPr>
                <w:rFonts w:cstheme="minorHAnsi"/>
                <w:color w:val="0061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6100"/>
                <w:sz w:val="20"/>
                <w:szCs w:val="20"/>
                <w:lang w:val="en-GB"/>
              </w:rPr>
              <w:lastRenderedPageBreak/>
              <w:t> 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B741ABB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1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032584B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2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‡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671FF59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3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E5DEBD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 xml:space="preserve">Model 4 </w:t>
            </w:r>
            <w:r w:rsidRPr="00FB523C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π</w:t>
            </w:r>
          </w:p>
        </w:tc>
      </w:tr>
      <w:tr w:rsidR="001C5FFA" w:rsidRPr="00FB523C" w14:paraId="14F24FB8" w14:textId="77777777" w:rsidTr="008143DD">
        <w:trPr>
          <w:cantSplit/>
          <w:trHeight w:val="170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C74" w14:textId="77777777" w:rsidR="001C5FFA" w:rsidRPr="00FB523C" w:rsidRDefault="001C5FFA" w:rsidP="008143DD">
            <w:pPr>
              <w:ind w:left="-642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53CE2B" w14:textId="77777777" w:rsidR="001C5FFA" w:rsidRPr="00FB523C" w:rsidRDefault="001C5FFA" w:rsidP="008143DD">
            <w:pPr>
              <w:ind w:left="536"/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OR (95%CI)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9320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0C0F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75A5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(95%CI)</w:t>
            </w:r>
          </w:p>
        </w:tc>
      </w:tr>
      <w:tr w:rsidR="001C5FFA" w:rsidRPr="00FB523C" w14:paraId="3893405C" w14:textId="77777777" w:rsidTr="008143DD">
        <w:trPr>
          <w:cantSplit/>
          <w:trHeight w:val="170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E90695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hospitalization for COVID-19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AE5992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AF0EE8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DB9E17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4CC0F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C5FFA" w:rsidRPr="00FB523C" w14:paraId="3E4B2B3B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0418DC99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48D37E8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4A9A33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AE721D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00AEDA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50B4B9E1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64C645EF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575BE9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0.48 [0.42-0.53]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11D556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0.64 [0.57-0.71]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D61891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0.60 [0.54-0.67]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1D4EDD4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0.66 [0.59-0.74]</w:t>
            </w:r>
          </w:p>
        </w:tc>
      </w:tr>
      <w:tr w:rsidR="001C5FFA" w:rsidRPr="00FB523C" w14:paraId="66D230CD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404BBABD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Sex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447C1DF" w14:textId="77777777" w:rsidR="001C5FFA" w:rsidRPr="00FB523C" w:rsidRDefault="001C5FFA" w:rsidP="008143DD">
            <w:pPr>
              <w:contextualSpacing/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</w:tcPr>
          <w:p w14:paraId="3FE5605A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5DAE3C74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0520D3B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C5FFA" w:rsidRPr="00FB523C" w14:paraId="608C197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28A7144C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CC27815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</w:tcPr>
          <w:p w14:paraId="3B859A9E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F8962D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24A17181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4680163D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79B99529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F9C492B" w14:textId="77777777" w:rsidR="001C5FFA" w:rsidRPr="00FB523C" w:rsidRDefault="001C5FFA" w:rsidP="008143DD">
            <w:pPr>
              <w:ind w:firstLineChars="100" w:firstLine="201"/>
              <w:contextualSpacing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9AFD97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sz w:val="20"/>
                <w:szCs w:val="20"/>
                <w:lang w:val="en-GB"/>
              </w:rPr>
              <w:t>0.81 [0.79-0.84]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A36010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sz w:val="20"/>
                <w:szCs w:val="20"/>
                <w:lang w:val="en-GB"/>
              </w:rPr>
              <w:t>0.78 [10.76-0.81]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4D1FA67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sz w:val="20"/>
                <w:szCs w:val="20"/>
                <w:lang w:val="en-GB"/>
              </w:rPr>
              <w:t>0.82 [0.80-0.84]</w:t>
            </w:r>
          </w:p>
        </w:tc>
      </w:tr>
      <w:tr w:rsidR="001C5FFA" w:rsidRPr="00FB523C" w14:paraId="2F570758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3AE1ED50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859F706" w14:textId="77777777" w:rsidR="001C5FFA" w:rsidRPr="00FB523C" w:rsidRDefault="001C5FFA" w:rsidP="008143DD">
            <w:pPr>
              <w:contextualSpacing/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E66564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709BFD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C122661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1C5FFA" w:rsidRPr="00FB523C" w14:paraId="34BB673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38C185F9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33D747A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7AA500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7BCDD391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23A6181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2549C38F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147331D3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24B2FC4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97429F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</w:rPr>
              <w:t>1.05</w:t>
            </w: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 [1.01-1.081]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87A2E8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0.71 [0.69-0.73]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2572C42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0.71 [0.69-0.74]</w:t>
            </w:r>
          </w:p>
        </w:tc>
      </w:tr>
      <w:tr w:rsidR="001C5FFA" w:rsidRPr="00FB523C" w14:paraId="4D1E91BC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19E007CA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60-74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29784C2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9CCDF0B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0.27 [0.26-0.28]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395774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0.21 [0.20-0.22]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80E715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0.22 [0.21-0.23]</w:t>
            </w:r>
          </w:p>
        </w:tc>
      </w:tr>
      <w:tr w:rsidR="001C5FFA" w:rsidRPr="00FB523C" w14:paraId="63FA602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28C9BA8E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75+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E06AA95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0CAFD88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fr-FR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0.16 [0.16-0.17]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66D175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fr-FR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fr-FR"/>
              </w:rPr>
              <w:t>0.11 [0.11-0.12]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225ECC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fr-FR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fr-FR"/>
              </w:rPr>
              <w:t>0.13 [0.13-0.14]</w:t>
            </w:r>
          </w:p>
        </w:tc>
      </w:tr>
      <w:tr w:rsidR="001C5FFA" w:rsidRPr="00FB523C" w14:paraId="2BC052D2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74745F5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Social </w:t>
            </w:r>
            <w:proofErr w:type="spellStart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fr-FR"/>
              </w:rPr>
              <w:t>deprivation</w:t>
            </w:r>
            <w:proofErr w:type="spellEnd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fr-FR"/>
              </w:rPr>
              <w:t xml:space="preserve"> index (quintiles) 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4538BAB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3421D36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0B8A7D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70B68CE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</w:tr>
      <w:tr w:rsidR="001C5FFA" w:rsidRPr="00FB523C" w14:paraId="5271CA9D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0C360DAC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fr-FR"/>
              </w:rPr>
              <w:t xml:space="preserve">1 (least </w:t>
            </w:r>
            <w:proofErr w:type="spellStart"/>
            <w:r w:rsidRPr="00FB523C">
              <w:rPr>
                <w:rFonts w:cstheme="minorHAnsi"/>
                <w:sz w:val="20"/>
                <w:szCs w:val="20"/>
                <w:lang w:val="fr-FR"/>
              </w:rPr>
              <w:t>deprive</w:t>
            </w:r>
            <w:proofErr w:type="spellEnd"/>
            <w:r w:rsidRPr="00FB523C">
              <w:rPr>
                <w:rFonts w:cstheme="minorHAnsi"/>
                <w:sz w:val="20"/>
                <w:szCs w:val="20"/>
                <w:lang w:val="en-GB"/>
              </w:rPr>
              <w:t>d)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0B728A0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D9E2AE2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7E0191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B302E6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1AD50918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7276B9A8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FBD4CF4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2C3E0E4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0.98 [0.93-1.04]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3B660E7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0.99 [0.93-1.04]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6B0771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0.99 [0.94-1.04]</w:t>
            </w:r>
          </w:p>
        </w:tc>
      </w:tr>
      <w:tr w:rsidR="001C5FFA" w:rsidRPr="00FB523C" w14:paraId="28F3A27A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79CA947D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BAF7725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57AAA78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1.08 [1.02-1.13]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DEAAA51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1.02 [0.97-1.08]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7E94AE67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1.03 [0.98-1.09]</w:t>
            </w:r>
          </w:p>
        </w:tc>
      </w:tr>
      <w:tr w:rsidR="001C5FFA" w:rsidRPr="00FB523C" w14:paraId="670F8B3B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25ACDBF1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37E7A2C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5621F114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1.19 [1.13-1.25]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F2A7949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1.11 [1.06-1.17]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B7BCA5F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1.13 [1.07-1.19]</w:t>
            </w:r>
          </w:p>
        </w:tc>
      </w:tr>
      <w:tr w:rsidR="001C5FFA" w:rsidRPr="00FB523C" w14:paraId="354E0FF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5A5D45C7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5 (most deprived)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74AB9FC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8CDD87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1.17 [1.11-1.23]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BF5C72A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1.07 [1.02-1.13]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EE654C0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1.09 [1.04-1.15]</w:t>
            </w:r>
          </w:p>
        </w:tc>
      </w:tr>
      <w:tr w:rsidR="001C5FFA" w:rsidRPr="00FB523C" w14:paraId="3798696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hideMark/>
          </w:tcPr>
          <w:p w14:paraId="0EC70B6A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sz w:val="20"/>
                <w:szCs w:val="20"/>
                <w:lang w:val="en-GB"/>
              </w:rPr>
              <w:t>Psychiatric disorder history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50D9A15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5DCD06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3334B34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7CF5264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C5FFA" w:rsidRPr="00FB523C" w14:paraId="288C8BF2" w14:textId="77777777" w:rsidTr="008143DD">
        <w:trPr>
          <w:cantSplit/>
          <w:trHeight w:val="176"/>
        </w:trPr>
        <w:tc>
          <w:tcPr>
            <w:tcW w:w="3118" w:type="dxa"/>
            <w:shd w:val="clear" w:color="auto" w:fill="auto"/>
            <w:noWrap/>
            <w:hideMark/>
          </w:tcPr>
          <w:p w14:paraId="6D1021D4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EEEAF90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5D1F05E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1FF23D0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40D97F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2EF2223A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noWrap/>
            <w:hideMark/>
          </w:tcPr>
          <w:p w14:paraId="32E17DE2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FA71F12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95FB27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74DFFD5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13.78 [13.83-14.18]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65C533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13.67 [13.28-14.0.8]</w:t>
            </w:r>
          </w:p>
        </w:tc>
      </w:tr>
      <w:tr w:rsidR="001C5FFA" w:rsidRPr="00FB523C" w14:paraId="6E8E9F45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1A17E776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Duration of initial hospital stay (days) - </w:t>
            </w:r>
            <w:proofErr w:type="gramStart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mean(</w:t>
            </w:r>
            <w:proofErr w:type="gramEnd"/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SD)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2174BEC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72C85D18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BA8630C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5EC8A9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0219723C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70810C08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Level of clinical care received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1B77363" w14:textId="77777777" w:rsidR="001C5FFA" w:rsidRPr="00FB523C" w:rsidRDefault="001C5FFA" w:rsidP="008143DD">
            <w:pPr>
              <w:contextualSpacing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15D266C6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3BD6A2F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49F660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sz w:val="20"/>
                <w:szCs w:val="20"/>
                <w:lang w:val="en-GB"/>
              </w:rPr>
              <w:t>0.93 [0.92-0.93</w:t>
            </w:r>
            <w:r w:rsidRPr="00FB523C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1C5FFA" w:rsidRPr="00FB523C" w14:paraId="5A8DE7C6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254025EA" w14:textId="77777777" w:rsidR="001C5FFA" w:rsidRPr="00FB523C" w:rsidRDefault="001C5FFA" w:rsidP="008143DD">
            <w:pPr>
              <w:ind w:left="-227" w:firstLineChars="100" w:firstLine="180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>1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Level 1: General hospital ward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8FB4BBE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4B957850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035690F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C0C2FAD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C5FFA" w:rsidRPr="00FB523C" w14:paraId="0039677A" w14:textId="77777777" w:rsidTr="008143DD">
        <w:trPr>
          <w:cantSplit/>
          <w:trHeight w:val="170"/>
        </w:trPr>
        <w:tc>
          <w:tcPr>
            <w:tcW w:w="3118" w:type="dxa"/>
            <w:shd w:val="clear" w:color="auto" w:fill="auto"/>
            <w:vAlign w:val="center"/>
            <w:hideMark/>
          </w:tcPr>
          <w:p w14:paraId="11016E4D" w14:textId="77777777" w:rsidR="001C5FFA" w:rsidRPr="00FB523C" w:rsidRDefault="001C5FFA" w:rsidP="008143DD">
            <w:pPr>
              <w:ind w:left="-227" w:firstLineChars="100" w:firstLine="180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Level 2: ICU</w:t>
            </w:r>
            <w:r w:rsidRPr="00FB523C">
              <w:rPr>
                <w:rFonts w:cstheme="minorHAnsi"/>
                <w:sz w:val="18"/>
                <w:szCs w:val="18"/>
                <w:lang w:val="en-GB"/>
              </w:rPr>
              <w:t xml:space="preserve"> without invasive proc.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EF12B81" w14:textId="77777777" w:rsidR="001C5FFA" w:rsidRPr="00FB523C" w:rsidRDefault="001C5FFA" w:rsidP="008143DD">
            <w:pPr>
              <w:ind w:firstLineChars="100" w:firstLine="200"/>
              <w:contextualSpacing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14:paraId="051EE229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CD700C3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F44DF5B" w14:textId="77777777" w:rsidR="001C5FFA" w:rsidRPr="00FB523C" w:rsidRDefault="001C5FFA" w:rsidP="008143DD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1.63 [1.56-1.71]</w:t>
            </w:r>
          </w:p>
        </w:tc>
      </w:tr>
      <w:tr w:rsidR="001C5FFA" w:rsidRPr="00FB523C" w14:paraId="3D35AE12" w14:textId="77777777" w:rsidTr="008143DD">
        <w:trPr>
          <w:cantSplit/>
          <w:trHeight w:val="170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35663" w14:textId="77777777" w:rsidR="001C5FFA" w:rsidRPr="00FB523C" w:rsidRDefault="001C5FFA" w:rsidP="008143DD">
            <w:pPr>
              <w:ind w:left="-227" w:firstLineChars="100" w:firstLine="180"/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  <w:t xml:space="preserve">3 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>Level 3: ICU with invasive proc.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E1A" w14:textId="77777777" w:rsidR="001C5FFA" w:rsidRPr="00FB523C" w:rsidRDefault="001C5FFA" w:rsidP="008143DD">
            <w:pPr>
              <w:ind w:right="-113"/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760" w14:textId="77777777" w:rsidR="001C5FFA" w:rsidRPr="00FB523C" w:rsidRDefault="001C5FFA" w:rsidP="008143DD">
            <w:pPr>
              <w:ind w:right="-113"/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881" w14:textId="77777777" w:rsidR="001C5FFA" w:rsidRPr="00FB523C" w:rsidRDefault="001C5FFA" w:rsidP="008143DD">
            <w:pPr>
              <w:ind w:right="-113"/>
              <w:contextualSpacing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3C2F" w14:textId="77777777" w:rsidR="001C5FFA" w:rsidRPr="00FB523C" w:rsidRDefault="001C5FFA" w:rsidP="008143DD">
            <w:pPr>
              <w:ind w:right="-113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FB523C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3.95 [3.68-4.24]</w:t>
            </w:r>
          </w:p>
        </w:tc>
      </w:tr>
    </w:tbl>
    <w:p w14:paraId="4F63AE99" w14:textId="77777777" w:rsidR="001C5FFA" w:rsidRPr="00FB523C" w:rsidRDefault="001C5FFA" w:rsidP="001C5FFA">
      <w:pPr>
        <w:spacing w:line="259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76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5FFA" w:rsidRPr="00FB523C" w14:paraId="046B94E7" w14:textId="77777777" w:rsidTr="008143DD">
        <w:trPr>
          <w:cantSplit/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70D" w14:textId="77777777" w:rsidR="001C5FFA" w:rsidRPr="00FB523C" w:rsidRDefault="001C5FFA" w:rsidP="008143DD">
            <w:pPr>
              <w:contextualSpacing/>
              <w:rPr>
                <w:rFonts w:cstheme="minorHAnsi"/>
                <w:bCs/>
                <w:color w:val="000000"/>
                <w:lang w:val="en-GB"/>
              </w:rPr>
            </w:pPr>
            <w:r w:rsidRPr="00FB523C"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Table S3 </w:t>
            </w:r>
            <w:r w:rsidRPr="00FB523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Odds-ratio (OR), adjusted</w:t>
            </w:r>
            <w:r w:rsidRPr="00FB523C"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odds-ratio (</w:t>
            </w:r>
            <w:proofErr w:type="spellStart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), and 95% confidence intervals (95%CI) for the risk of hospitalization for self-harm in the 12 months following hospital discharge for patients hospitalized for COVID-19 versus those hospitalized for another </w:t>
            </w:r>
            <w:r w:rsidRPr="00FB523C"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reason (excluding for psychiatric disorders) </w:t>
            </w:r>
            <w:r w:rsidRPr="00FB523C">
              <w:rPr>
                <w:rFonts w:cstheme="minorHAnsi"/>
                <w:color w:val="000000"/>
                <w:sz w:val="20"/>
                <w:szCs w:val="20"/>
                <w:lang w:val="en-GB"/>
              </w:rPr>
              <w:t>(in all adult patients hospitalized in metropolitan France in the first half of 2020).</w:t>
            </w:r>
            <w:r w:rsidRPr="00FB523C">
              <w:rPr>
                <w:rFonts w:cstheme="minorHAnsi"/>
                <w:color w:val="000000"/>
                <w:lang w:val="en-GB"/>
              </w:rPr>
              <w:t xml:space="preserve">   </w:t>
            </w:r>
            <w:r w:rsidRPr="00FB523C">
              <w:rPr>
                <w:rFonts w:cstheme="minorHAnsi"/>
                <w:bCs/>
                <w:color w:val="000000"/>
                <w:lang w:val="en-GB"/>
              </w:rPr>
              <w:t xml:space="preserve"> </w:t>
            </w:r>
          </w:p>
        </w:tc>
      </w:tr>
      <w:tr w:rsidR="001C5FFA" w:rsidRPr="00FB523C" w14:paraId="52BCED79" w14:textId="77777777" w:rsidTr="008143DD">
        <w:trPr>
          <w:cantSplit/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19F7" w14:textId="77777777" w:rsidR="001C5FFA" w:rsidRPr="00FB523C" w:rsidRDefault="001C5FFA" w:rsidP="008143DD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page" w:horzAnchor="margin" w:tblpXSpec="center" w:tblpY="10306"/>
        <w:tblW w:w="11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9"/>
      </w:tblGrid>
      <w:tr w:rsidR="001C5FFA" w:rsidRPr="00FB523C" w14:paraId="557EAAF1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582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† No adjustment </w:t>
            </w:r>
          </w:p>
        </w:tc>
      </w:tr>
      <w:tr w:rsidR="001C5FFA" w:rsidRPr="00FB523C" w14:paraId="3AB5E0CD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BAA9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‡ </w:t>
            </w:r>
            <w:r w:rsidRPr="00FB523C">
              <w:rPr>
                <w:rFonts w:cstheme="minorHAnsi"/>
                <w:i/>
                <w:iCs/>
                <w:color w:val="000000"/>
                <w:sz w:val="18"/>
                <w:szCs w:val="18"/>
                <w:lang w:val="en-GB"/>
              </w:rPr>
              <w:t xml:space="preserve">Odds-ratio 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>adjusted for socio-demographic characteristics: sex, age, region of residence, and social deprivation index</w:t>
            </w:r>
          </w:p>
        </w:tc>
      </w:tr>
      <w:tr w:rsidR="001C5FFA" w:rsidRPr="001955C4" w14:paraId="5EB507A7" w14:textId="77777777" w:rsidTr="008143DD">
        <w:trPr>
          <w:cantSplit/>
          <w:trHeight w:val="194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89A" w14:textId="77777777" w:rsidR="001C5FFA" w:rsidRPr="00FB523C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FB523C">
              <w:rPr>
                <w:rFonts w:cstheme="minorHAnsi"/>
                <w:i/>
                <w:iCs/>
                <w:color w:val="000000"/>
                <w:sz w:val="18"/>
                <w:szCs w:val="18"/>
                <w:lang w:val="en-GB"/>
              </w:rPr>
              <w:t>§ Odds-ratio</w:t>
            </w:r>
            <w:r w:rsidRPr="00FB523C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adjusted for socio-demographic characteristics and history of psychiatric disorder </w:t>
            </w:r>
          </w:p>
          <w:p w14:paraId="71B72DDE" w14:textId="77777777" w:rsidR="001C5FFA" w:rsidRPr="00FB523C" w:rsidRDefault="001C5FFA" w:rsidP="008143D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>Level 1: patients with the mildest level of respiratory difficulty admitted to a general hospital ward (medical, surgery, obstetrics) who required no or low-flow oxygen (up to 15 L/min).</w:t>
            </w:r>
          </w:p>
          <w:p w14:paraId="1B679CA8" w14:textId="77777777" w:rsidR="001C5FFA" w:rsidRPr="00FB523C" w:rsidRDefault="001C5FFA" w:rsidP="008143D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 xml:space="preserve">Level 2: patients admitted to an intensive care unit (ICU) irrespective of the intensity (i.e., type and flowrate) of oxygen supply therapy, and patients who received high-flow nasal oxygen or non-invasive </w:t>
            </w:r>
            <w:proofErr w:type="gramStart"/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>ventilation;</w:t>
            </w:r>
            <w:proofErr w:type="gramEnd"/>
          </w:p>
          <w:p w14:paraId="70F18802" w14:textId="77777777" w:rsidR="001C5FFA" w:rsidRPr="001955C4" w:rsidRDefault="001C5FFA" w:rsidP="008143DD">
            <w:pPr>
              <w:ind w:left="-227" w:firstLineChars="100" w:firstLine="180"/>
              <w:contextualSpacing/>
              <w:rPr>
                <w:rFonts w:cstheme="minorHAnsi"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B523C">
              <w:rPr>
                <w:rFonts w:cstheme="minorHAnsi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FB523C">
              <w:rPr>
                <w:rFonts w:cstheme="minorHAnsi"/>
                <w:bCs/>
                <w:color w:val="000000"/>
                <w:sz w:val="18"/>
                <w:szCs w:val="18"/>
              </w:rPr>
              <w:t xml:space="preserve"> Level 3: patients who were hospitalized in an ICU and required at least invasive ventilatory support</w:t>
            </w:r>
          </w:p>
          <w:p w14:paraId="7CFBB0A8" w14:textId="77777777" w:rsidR="001C5FFA" w:rsidRPr="001955C4" w:rsidRDefault="001C5FFA" w:rsidP="008143DD">
            <w:pPr>
              <w:contextualSpacing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1F37DCA" w14:textId="77777777" w:rsidR="001C5FFA" w:rsidRPr="001955C4" w:rsidRDefault="001C5FFA" w:rsidP="001C5FFA">
      <w:pPr>
        <w:spacing w:line="259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C2EA4DB" w14:textId="77777777" w:rsidR="00AE2DC4" w:rsidRDefault="00AE2DC4"/>
    <w:sectPr w:rsidR="00AE2DC4" w:rsidSect="001C5F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FA"/>
    <w:rsid w:val="00011C8D"/>
    <w:rsid w:val="0001400F"/>
    <w:rsid w:val="00020EB5"/>
    <w:rsid w:val="000221D8"/>
    <w:rsid w:val="00035327"/>
    <w:rsid w:val="00040AC6"/>
    <w:rsid w:val="000431B2"/>
    <w:rsid w:val="00047324"/>
    <w:rsid w:val="0005034E"/>
    <w:rsid w:val="00050FA5"/>
    <w:rsid w:val="00057FDD"/>
    <w:rsid w:val="0007047B"/>
    <w:rsid w:val="00070B6D"/>
    <w:rsid w:val="00071420"/>
    <w:rsid w:val="0007580A"/>
    <w:rsid w:val="00083326"/>
    <w:rsid w:val="00090A8D"/>
    <w:rsid w:val="00093CDE"/>
    <w:rsid w:val="00093D64"/>
    <w:rsid w:val="000A23B1"/>
    <w:rsid w:val="000A4CCB"/>
    <w:rsid w:val="000A5F78"/>
    <w:rsid w:val="000B0FEA"/>
    <w:rsid w:val="000B14DC"/>
    <w:rsid w:val="000B2E89"/>
    <w:rsid w:val="000B376A"/>
    <w:rsid w:val="000C2A37"/>
    <w:rsid w:val="000C5426"/>
    <w:rsid w:val="000C72B6"/>
    <w:rsid w:val="000C76FB"/>
    <w:rsid w:val="000D7B02"/>
    <w:rsid w:val="000D7CA1"/>
    <w:rsid w:val="000E52EF"/>
    <w:rsid w:val="000E5859"/>
    <w:rsid w:val="000F4599"/>
    <w:rsid w:val="000F4A6B"/>
    <w:rsid w:val="000F6B61"/>
    <w:rsid w:val="000F780B"/>
    <w:rsid w:val="0010073E"/>
    <w:rsid w:val="001014C6"/>
    <w:rsid w:val="00101867"/>
    <w:rsid w:val="00111A3E"/>
    <w:rsid w:val="00113E22"/>
    <w:rsid w:val="00114172"/>
    <w:rsid w:val="0011572D"/>
    <w:rsid w:val="00116249"/>
    <w:rsid w:val="001176B0"/>
    <w:rsid w:val="00117C55"/>
    <w:rsid w:val="00124376"/>
    <w:rsid w:val="00132424"/>
    <w:rsid w:val="00136007"/>
    <w:rsid w:val="00142C26"/>
    <w:rsid w:val="00144075"/>
    <w:rsid w:val="00153AAC"/>
    <w:rsid w:val="00155A44"/>
    <w:rsid w:val="00156B47"/>
    <w:rsid w:val="00170FA6"/>
    <w:rsid w:val="00173C29"/>
    <w:rsid w:val="0017652F"/>
    <w:rsid w:val="0018301C"/>
    <w:rsid w:val="0018600B"/>
    <w:rsid w:val="00193B78"/>
    <w:rsid w:val="00195086"/>
    <w:rsid w:val="001A12AF"/>
    <w:rsid w:val="001A2D26"/>
    <w:rsid w:val="001A32A1"/>
    <w:rsid w:val="001B2669"/>
    <w:rsid w:val="001B7A2F"/>
    <w:rsid w:val="001C5FFA"/>
    <w:rsid w:val="001D51A1"/>
    <w:rsid w:val="001E2B19"/>
    <w:rsid w:val="001E4DDD"/>
    <w:rsid w:val="001F1031"/>
    <w:rsid w:val="001F1A55"/>
    <w:rsid w:val="001F59D9"/>
    <w:rsid w:val="001F5EC9"/>
    <w:rsid w:val="00201470"/>
    <w:rsid w:val="0020227C"/>
    <w:rsid w:val="0020310F"/>
    <w:rsid w:val="002041A3"/>
    <w:rsid w:val="002224F4"/>
    <w:rsid w:val="0022360A"/>
    <w:rsid w:val="002262CC"/>
    <w:rsid w:val="0022799B"/>
    <w:rsid w:val="00245736"/>
    <w:rsid w:val="00247FC2"/>
    <w:rsid w:val="0025478C"/>
    <w:rsid w:val="0026172B"/>
    <w:rsid w:val="0027157F"/>
    <w:rsid w:val="0027331E"/>
    <w:rsid w:val="00281D2A"/>
    <w:rsid w:val="00282ACE"/>
    <w:rsid w:val="002857A6"/>
    <w:rsid w:val="002904B1"/>
    <w:rsid w:val="002919C0"/>
    <w:rsid w:val="002944C0"/>
    <w:rsid w:val="00294E44"/>
    <w:rsid w:val="002A08EF"/>
    <w:rsid w:val="002A5730"/>
    <w:rsid w:val="002A62A8"/>
    <w:rsid w:val="002A6F5C"/>
    <w:rsid w:val="002B0109"/>
    <w:rsid w:val="002B62C2"/>
    <w:rsid w:val="002C1F88"/>
    <w:rsid w:val="002C34EE"/>
    <w:rsid w:val="002D0657"/>
    <w:rsid w:val="002D2C4B"/>
    <w:rsid w:val="002D31C6"/>
    <w:rsid w:val="002E1CF3"/>
    <w:rsid w:val="002F259E"/>
    <w:rsid w:val="002F26E0"/>
    <w:rsid w:val="00300723"/>
    <w:rsid w:val="003048AE"/>
    <w:rsid w:val="00311692"/>
    <w:rsid w:val="003136FC"/>
    <w:rsid w:val="00316FBC"/>
    <w:rsid w:val="0031723E"/>
    <w:rsid w:val="00323EA8"/>
    <w:rsid w:val="003242D8"/>
    <w:rsid w:val="0032564C"/>
    <w:rsid w:val="00327AF6"/>
    <w:rsid w:val="00331B2E"/>
    <w:rsid w:val="00333842"/>
    <w:rsid w:val="003338A0"/>
    <w:rsid w:val="00337F1E"/>
    <w:rsid w:val="003406E2"/>
    <w:rsid w:val="003425FD"/>
    <w:rsid w:val="003471DC"/>
    <w:rsid w:val="00347873"/>
    <w:rsid w:val="00354473"/>
    <w:rsid w:val="003551B9"/>
    <w:rsid w:val="00360122"/>
    <w:rsid w:val="00361509"/>
    <w:rsid w:val="00362CA5"/>
    <w:rsid w:val="003669FF"/>
    <w:rsid w:val="00367751"/>
    <w:rsid w:val="00371248"/>
    <w:rsid w:val="00372E48"/>
    <w:rsid w:val="00376469"/>
    <w:rsid w:val="0038188F"/>
    <w:rsid w:val="0038293F"/>
    <w:rsid w:val="003A0202"/>
    <w:rsid w:val="003A064F"/>
    <w:rsid w:val="003A10A7"/>
    <w:rsid w:val="003A246C"/>
    <w:rsid w:val="003A426A"/>
    <w:rsid w:val="003A4D9A"/>
    <w:rsid w:val="003A69FB"/>
    <w:rsid w:val="003B0311"/>
    <w:rsid w:val="003B0E28"/>
    <w:rsid w:val="003B3FC8"/>
    <w:rsid w:val="003B5780"/>
    <w:rsid w:val="003B5BC3"/>
    <w:rsid w:val="003C3011"/>
    <w:rsid w:val="003C5417"/>
    <w:rsid w:val="003C5EDD"/>
    <w:rsid w:val="003C79DC"/>
    <w:rsid w:val="003D0D02"/>
    <w:rsid w:val="003D3509"/>
    <w:rsid w:val="003D600B"/>
    <w:rsid w:val="003D7D94"/>
    <w:rsid w:val="003E0A87"/>
    <w:rsid w:val="003E25F8"/>
    <w:rsid w:val="003E4EA2"/>
    <w:rsid w:val="003E6487"/>
    <w:rsid w:val="003E692D"/>
    <w:rsid w:val="003F0C64"/>
    <w:rsid w:val="003F53E6"/>
    <w:rsid w:val="003F6C1C"/>
    <w:rsid w:val="00400FA9"/>
    <w:rsid w:val="0041146D"/>
    <w:rsid w:val="004133EF"/>
    <w:rsid w:val="00414DF8"/>
    <w:rsid w:val="00415DFB"/>
    <w:rsid w:val="00420AC2"/>
    <w:rsid w:val="0042122A"/>
    <w:rsid w:val="004333FB"/>
    <w:rsid w:val="00434D01"/>
    <w:rsid w:val="00441693"/>
    <w:rsid w:val="00441797"/>
    <w:rsid w:val="00447AA4"/>
    <w:rsid w:val="00455F74"/>
    <w:rsid w:val="00456611"/>
    <w:rsid w:val="00457693"/>
    <w:rsid w:val="0046019E"/>
    <w:rsid w:val="0046154F"/>
    <w:rsid w:val="004646CE"/>
    <w:rsid w:val="00467A39"/>
    <w:rsid w:val="00474800"/>
    <w:rsid w:val="00476BD4"/>
    <w:rsid w:val="0048275C"/>
    <w:rsid w:val="004846ED"/>
    <w:rsid w:val="004853CA"/>
    <w:rsid w:val="00490622"/>
    <w:rsid w:val="004938A5"/>
    <w:rsid w:val="004B30A6"/>
    <w:rsid w:val="004B5681"/>
    <w:rsid w:val="004B728F"/>
    <w:rsid w:val="004B7FE8"/>
    <w:rsid w:val="004C56FC"/>
    <w:rsid w:val="004C76D1"/>
    <w:rsid w:val="004D0400"/>
    <w:rsid w:val="004D1F38"/>
    <w:rsid w:val="004D21DB"/>
    <w:rsid w:val="004D59D9"/>
    <w:rsid w:val="004E0C23"/>
    <w:rsid w:val="004E2F85"/>
    <w:rsid w:val="004E371A"/>
    <w:rsid w:val="004E46FF"/>
    <w:rsid w:val="004E5ABE"/>
    <w:rsid w:val="004F003B"/>
    <w:rsid w:val="004F1FF3"/>
    <w:rsid w:val="00504F1C"/>
    <w:rsid w:val="00512035"/>
    <w:rsid w:val="00520363"/>
    <w:rsid w:val="0052342E"/>
    <w:rsid w:val="005351A6"/>
    <w:rsid w:val="00546496"/>
    <w:rsid w:val="00553B7A"/>
    <w:rsid w:val="00554AC3"/>
    <w:rsid w:val="00554EBF"/>
    <w:rsid w:val="005564B3"/>
    <w:rsid w:val="005568E6"/>
    <w:rsid w:val="00561A9C"/>
    <w:rsid w:val="0056230A"/>
    <w:rsid w:val="00563119"/>
    <w:rsid w:val="00565ABA"/>
    <w:rsid w:val="005712BB"/>
    <w:rsid w:val="005714B6"/>
    <w:rsid w:val="00575B0A"/>
    <w:rsid w:val="005A2F5C"/>
    <w:rsid w:val="005A656B"/>
    <w:rsid w:val="005B178C"/>
    <w:rsid w:val="005B5CAE"/>
    <w:rsid w:val="005C6EF2"/>
    <w:rsid w:val="005D2E57"/>
    <w:rsid w:val="005D4455"/>
    <w:rsid w:val="005D53E1"/>
    <w:rsid w:val="005E263D"/>
    <w:rsid w:val="005F0A8B"/>
    <w:rsid w:val="005F1701"/>
    <w:rsid w:val="005F64B7"/>
    <w:rsid w:val="006010C6"/>
    <w:rsid w:val="00606BB8"/>
    <w:rsid w:val="00610E55"/>
    <w:rsid w:val="00616D5F"/>
    <w:rsid w:val="0062024B"/>
    <w:rsid w:val="00621231"/>
    <w:rsid w:val="00626B95"/>
    <w:rsid w:val="00626CDC"/>
    <w:rsid w:val="00626D30"/>
    <w:rsid w:val="00631BB7"/>
    <w:rsid w:val="00632864"/>
    <w:rsid w:val="0064112B"/>
    <w:rsid w:val="00641650"/>
    <w:rsid w:val="00646885"/>
    <w:rsid w:val="006474B1"/>
    <w:rsid w:val="006535A7"/>
    <w:rsid w:val="00657A4C"/>
    <w:rsid w:val="00682694"/>
    <w:rsid w:val="00682D39"/>
    <w:rsid w:val="006842F6"/>
    <w:rsid w:val="006857A8"/>
    <w:rsid w:val="00686A3F"/>
    <w:rsid w:val="006914C8"/>
    <w:rsid w:val="00694DBA"/>
    <w:rsid w:val="00695DE3"/>
    <w:rsid w:val="006A3014"/>
    <w:rsid w:val="006B0173"/>
    <w:rsid w:val="006B1F01"/>
    <w:rsid w:val="006D67C6"/>
    <w:rsid w:val="006E0C7C"/>
    <w:rsid w:val="006E2ACF"/>
    <w:rsid w:val="006F28A7"/>
    <w:rsid w:val="006F4158"/>
    <w:rsid w:val="006F4352"/>
    <w:rsid w:val="00703CCC"/>
    <w:rsid w:val="00706EEA"/>
    <w:rsid w:val="0071607A"/>
    <w:rsid w:val="00720DBD"/>
    <w:rsid w:val="00721CD5"/>
    <w:rsid w:val="0073304A"/>
    <w:rsid w:val="00740D8B"/>
    <w:rsid w:val="00742C1D"/>
    <w:rsid w:val="00750676"/>
    <w:rsid w:val="007525BF"/>
    <w:rsid w:val="00755FCF"/>
    <w:rsid w:val="00761287"/>
    <w:rsid w:val="00762151"/>
    <w:rsid w:val="00765630"/>
    <w:rsid w:val="00765FD9"/>
    <w:rsid w:val="00771681"/>
    <w:rsid w:val="0077251B"/>
    <w:rsid w:val="00773084"/>
    <w:rsid w:val="00780C67"/>
    <w:rsid w:val="0078138F"/>
    <w:rsid w:val="00785F13"/>
    <w:rsid w:val="007866C0"/>
    <w:rsid w:val="00786A97"/>
    <w:rsid w:val="00791B9E"/>
    <w:rsid w:val="00791DA9"/>
    <w:rsid w:val="007929C7"/>
    <w:rsid w:val="007944C6"/>
    <w:rsid w:val="00794D24"/>
    <w:rsid w:val="00794E4D"/>
    <w:rsid w:val="007952A2"/>
    <w:rsid w:val="00795AA3"/>
    <w:rsid w:val="00796233"/>
    <w:rsid w:val="00796473"/>
    <w:rsid w:val="00797332"/>
    <w:rsid w:val="007A1DE9"/>
    <w:rsid w:val="007A5FE9"/>
    <w:rsid w:val="007B4BAF"/>
    <w:rsid w:val="007C4056"/>
    <w:rsid w:val="007C58F5"/>
    <w:rsid w:val="007C6760"/>
    <w:rsid w:val="007D46D7"/>
    <w:rsid w:val="007E0FDD"/>
    <w:rsid w:val="007E12A1"/>
    <w:rsid w:val="007E1809"/>
    <w:rsid w:val="007E1E73"/>
    <w:rsid w:val="007E20DC"/>
    <w:rsid w:val="007E2612"/>
    <w:rsid w:val="007E28B6"/>
    <w:rsid w:val="007F0AEC"/>
    <w:rsid w:val="007F0DBF"/>
    <w:rsid w:val="007F2B46"/>
    <w:rsid w:val="008031F7"/>
    <w:rsid w:val="0080514F"/>
    <w:rsid w:val="00805AF6"/>
    <w:rsid w:val="00811376"/>
    <w:rsid w:val="00824467"/>
    <w:rsid w:val="00830D2D"/>
    <w:rsid w:val="00832EAA"/>
    <w:rsid w:val="008334FB"/>
    <w:rsid w:val="008357CE"/>
    <w:rsid w:val="008408C1"/>
    <w:rsid w:val="0084533C"/>
    <w:rsid w:val="00853C88"/>
    <w:rsid w:val="00857CA8"/>
    <w:rsid w:val="008765CE"/>
    <w:rsid w:val="00880304"/>
    <w:rsid w:val="00884694"/>
    <w:rsid w:val="008B077C"/>
    <w:rsid w:val="008B195A"/>
    <w:rsid w:val="008B5B26"/>
    <w:rsid w:val="008B5B59"/>
    <w:rsid w:val="008B7257"/>
    <w:rsid w:val="008C16E4"/>
    <w:rsid w:val="008C32B5"/>
    <w:rsid w:val="008C5973"/>
    <w:rsid w:val="008C6449"/>
    <w:rsid w:val="008C66D7"/>
    <w:rsid w:val="008D1143"/>
    <w:rsid w:val="008D3DF4"/>
    <w:rsid w:val="008D4734"/>
    <w:rsid w:val="008D532D"/>
    <w:rsid w:val="008E29DB"/>
    <w:rsid w:val="008F0C66"/>
    <w:rsid w:val="008F5D3E"/>
    <w:rsid w:val="009022E2"/>
    <w:rsid w:val="009140A1"/>
    <w:rsid w:val="00915D88"/>
    <w:rsid w:val="00915F47"/>
    <w:rsid w:val="009166E9"/>
    <w:rsid w:val="0092080B"/>
    <w:rsid w:val="00922099"/>
    <w:rsid w:val="0092384D"/>
    <w:rsid w:val="00924370"/>
    <w:rsid w:val="009259B8"/>
    <w:rsid w:val="00926BD0"/>
    <w:rsid w:val="009329AF"/>
    <w:rsid w:val="00933C66"/>
    <w:rsid w:val="00936061"/>
    <w:rsid w:val="0094086B"/>
    <w:rsid w:val="00950186"/>
    <w:rsid w:val="00952255"/>
    <w:rsid w:val="0095426C"/>
    <w:rsid w:val="00957965"/>
    <w:rsid w:val="0096599C"/>
    <w:rsid w:val="00966334"/>
    <w:rsid w:val="0097238A"/>
    <w:rsid w:val="00973D04"/>
    <w:rsid w:val="00975D0D"/>
    <w:rsid w:val="0098492A"/>
    <w:rsid w:val="00986D9F"/>
    <w:rsid w:val="009877A2"/>
    <w:rsid w:val="009909F2"/>
    <w:rsid w:val="00997C00"/>
    <w:rsid w:val="009C3A8D"/>
    <w:rsid w:val="009D34CB"/>
    <w:rsid w:val="009D54B2"/>
    <w:rsid w:val="009D77FE"/>
    <w:rsid w:val="009E0984"/>
    <w:rsid w:val="009E0C53"/>
    <w:rsid w:val="009E7442"/>
    <w:rsid w:val="009F2ABB"/>
    <w:rsid w:val="009F4118"/>
    <w:rsid w:val="00A031F9"/>
    <w:rsid w:val="00A04D32"/>
    <w:rsid w:val="00A04E43"/>
    <w:rsid w:val="00A205F4"/>
    <w:rsid w:val="00A21C6A"/>
    <w:rsid w:val="00A23F6D"/>
    <w:rsid w:val="00A26162"/>
    <w:rsid w:val="00A327A1"/>
    <w:rsid w:val="00A35783"/>
    <w:rsid w:val="00A4150D"/>
    <w:rsid w:val="00A43C11"/>
    <w:rsid w:val="00A449FF"/>
    <w:rsid w:val="00A44DDB"/>
    <w:rsid w:val="00A4632B"/>
    <w:rsid w:val="00A46408"/>
    <w:rsid w:val="00A51083"/>
    <w:rsid w:val="00A548DC"/>
    <w:rsid w:val="00A57907"/>
    <w:rsid w:val="00A62A76"/>
    <w:rsid w:val="00A66121"/>
    <w:rsid w:val="00A74441"/>
    <w:rsid w:val="00A8133E"/>
    <w:rsid w:val="00A81C2C"/>
    <w:rsid w:val="00A839DB"/>
    <w:rsid w:val="00A93564"/>
    <w:rsid w:val="00AA211B"/>
    <w:rsid w:val="00AA5BC3"/>
    <w:rsid w:val="00AB03FD"/>
    <w:rsid w:val="00AB0D77"/>
    <w:rsid w:val="00AB1A99"/>
    <w:rsid w:val="00AB6BF4"/>
    <w:rsid w:val="00AC2D6F"/>
    <w:rsid w:val="00AC3E1C"/>
    <w:rsid w:val="00AC4423"/>
    <w:rsid w:val="00AC7440"/>
    <w:rsid w:val="00AD20D6"/>
    <w:rsid w:val="00AD25B8"/>
    <w:rsid w:val="00AD3D27"/>
    <w:rsid w:val="00AE0393"/>
    <w:rsid w:val="00AE0616"/>
    <w:rsid w:val="00AE16D0"/>
    <w:rsid w:val="00AE2DC4"/>
    <w:rsid w:val="00AF0BDB"/>
    <w:rsid w:val="00AF1A94"/>
    <w:rsid w:val="00B007D3"/>
    <w:rsid w:val="00B00A4C"/>
    <w:rsid w:val="00B05663"/>
    <w:rsid w:val="00B106B8"/>
    <w:rsid w:val="00B110B3"/>
    <w:rsid w:val="00B31BEA"/>
    <w:rsid w:val="00B332EF"/>
    <w:rsid w:val="00B36B00"/>
    <w:rsid w:val="00B42908"/>
    <w:rsid w:val="00B42967"/>
    <w:rsid w:val="00B43506"/>
    <w:rsid w:val="00B53D4F"/>
    <w:rsid w:val="00B634B0"/>
    <w:rsid w:val="00B63869"/>
    <w:rsid w:val="00B71DDD"/>
    <w:rsid w:val="00B749CD"/>
    <w:rsid w:val="00B82067"/>
    <w:rsid w:val="00B8684F"/>
    <w:rsid w:val="00B87209"/>
    <w:rsid w:val="00B937A2"/>
    <w:rsid w:val="00B94AFF"/>
    <w:rsid w:val="00B9598D"/>
    <w:rsid w:val="00BA0031"/>
    <w:rsid w:val="00BA1947"/>
    <w:rsid w:val="00BA3620"/>
    <w:rsid w:val="00BA3F4F"/>
    <w:rsid w:val="00BA4113"/>
    <w:rsid w:val="00BB4A9D"/>
    <w:rsid w:val="00BB6F71"/>
    <w:rsid w:val="00BC0C80"/>
    <w:rsid w:val="00BD19C2"/>
    <w:rsid w:val="00BD3FDB"/>
    <w:rsid w:val="00BD4944"/>
    <w:rsid w:val="00BD4C6C"/>
    <w:rsid w:val="00BD594A"/>
    <w:rsid w:val="00BE4040"/>
    <w:rsid w:val="00BE6746"/>
    <w:rsid w:val="00BF2CA8"/>
    <w:rsid w:val="00BF40B4"/>
    <w:rsid w:val="00BF4201"/>
    <w:rsid w:val="00BF49AA"/>
    <w:rsid w:val="00C150B6"/>
    <w:rsid w:val="00C150DD"/>
    <w:rsid w:val="00C20351"/>
    <w:rsid w:val="00C32E31"/>
    <w:rsid w:val="00C40743"/>
    <w:rsid w:val="00C561CC"/>
    <w:rsid w:val="00C56ADE"/>
    <w:rsid w:val="00C6062B"/>
    <w:rsid w:val="00C6372B"/>
    <w:rsid w:val="00C65088"/>
    <w:rsid w:val="00C65D58"/>
    <w:rsid w:val="00C66570"/>
    <w:rsid w:val="00C72AAD"/>
    <w:rsid w:val="00C73435"/>
    <w:rsid w:val="00C73B6A"/>
    <w:rsid w:val="00C74FFE"/>
    <w:rsid w:val="00C7710B"/>
    <w:rsid w:val="00C81A5E"/>
    <w:rsid w:val="00C8433D"/>
    <w:rsid w:val="00C91C9B"/>
    <w:rsid w:val="00C92362"/>
    <w:rsid w:val="00C9239D"/>
    <w:rsid w:val="00C9635D"/>
    <w:rsid w:val="00CA49BC"/>
    <w:rsid w:val="00CB07B9"/>
    <w:rsid w:val="00CB398D"/>
    <w:rsid w:val="00CC4BD1"/>
    <w:rsid w:val="00CC5A91"/>
    <w:rsid w:val="00CC790E"/>
    <w:rsid w:val="00CD32E5"/>
    <w:rsid w:val="00CF1553"/>
    <w:rsid w:val="00CF1783"/>
    <w:rsid w:val="00CF22CB"/>
    <w:rsid w:val="00CF4F78"/>
    <w:rsid w:val="00D036B8"/>
    <w:rsid w:val="00D04791"/>
    <w:rsid w:val="00D048D0"/>
    <w:rsid w:val="00D05BE2"/>
    <w:rsid w:val="00D06828"/>
    <w:rsid w:val="00D074CB"/>
    <w:rsid w:val="00D11F7C"/>
    <w:rsid w:val="00D1344A"/>
    <w:rsid w:val="00D27A9C"/>
    <w:rsid w:val="00D27B09"/>
    <w:rsid w:val="00D3337F"/>
    <w:rsid w:val="00D33C33"/>
    <w:rsid w:val="00D33E29"/>
    <w:rsid w:val="00D35E1A"/>
    <w:rsid w:val="00D428C3"/>
    <w:rsid w:val="00D4407D"/>
    <w:rsid w:val="00D46A36"/>
    <w:rsid w:val="00D4769C"/>
    <w:rsid w:val="00D52C73"/>
    <w:rsid w:val="00D542BC"/>
    <w:rsid w:val="00D56DA0"/>
    <w:rsid w:val="00D676BD"/>
    <w:rsid w:val="00D738B2"/>
    <w:rsid w:val="00D76339"/>
    <w:rsid w:val="00D82FDE"/>
    <w:rsid w:val="00D85482"/>
    <w:rsid w:val="00D863B2"/>
    <w:rsid w:val="00D92453"/>
    <w:rsid w:val="00D957B3"/>
    <w:rsid w:val="00D96F70"/>
    <w:rsid w:val="00DA23D0"/>
    <w:rsid w:val="00DB1498"/>
    <w:rsid w:val="00DB57CA"/>
    <w:rsid w:val="00DC4871"/>
    <w:rsid w:val="00DC6E8D"/>
    <w:rsid w:val="00DD23F7"/>
    <w:rsid w:val="00DD43EE"/>
    <w:rsid w:val="00DE2E42"/>
    <w:rsid w:val="00DE4D36"/>
    <w:rsid w:val="00DE5A73"/>
    <w:rsid w:val="00DE74E5"/>
    <w:rsid w:val="00DE7C23"/>
    <w:rsid w:val="00DF261C"/>
    <w:rsid w:val="00E00296"/>
    <w:rsid w:val="00E00A82"/>
    <w:rsid w:val="00E02129"/>
    <w:rsid w:val="00E02AA1"/>
    <w:rsid w:val="00E07CBE"/>
    <w:rsid w:val="00E10F44"/>
    <w:rsid w:val="00E14774"/>
    <w:rsid w:val="00E16D1D"/>
    <w:rsid w:val="00E214E6"/>
    <w:rsid w:val="00E258F1"/>
    <w:rsid w:val="00E25C7F"/>
    <w:rsid w:val="00E279B4"/>
    <w:rsid w:val="00E31F54"/>
    <w:rsid w:val="00E323F0"/>
    <w:rsid w:val="00E34414"/>
    <w:rsid w:val="00E40FA6"/>
    <w:rsid w:val="00E540F4"/>
    <w:rsid w:val="00E572B3"/>
    <w:rsid w:val="00E620C6"/>
    <w:rsid w:val="00E62E32"/>
    <w:rsid w:val="00E665CB"/>
    <w:rsid w:val="00E7113A"/>
    <w:rsid w:val="00E820B6"/>
    <w:rsid w:val="00E8268D"/>
    <w:rsid w:val="00E84EAB"/>
    <w:rsid w:val="00E85D05"/>
    <w:rsid w:val="00E85F0D"/>
    <w:rsid w:val="00E91628"/>
    <w:rsid w:val="00E9174F"/>
    <w:rsid w:val="00E91E75"/>
    <w:rsid w:val="00E94B15"/>
    <w:rsid w:val="00E97100"/>
    <w:rsid w:val="00EA12D9"/>
    <w:rsid w:val="00EA2DCE"/>
    <w:rsid w:val="00EA483F"/>
    <w:rsid w:val="00EA5B00"/>
    <w:rsid w:val="00EA7EEA"/>
    <w:rsid w:val="00EB1354"/>
    <w:rsid w:val="00EC10A4"/>
    <w:rsid w:val="00ED351C"/>
    <w:rsid w:val="00ED5825"/>
    <w:rsid w:val="00ED5C39"/>
    <w:rsid w:val="00ED6F0E"/>
    <w:rsid w:val="00ED7EA1"/>
    <w:rsid w:val="00EE1BFF"/>
    <w:rsid w:val="00EF0247"/>
    <w:rsid w:val="00EF087B"/>
    <w:rsid w:val="00EF177D"/>
    <w:rsid w:val="00EF3FD2"/>
    <w:rsid w:val="00EF5C4A"/>
    <w:rsid w:val="00EF627F"/>
    <w:rsid w:val="00EF6DDF"/>
    <w:rsid w:val="00F11C2B"/>
    <w:rsid w:val="00F12BF8"/>
    <w:rsid w:val="00F16D6D"/>
    <w:rsid w:val="00F178D0"/>
    <w:rsid w:val="00F231A8"/>
    <w:rsid w:val="00F2415C"/>
    <w:rsid w:val="00F30B60"/>
    <w:rsid w:val="00F30E67"/>
    <w:rsid w:val="00F3717F"/>
    <w:rsid w:val="00F425ED"/>
    <w:rsid w:val="00F50B0A"/>
    <w:rsid w:val="00F5242B"/>
    <w:rsid w:val="00F57383"/>
    <w:rsid w:val="00F61909"/>
    <w:rsid w:val="00F633FD"/>
    <w:rsid w:val="00F64940"/>
    <w:rsid w:val="00F6541B"/>
    <w:rsid w:val="00F67499"/>
    <w:rsid w:val="00F73CC3"/>
    <w:rsid w:val="00F8059F"/>
    <w:rsid w:val="00F83C66"/>
    <w:rsid w:val="00FA6BA4"/>
    <w:rsid w:val="00FB2D2A"/>
    <w:rsid w:val="00FB3581"/>
    <w:rsid w:val="00FB53A6"/>
    <w:rsid w:val="00FB54A9"/>
    <w:rsid w:val="00FB5745"/>
    <w:rsid w:val="00FC484A"/>
    <w:rsid w:val="00FC489A"/>
    <w:rsid w:val="00FD1141"/>
    <w:rsid w:val="00FD3738"/>
    <w:rsid w:val="00FE0755"/>
    <w:rsid w:val="00FE1E89"/>
    <w:rsid w:val="00FF1912"/>
    <w:rsid w:val="00FF28C9"/>
    <w:rsid w:val="00FF3B5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976D"/>
  <w15:chartTrackingRefBased/>
  <w15:docId w15:val="{56EC1F8F-2D1C-4D19-8F0E-20E4EDFC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FFA"/>
    <w:rPr>
      <w:b/>
      <w:bCs/>
      <w:smallCaps/>
      <w:color w:val="0F4761" w:themeColor="accent1" w:themeShade="BF"/>
      <w:spacing w:val="5"/>
    </w:rPr>
  </w:style>
  <w:style w:type="table" w:styleId="GridTable1Light-Accent5">
    <w:name w:val="Grid Table 1 Light Accent 5"/>
    <w:basedOn w:val="TableNormal"/>
    <w:uiPriority w:val="46"/>
    <w:rsid w:val="001C5FFA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NTVDIEPD VDI</dc:creator>
  <cp:keywords/>
  <dc:description/>
  <cp:lastModifiedBy>NTVDIEPD VDI</cp:lastModifiedBy>
  <cp:revision>1</cp:revision>
  <dcterms:created xsi:type="dcterms:W3CDTF">2024-10-08T15:50:00Z</dcterms:created>
  <dcterms:modified xsi:type="dcterms:W3CDTF">2024-10-08T15:51:00Z</dcterms:modified>
</cp:coreProperties>
</file>