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81313" w14:textId="77777777" w:rsidR="00A64913" w:rsidRPr="00A64913" w:rsidRDefault="00A64913" w:rsidP="00A64913">
      <w:pPr>
        <w:spacing w:line="480" w:lineRule="auto"/>
        <w:rPr>
          <w:rFonts w:ascii="Times New Roman" w:eastAsiaTheme="majorEastAsia" w:hAnsi="Times New Roman" w:cs="Times New Roman"/>
          <w:b/>
          <w:sz w:val="32"/>
          <w:szCs w:val="32"/>
        </w:rPr>
      </w:pPr>
      <w:bookmarkStart w:id="0" w:name="_Hlk161124409"/>
      <w:r w:rsidRPr="00A64913">
        <w:rPr>
          <w:rFonts w:ascii="Times New Roman" w:eastAsiaTheme="majorEastAsia" w:hAnsi="Times New Roman" w:cs="Times New Roman"/>
          <w:b/>
          <w:sz w:val="32"/>
          <w:szCs w:val="32"/>
        </w:rPr>
        <w:t>Temporal patterns and individual characteristics of Compulsory Treatment Orders for mental disorders in Scotland from 2007 to 2020</w:t>
      </w:r>
    </w:p>
    <w:bookmarkEnd w:id="0"/>
    <w:p w14:paraId="263F6E56" w14:textId="77777777" w:rsidR="00A44A0F" w:rsidRPr="00ED7443" w:rsidRDefault="00A44A0F" w:rsidP="00A44A0F">
      <w:pPr>
        <w:rPr>
          <w:rFonts w:ascii="Times New Roman" w:hAnsi="Times New Roman" w:cs="Times New Roman"/>
          <w:vertAlign w:val="superscript"/>
        </w:rPr>
      </w:pPr>
      <w:r w:rsidRPr="00ED7443">
        <w:rPr>
          <w:rFonts w:ascii="Times New Roman" w:hAnsi="Times New Roman" w:cs="Times New Roman"/>
        </w:rPr>
        <w:t>Lisa Schölin</w:t>
      </w:r>
      <w:r w:rsidRPr="00ED7443">
        <w:rPr>
          <w:rFonts w:ascii="Times New Roman" w:hAnsi="Times New Roman" w:cs="Times New Roman"/>
          <w:vertAlign w:val="superscript"/>
        </w:rPr>
        <w:t>1</w:t>
      </w:r>
      <w:r w:rsidRPr="00ED7443">
        <w:rPr>
          <w:rFonts w:ascii="Times New Roman" w:hAnsi="Times New Roman" w:cs="Times New Roman"/>
        </w:rPr>
        <w:t>, Rohan Borschmann</w:t>
      </w:r>
      <w:r w:rsidRPr="00ED7443">
        <w:rPr>
          <w:rFonts w:ascii="Times New Roman" w:hAnsi="Times New Roman" w:cs="Times New Roman"/>
          <w:vertAlign w:val="superscript"/>
        </w:rPr>
        <w:t>2,3,4,5,</w:t>
      </w:r>
      <w:r w:rsidRPr="00ED7443">
        <w:rPr>
          <w:rFonts w:ascii="Times New Roman" w:hAnsi="Times New Roman" w:cs="Times New Roman"/>
        </w:rPr>
        <w:t>, Arun Chopra</w:t>
      </w:r>
      <w:r w:rsidRPr="00ED7443">
        <w:rPr>
          <w:rFonts w:ascii="Times New Roman" w:hAnsi="Times New Roman" w:cs="Times New Roman"/>
          <w:vertAlign w:val="superscript"/>
        </w:rPr>
        <w:t>6</w:t>
      </w:r>
    </w:p>
    <w:p w14:paraId="6A78A631" w14:textId="77777777" w:rsidR="00A44A0F" w:rsidRPr="00ED7443" w:rsidRDefault="00A44A0F" w:rsidP="00A44A0F">
      <w:pPr>
        <w:rPr>
          <w:rFonts w:ascii="Times New Roman" w:hAnsi="Times New Roman" w:cs="Times New Roman"/>
        </w:rPr>
      </w:pPr>
    </w:p>
    <w:p w14:paraId="318C948C" w14:textId="77777777" w:rsidR="00A44A0F" w:rsidRPr="00ED7443" w:rsidRDefault="00A44A0F" w:rsidP="00A44A0F">
      <w:pPr>
        <w:rPr>
          <w:rFonts w:ascii="Times New Roman" w:hAnsi="Times New Roman" w:cs="Times New Roman"/>
          <w:sz w:val="20"/>
          <w:szCs w:val="20"/>
        </w:rPr>
      </w:pPr>
      <w:r w:rsidRPr="00ED7443">
        <w:rPr>
          <w:rFonts w:ascii="Times New Roman" w:hAnsi="Times New Roman" w:cs="Times New Roman"/>
          <w:sz w:val="20"/>
          <w:szCs w:val="20"/>
          <w:vertAlign w:val="superscript"/>
        </w:rPr>
        <w:t xml:space="preserve">1 </w:t>
      </w:r>
      <w:r w:rsidRPr="00ED7443">
        <w:rPr>
          <w:rFonts w:ascii="Times New Roman" w:hAnsi="Times New Roman" w:cs="Times New Roman"/>
          <w:sz w:val="20"/>
          <w:szCs w:val="20"/>
        </w:rPr>
        <w:t>Centre for Cardiovascular Science, University of Edinburgh, UK</w:t>
      </w:r>
    </w:p>
    <w:p w14:paraId="792B842A" w14:textId="77777777" w:rsidR="00A44A0F" w:rsidRPr="00ED7443" w:rsidRDefault="00A44A0F" w:rsidP="00A44A0F">
      <w:pPr>
        <w:rPr>
          <w:rFonts w:ascii="Times New Roman" w:hAnsi="Times New Roman" w:cs="Times New Roman"/>
          <w:sz w:val="20"/>
          <w:szCs w:val="20"/>
        </w:rPr>
      </w:pPr>
      <w:r w:rsidRPr="00ED7443">
        <w:rPr>
          <w:rFonts w:ascii="Times New Roman" w:hAnsi="Times New Roman" w:cs="Times New Roman"/>
          <w:sz w:val="20"/>
          <w:szCs w:val="20"/>
          <w:vertAlign w:val="superscript"/>
        </w:rPr>
        <w:t xml:space="preserve">2 </w:t>
      </w:r>
      <w:r w:rsidRPr="00ED7443">
        <w:rPr>
          <w:rFonts w:ascii="Times New Roman" w:hAnsi="Times New Roman" w:cs="Times New Roman"/>
          <w:sz w:val="20"/>
          <w:szCs w:val="20"/>
        </w:rPr>
        <w:t>Centre for Mental Health and Community Wellbeing, University of Melbourne, Australia</w:t>
      </w:r>
    </w:p>
    <w:p w14:paraId="157A4023" w14:textId="77777777" w:rsidR="00A44A0F" w:rsidRPr="00ED7443" w:rsidRDefault="00A44A0F" w:rsidP="00A44A0F">
      <w:pPr>
        <w:rPr>
          <w:rFonts w:ascii="Times New Roman" w:hAnsi="Times New Roman" w:cs="Times New Roman"/>
          <w:sz w:val="20"/>
          <w:szCs w:val="20"/>
        </w:rPr>
      </w:pPr>
      <w:r w:rsidRPr="00ED7443">
        <w:rPr>
          <w:rFonts w:ascii="Times New Roman" w:hAnsi="Times New Roman" w:cs="Times New Roman"/>
          <w:sz w:val="20"/>
          <w:szCs w:val="20"/>
          <w:vertAlign w:val="superscript"/>
        </w:rPr>
        <w:t xml:space="preserve">3 </w:t>
      </w:r>
      <w:r w:rsidRPr="00ED7443">
        <w:rPr>
          <w:rFonts w:ascii="Times New Roman" w:hAnsi="Times New Roman" w:cs="Times New Roman"/>
          <w:sz w:val="20"/>
          <w:szCs w:val="20"/>
        </w:rPr>
        <w:t>Department of Psychiatry, University of Oxford, UK</w:t>
      </w:r>
    </w:p>
    <w:p w14:paraId="0DFB4261" w14:textId="77777777" w:rsidR="00A44A0F" w:rsidRPr="00ED7443" w:rsidRDefault="00A44A0F" w:rsidP="00A44A0F">
      <w:pPr>
        <w:rPr>
          <w:rFonts w:ascii="Times New Roman" w:hAnsi="Times New Roman" w:cs="Times New Roman"/>
          <w:sz w:val="20"/>
          <w:szCs w:val="20"/>
          <w:lang w:val="en-AU"/>
        </w:rPr>
      </w:pPr>
      <w:r w:rsidRPr="00ED7443">
        <w:rPr>
          <w:rFonts w:ascii="Times New Roman" w:hAnsi="Times New Roman" w:cs="Times New Roman"/>
          <w:sz w:val="20"/>
          <w:szCs w:val="20"/>
          <w:vertAlign w:val="superscript"/>
          <w:lang w:val="en-AU"/>
        </w:rPr>
        <w:t xml:space="preserve">4 </w:t>
      </w:r>
      <w:r w:rsidRPr="00ED7443">
        <w:rPr>
          <w:rFonts w:ascii="Times New Roman" w:hAnsi="Times New Roman" w:cs="Times New Roman"/>
          <w:sz w:val="20"/>
          <w:szCs w:val="20"/>
          <w:lang w:val="en-AU"/>
        </w:rPr>
        <w:t>Centre for Adolescent Health, Murdoch Children’s Research Institute, Melbourne, Australia</w:t>
      </w:r>
    </w:p>
    <w:p w14:paraId="7B2E3789" w14:textId="77777777" w:rsidR="00A44A0F" w:rsidRPr="00ED7443" w:rsidRDefault="00A44A0F" w:rsidP="00A44A0F">
      <w:pPr>
        <w:autoSpaceDE w:val="0"/>
        <w:autoSpaceDN w:val="0"/>
        <w:rPr>
          <w:rFonts w:ascii="Times New Roman" w:eastAsiaTheme="minorEastAsia" w:hAnsi="Times New Roman" w:cs="Times New Roman"/>
          <w:noProof/>
          <w:sz w:val="20"/>
          <w:szCs w:val="20"/>
          <w:lang w:eastAsia="en-AU"/>
        </w:rPr>
      </w:pPr>
      <w:r w:rsidRPr="00ED7443">
        <w:rPr>
          <w:rFonts w:ascii="Times New Roman" w:hAnsi="Times New Roman" w:cs="Times New Roman"/>
          <w:sz w:val="20"/>
          <w:szCs w:val="20"/>
          <w:vertAlign w:val="superscript"/>
          <w:lang w:val="en-AU"/>
        </w:rPr>
        <w:t xml:space="preserve">5 </w:t>
      </w:r>
      <w:r w:rsidRPr="00ED7443">
        <w:rPr>
          <w:rFonts w:ascii="Times New Roman" w:eastAsiaTheme="minorEastAsia" w:hAnsi="Times New Roman" w:cs="Times New Roman"/>
          <w:noProof/>
          <w:sz w:val="20"/>
          <w:szCs w:val="20"/>
          <w:lang w:eastAsia="en-AU"/>
        </w:rPr>
        <w:t>Justice Health Group; School of Population Health, Curtin University, Perth, Australia</w:t>
      </w:r>
    </w:p>
    <w:p w14:paraId="37157ABB" w14:textId="77777777" w:rsidR="00A44A0F" w:rsidRPr="00ED7443" w:rsidRDefault="00A44A0F" w:rsidP="00A44A0F">
      <w:pPr>
        <w:rPr>
          <w:rFonts w:ascii="Times New Roman" w:hAnsi="Times New Roman" w:cs="Times New Roman"/>
          <w:sz w:val="20"/>
          <w:szCs w:val="20"/>
        </w:rPr>
      </w:pPr>
      <w:r w:rsidRPr="00ED7443">
        <w:rPr>
          <w:rFonts w:ascii="Times New Roman" w:hAnsi="Times New Roman" w:cs="Times New Roman"/>
          <w:sz w:val="20"/>
          <w:szCs w:val="20"/>
          <w:vertAlign w:val="superscript"/>
        </w:rPr>
        <w:t xml:space="preserve">6 </w:t>
      </w:r>
      <w:r w:rsidRPr="00ED7443">
        <w:rPr>
          <w:rFonts w:ascii="Times New Roman" w:hAnsi="Times New Roman" w:cs="Times New Roman"/>
          <w:sz w:val="20"/>
          <w:szCs w:val="20"/>
        </w:rPr>
        <w:t>Mental Welfare Commission for Scotland, UK</w:t>
      </w:r>
    </w:p>
    <w:p w14:paraId="47DC63D9" w14:textId="77777777" w:rsidR="009C28B8" w:rsidRPr="00B83A31" w:rsidRDefault="009C28B8">
      <w:pPr>
        <w:rPr>
          <w:rFonts w:ascii="Times New Roman" w:hAnsi="Times New Roman" w:cs="Times New Roman"/>
          <w:lang w:val="en-US"/>
        </w:rPr>
      </w:pPr>
    </w:p>
    <w:p w14:paraId="3F5F5446" w14:textId="662C9F97" w:rsidR="000E6A1B" w:rsidRPr="00B83A31" w:rsidRDefault="000E6A1B">
      <w:pPr>
        <w:rPr>
          <w:rFonts w:ascii="Times New Roman" w:eastAsiaTheme="majorEastAsia" w:hAnsi="Times New Roman" w:cs="Times New Roman"/>
          <w:b/>
          <w:sz w:val="32"/>
          <w:szCs w:val="32"/>
        </w:rPr>
      </w:pPr>
      <w:r w:rsidRPr="00B83A31">
        <w:rPr>
          <w:rFonts w:ascii="Times New Roman" w:eastAsiaTheme="majorEastAsia" w:hAnsi="Times New Roman" w:cs="Times New Roman"/>
          <w:b/>
          <w:sz w:val="32"/>
          <w:szCs w:val="32"/>
        </w:rPr>
        <w:t>Supplementary tables</w:t>
      </w:r>
    </w:p>
    <w:p w14:paraId="03B27572" w14:textId="77777777" w:rsidR="0068264E" w:rsidRPr="009C28B8" w:rsidRDefault="0068264E">
      <w:pPr>
        <w:rPr>
          <w:rFonts w:cstheme="minorHAnsi"/>
          <w:b/>
        </w:rPr>
      </w:pPr>
      <w:r w:rsidRPr="009C28B8">
        <w:rPr>
          <w:rFonts w:cstheme="minorHAnsi"/>
          <w:b/>
        </w:rPr>
        <w:br w:type="page"/>
      </w:r>
    </w:p>
    <w:p w14:paraId="72ED2895" w14:textId="408235E1" w:rsidR="000E6A1B" w:rsidRPr="00B83A31" w:rsidRDefault="000E6A1B" w:rsidP="00B83A31">
      <w:pPr>
        <w:rPr>
          <w:rFonts w:ascii="Times New Roman" w:hAnsi="Times New Roman" w:cs="Times New Roman"/>
          <w:b/>
        </w:rPr>
      </w:pPr>
      <w:r w:rsidRPr="00B83A31">
        <w:rPr>
          <w:rFonts w:ascii="Times New Roman" w:hAnsi="Times New Roman" w:cs="Times New Roman"/>
          <w:b/>
        </w:rPr>
        <w:lastRenderedPageBreak/>
        <w:t xml:space="preserve">Table </w:t>
      </w:r>
      <w:r w:rsidR="009C28B8" w:rsidRPr="00B83A31">
        <w:rPr>
          <w:rFonts w:ascii="Times New Roman" w:hAnsi="Times New Roman" w:cs="Times New Roman"/>
          <w:b/>
        </w:rPr>
        <w:t>S</w:t>
      </w:r>
      <w:r w:rsidRPr="00B83A31">
        <w:rPr>
          <w:rFonts w:ascii="Times New Roman" w:hAnsi="Times New Roman" w:cs="Times New Roman"/>
          <w:b/>
        </w:rPr>
        <w:t>1. Overview of datasets included in the analyses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204"/>
        <w:gridCol w:w="1142"/>
        <w:gridCol w:w="1142"/>
        <w:gridCol w:w="1142"/>
        <w:gridCol w:w="1142"/>
        <w:gridCol w:w="1136"/>
      </w:tblGrid>
      <w:tr w:rsidR="00B83A31" w:rsidRPr="00B83A31" w14:paraId="507A54A4" w14:textId="77777777" w:rsidTr="00B83A31">
        <w:trPr>
          <w:trHeight w:val="260"/>
        </w:trPr>
        <w:tc>
          <w:tcPr>
            <w:tcW w:w="1451" w:type="pct"/>
            <w:tcBorders>
              <w:top w:val="single" w:sz="4" w:space="0" w:color="auto"/>
            </w:tcBorders>
          </w:tcPr>
          <w:p w14:paraId="0F3AD717" w14:textId="77777777" w:rsidR="00942290" w:rsidRPr="00B83A31" w:rsidRDefault="00942290" w:rsidP="00257F36">
            <w:pPr>
              <w:rPr>
                <w:rFonts w:ascii="Times New Roman" w:hAnsi="Times New Roman" w:cs="Times New Roman"/>
                <w:b/>
                <w:sz w:val="18"/>
              </w:rPr>
            </w:pPr>
            <w:r w:rsidRPr="00B83A31">
              <w:rPr>
                <w:rFonts w:ascii="Times New Roman" w:hAnsi="Times New Roman" w:cs="Times New Roman"/>
                <w:b/>
                <w:sz w:val="18"/>
              </w:rPr>
              <w:t>Question</w:t>
            </w:r>
          </w:p>
        </w:tc>
        <w:tc>
          <w:tcPr>
            <w:tcW w:w="1506" w:type="pct"/>
            <w:tcBorders>
              <w:top w:val="single" w:sz="4" w:space="0" w:color="auto"/>
            </w:tcBorders>
          </w:tcPr>
          <w:p w14:paraId="5F5A43AD" w14:textId="77777777" w:rsidR="00942290" w:rsidRPr="00B83A31" w:rsidRDefault="00942290" w:rsidP="00257F36">
            <w:pPr>
              <w:rPr>
                <w:rFonts w:ascii="Times New Roman" w:hAnsi="Times New Roman" w:cs="Times New Roman"/>
                <w:b/>
                <w:sz w:val="18"/>
              </w:rPr>
            </w:pPr>
            <w:r w:rsidRPr="00B83A31">
              <w:rPr>
                <w:rFonts w:ascii="Times New Roman" w:hAnsi="Times New Roman" w:cs="Times New Roman"/>
                <w:b/>
                <w:sz w:val="18"/>
              </w:rPr>
              <w:t>Description</w:t>
            </w:r>
          </w:p>
        </w:tc>
        <w:tc>
          <w:tcPr>
            <w:tcW w:w="409" w:type="pct"/>
            <w:tcBorders>
              <w:top w:val="single" w:sz="4" w:space="0" w:color="auto"/>
            </w:tcBorders>
          </w:tcPr>
          <w:p w14:paraId="24E33823" w14:textId="4C147EC4" w:rsidR="00942290" w:rsidRPr="00B83A31" w:rsidRDefault="00942290" w:rsidP="00257F36">
            <w:pPr>
              <w:rPr>
                <w:rFonts w:ascii="Times New Roman" w:hAnsi="Times New Roman" w:cs="Times New Roman"/>
                <w:b/>
                <w:sz w:val="18"/>
              </w:rPr>
            </w:pPr>
            <w:r w:rsidRPr="00B83A31">
              <w:rPr>
                <w:rFonts w:ascii="Times New Roman" w:hAnsi="Times New Roman" w:cs="Times New Roman"/>
                <w:b/>
                <w:sz w:val="18"/>
              </w:rPr>
              <w:t>Start year</w:t>
            </w:r>
          </w:p>
        </w:tc>
        <w:tc>
          <w:tcPr>
            <w:tcW w:w="409" w:type="pct"/>
            <w:tcBorders>
              <w:top w:val="single" w:sz="4" w:space="0" w:color="auto"/>
            </w:tcBorders>
          </w:tcPr>
          <w:p w14:paraId="261D18ED" w14:textId="16AB912F" w:rsidR="00942290" w:rsidRPr="00B83A31" w:rsidRDefault="00942290" w:rsidP="00257F36">
            <w:pPr>
              <w:rPr>
                <w:rFonts w:ascii="Times New Roman" w:hAnsi="Times New Roman" w:cs="Times New Roman"/>
                <w:b/>
                <w:sz w:val="18"/>
              </w:rPr>
            </w:pPr>
            <w:r w:rsidRPr="00B83A31">
              <w:rPr>
                <w:rFonts w:ascii="Times New Roman" w:hAnsi="Times New Roman" w:cs="Times New Roman"/>
                <w:b/>
                <w:sz w:val="18"/>
              </w:rPr>
              <w:t>End year</w:t>
            </w:r>
          </w:p>
        </w:tc>
        <w:tc>
          <w:tcPr>
            <w:tcW w:w="409" w:type="pct"/>
            <w:tcBorders>
              <w:top w:val="single" w:sz="4" w:space="0" w:color="auto"/>
            </w:tcBorders>
          </w:tcPr>
          <w:p w14:paraId="3BED6CF5" w14:textId="684E7CF8" w:rsidR="00942290" w:rsidRPr="00B83A31" w:rsidRDefault="00942290" w:rsidP="00257F36">
            <w:pPr>
              <w:rPr>
                <w:rFonts w:ascii="Times New Roman" w:hAnsi="Times New Roman" w:cs="Times New Roman"/>
                <w:b/>
                <w:sz w:val="18"/>
              </w:rPr>
            </w:pPr>
            <w:r w:rsidRPr="00B83A31">
              <w:rPr>
                <w:rFonts w:ascii="Times New Roman" w:hAnsi="Times New Roman" w:cs="Times New Roman"/>
                <w:b/>
                <w:sz w:val="18"/>
              </w:rPr>
              <w:t>Number</w:t>
            </w:r>
          </w:p>
        </w:tc>
        <w:tc>
          <w:tcPr>
            <w:tcW w:w="409" w:type="pct"/>
            <w:tcBorders>
              <w:top w:val="single" w:sz="4" w:space="0" w:color="auto"/>
            </w:tcBorders>
          </w:tcPr>
          <w:p w14:paraId="1E79CF78" w14:textId="77777777" w:rsidR="00942290" w:rsidRPr="00B83A31" w:rsidRDefault="00942290" w:rsidP="00257F36">
            <w:pPr>
              <w:rPr>
                <w:rFonts w:ascii="Times New Roman" w:hAnsi="Times New Roman" w:cs="Times New Roman"/>
                <w:b/>
                <w:sz w:val="18"/>
              </w:rPr>
            </w:pPr>
            <w:r w:rsidRPr="00B83A31">
              <w:rPr>
                <w:rFonts w:ascii="Times New Roman" w:hAnsi="Times New Roman" w:cs="Times New Roman"/>
                <w:b/>
                <w:sz w:val="18"/>
              </w:rPr>
              <w:t>Ethnicity</w:t>
            </w:r>
          </w:p>
        </w:tc>
        <w:tc>
          <w:tcPr>
            <w:tcW w:w="407" w:type="pct"/>
            <w:tcBorders>
              <w:top w:val="single" w:sz="4" w:space="0" w:color="auto"/>
            </w:tcBorders>
          </w:tcPr>
          <w:p w14:paraId="4218E79D" w14:textId="77777777" w:rsidR="00942290" w:rsidRPr="00B83A31" w:rsidRDefault="00942290" w:rsidP="00257F36">
            <w:pPr>
              <w:rPr>
                <w:rFonts w:ascii="Times New Roman" w:hAnsi="Times New Roman" w:cs="Times New Roman"/>
                <w:b/>
                <w:sz w:val="18"/>
              </w:rPr>
            </w:pPr>
            <w:r w:rsidRPr="00B83A31">
              <w:rPr>
                <w:rFonts w:ascii="Times New Roman" w:hAnsi="Times New Roman" w:cs="Times New Roman"/>
                <w:b/>
                <w:sz w:val="18"/>
              </w:rPr>
              <w:t>SIMD</w:t>
            </w:r>
          </w:p>
        </w:tc>
      </w:tr>
      <w:tr w:rsidR="00B83A31" w:rsidRPr="00B83A31" w14:paraId="045D4758" w14:textId="77777777" w:rsidTr="00B83A31">
        <w:trPr>
          <w:trHeight w:val="1350"/>
        </w:trPr>
        <w:tc>
          <w:tcPr>
            <w:tcW w:w="1451" w:type="pct"/>
          </w:tcPr>
          <w:p w14:paraId="6CA91D0F" w14:textId="6688B0E1" w:rsidR="00F228A1" w:rsidRPr="00F228A1" w:rsidRDefault="00B83A31" w:rsidP="00F228A1">
            <w:pPr>
              <w:pStyle w:val="pf0"/>
              <w:numPr>
                <w:ilvl w:val="0"/>
                <w:numId w:val="7"/>
              </w:numPr>
              <w:ind w:left="338" w:hanging="270"/>
              <w:rPr>
                <w:rStyle w:val="cf01"/>
                <w:rFonts w:ascii="Times New Roman" w:hAnsi="Times New Roman" w:cs="Times New Roman"/>
              </w:rPr>
            </w:pPr>
            <w:r w:rsidRPr="00B83A31">
              <w:rPr>
                <w:rStyle w:val="cf01"/>
                <w:rFonts w:ascii="Times New Roman" w:hAnsi="Times New Roman" w:cs="Times New Roman"/>
              </w:rPr>
              <w:t>How long, on average, are people subject to a</w:t>
            </w:r>
            <w:r w:rsidR="005073FC">
              <w:t xml:space="preserve"> </w:t>
            </w:r>
            <w:r w:rsidR="005073FC" w:rsidRPr="005073FC">
              <w:rPr>
                <w:rStyle w:val="cf01"/>
                <w:rFonts w:ascii="Times New Roman" w:hAnsi="Times New Roman" w:cs="Times New Roman"/>
              </w:rPr>
              <w:t>Compulsory Treatment Order</w:t>
            </w:r>
            <w:r w:rsidRPr="00B83A31">
              <w:rPr>
                <w:rStyle w:val="cf01"/>
                <w:rFonts w:ascii="Times New Roman" w:hAnsi="Times New Roman" w:cs="Times New Roman"/>
              </w:rPr>
              <w:t xml:space="preserve"> and does this differ by sociodemographic characteristics?</w:t>
            </w:r>
            <w:r w:rsidR="00F228A1">
              <w:rPr>
                <w:rStyle w:val="cf01"/>
                <w:rFonts w:ascii="Times New Roman" w:hAnsi="Times New Roman" w:cs="Times New Roman"/>
              </w:rPr>
              <w:br/>
            </w:r>
          </w:p>
          <w:p w14:paraId="000DF2EC" w14:textId="767B32C4" w:rsidR="00942290" w:rsidRPr="00B83A31" w:rsidRDefault="00B83A31" w:rsidP="004C51CB">
            <w:pPr>
              <w:pStyle w:val="pf0"/>
              <w:numPr>
                <w:ilvl w:val="0"/>
                <w:numId w:val="7"/>
              </w:numPr>
              <w:ind w:left="338" w:hanging="270"/>
              <w:rPr>
                <w:sz w:val="18"/>
                <w:szCs w:val="18"/>
              </w:rPr>
            </w:pPr>
            <w:r w:rsidRPr="00B83A31">
              <w:rPr>
                <w:rStyle w:val="cf01"/>
                <w:rFonts w:ascii="Times New Roman" w:hAnsi="Times New Roman" w:cs="Times New Roman"/>
              </w:rPr>
              <w:t xml:space="preserve">How long are first-time </w:t>
            </w:r>
            <w:r w:rsidR="005073FC" w:rsidRPr="005073FC">
              <w:rPr>
                <w:rStyle w:val="cf01"/>
                <w:rFonts w:ascii="Times New Roman" w:hAnsi="Times New Roman" w:cs="Times New Roman"/>
              </w:rPr>
              <w:t>Compulsory Treatment Order</w:t>
            </w:r>
            <w:r w:rsidR="005073FC">
              <w:rPr>
                <w:rStyle w:val="cf01"/>
                <w:rFonts w:ascii="Times New Roman" w:hAnsi="Times New Roman" w:cs="Times New Roman"/>
              </w:rPr>
              <w:t xml:space="preserve">s </w:t>
            </w:r>
            <w:r w:rsidRPr="00B83A31">
              <w:rPr>
                <w:rStyle w:val="cf01"/>
                <w:rFonts w:ascii="Times New Roman" w:hAnsi="Times New Roman" w:cs="Times New Roman"/>
              </w:rPr>
              <w:t xml:space="preserve">and are there differences in length by sociodemographic characteristics? </w:t>
            </w:r>
          </w:p>
        </w:tc>
        <w:tc>
          <w:tcPr>
            <w:tcW w:w="1506" w:type="pct"/>
          </w:tcPr>
          <w:p w14:paraId="322CE4F5" w14:textId="6829CCCA" w:rsidR="00942290" w:rsidRPr="00B83A31" w:rsidRDefault="005073FC" w:rsidP="00257F36">
            <w:pPr>
              <w:rPr>
                <w:rFonts w:ascii="Times New Roman" w:hAnsi="Times New Roman" w:cs="Times New Roman"/>
                <w:sz w:val="18"/>
              </w:rPr>
            </w:pPr>
            <w:r w:rsidRPr="005073FC">
              <w:rPr>
                <w:rStyle w:val="cf01"/>
                <w:rFonts w:ascii="Times New Roman" w:hAnsi="Times New Roman" w:cs="Times New Roman"/>
              </w:rPr>
              <w:t>Compulsory Treatment Order</w:t>
            </w:r>
            <w:r w:rsidR="00942290" w:rsidRPr="00B83A31">
              <w:rPr>
                <w:rFonts w:ascii="Times New Roman" w:hAnsi="Times New Roman" w:cs="Times New Roman"/>
                <w:sz w:val="18"/>
              </w:rPr>
              <w:t xml:space="preserve"> episodes that started from 2007 </w:t>
            </w:r>
            <w:r w:rsidR="005F3219">
              <w:rPr>
                <w:rFonts w:ascii="Times New Roman" w:hAnsi="Times New Roman" w:cs="Times New Roman"/>
                <w:sz w:val="18"/>
              </w:rPr>
              <w:t>o</w:t>
            </w:r>
            <w:r w:rsidR="005F3219" w:rsidRPr="005F3219">
              <w:rPr>
                <w:rFonts w:ascii="Times New Roman" w:hAnsi="Times New Roman" w:cs="Times New Roman"/>
                <w:sz w:val="18"/>
              </w:rPr>
              <w:t>nwards</w:t>
            </w:r>
            <w:r w:rsidR="00942290" w:rsidRPr="00B83A31">
              <w:rPr>
                <w:rFonts w:ascii="Times New Roman" w:hAnsi="Times New Roman" w:cs="Times New Roman"/>
                <w:sz w:val="18"/>
              </w:rPr>
              <w:t>, excluded episodes where the episode</w:t>
            </w:r>
            <w:r w:rsidR="002F1435">
              <w:rPr>
                <w:rFonts w:ascii="Times New Roman" w:hAnsi="Times New Roman" w:cs="Times New Roman"/>
                <w:sz w:val="18"/>
              </w:rPr>
              <w:t xml:space="preserve"> </w:t>
            </w:r>
            <w:r w:rsidR="002F1435" w:rsidRPr="002F1435">
              <w:rPr>
                <w:rFonts w:ascii="Times New Roman" w:hAnsi="Times New Roman" w:cs="Times New Roman"/>
                <w:sz w:val="18"/>
              </w:rPr>
              <w:t>ended</w:t>
            </w:r>
            <w:r w:rsidR="00942290" w:rsidRPr="00B83A31">
              <w:rPr>
                <w:rFonts w:ascii="Times New Roman" w:hAnsi="Times New Roman" w:cs="Times New Roman"/>
                <w:sz w:val="18"/>
              </w:rPr>
              <w:t xml:space="preserve"> because the individual died, there were errors in start and end date. </w:t>
            </w:r>
          </w:p>
        </w:tc>
        <w:tc>
          <w:tcPr>
            <w:tcW w:w="409" w:type="pct"/>
          </w:tcPr>
          <w:p w14:paraId="7F585EB2" w14:textId="094C44D7"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2007</w:t>
            </w:r>
            <w:r w:rsidRPr="00B83A31">
              <w:rPr>
                <w:rFonts w:ascii="Times New Roman" w:hAnsi="Times New Roman" w:cs="Times New Roman"/>
                <w:sz w:val="18"/>
                <w:vertAlign w:val="superscript"/>
              </w:rPr>
              <w:t>b</w:t>
            </w:r>
          </w:p>
        </w:tc>
        <w:tc>
          <w:tcPr>
            <w:tcW w:w="409" w:type="pct"/>
          </w:tcPr>
          <w:p w14:paraId="683C6E19" w14:textId="1D53DC45"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2020</w:t>
            </w:r>
          </w:p>
        </w:tc>
        <w:tc>
          <w:tcPr>
            <w:tcW w:w="409" w:type="pct"/>
          </w:tcPr>
          <w:p w14:paraId="7C35DC61" w14:textId="2AF3DB9A"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14,008</w:t>
            </w:r>
          </w:p>
        </w:tc>
        <w:tc>
          <w:tcPr>
            <w:tcW w:w="409" w:type="pct"/>
          </w:tcPr>
          <w:p w14:paraId="3954700C" w14:textId="77777777"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86.2%</w:t>
            </w:r>
          </w:p>
        </w:tc>
        <w:tc>
          <w:tcPr>
            <w:tcW w:w="407" w:type="pct"/>
          </w:tcPr>
          <w:p w14:paraId="775B4B1B" w14:textId="77777777"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65.2%</w:t>
            </w:r>
          </w:p>
        </w:tc>
      </w:tr>
      <w:tr w:rsidR="00B83A31" w:rsidRPr="00B83A31" w14:paraId="6BDC2723" w14:textId="77777777" w:rsidTr="00B83A31">
        <w:trPr>
          <w:trHeight w:val="747"/>
        </w:trPr>
        <w:tc>
          <w:tcPr>
            <w:tcW w:w="1451" w:type="pct"/>
          </w:tcPr>
          <w:p w14:paraId="46F364FA" w14:textId="6D5819E6" w:rsidR="00B83A31" w:rsidRPr="00B83A31" w:rsidRDefault="00B83A31" w:rsidP="004C51CB">
            <w:pPr>
              <w:pStyle w:val="pf0"/>
              <w:numPr>
                <w:ilvl w:val="0"/>
                <w:numId w:val="6"/>
              </w:numPr>
              <w:ind w:left="338" w:hanging="270"/>
              <w:rPr>
                <w:sz w:val="20"/>
                <w:szCs w:val="20"/>
              </w:rPr>
            </w:pPr>
            <w:r w:rsidRPr="00B83A31">
              <w:rPr>
                <w:rStyle w:val="cf01"/>
                <w:rFonts w:ascii="Times New Roman" w:hAnsi="Times New Roman" w:cs="Times New Roman"/>
              </w:rPr>
              <w:t xml:space="preserve">What proportion of all </w:t>
            </w:r>
            <w:r w:rsidR="005073FC" w:rsidRPr="005073FC">
              <w:rPr>
                <w:rStyle w:val="cf01"/>
                <w:rFonts w:ascii="Times New Roman" w:hAnsi="Times New Roman" w:cs="Times New Roman"/>
              </w:rPr>
              <w:t>Compulsory Treatment Order</w:t>
            </w:r>
            <w:r w:rsidR="005073FC">
              <w:rPr>
                <w:rStyle w:val="cf01"/>
                <w:rFonts w:ascii="Times New Roman" w:hAnsi="Times New Roman" w:cs="Times New Roman"/>
              </w:rPr>
              <w:t>s</w:t>
            </w:r>
            <w:r w:rsidRPr="00B83A31">
              <w:rPr>
                <w:rStyle w:val="cf01"/>
                <w:rFonts w:ascii="Times New Roman" w:hAnsi="Times New Roman" w:cs="Times New Roman"/>
              </w:rPr>
              <w:t xml:space="preserve"> are extended and does this differ by sociodemographic characteristics? </w:t>
            </w:r>
          </w:p>
          <w:p w14:paraId="609AE558" w14:textId="733363A9" w:rsidR="00942290" w:rsidRPr="00B83A31" w:rsidRDefault="00942290" w:rsidP="004C51CB">
            <w:pPr>
              <w:rPr>
                <w:rFonts w:ascii="Times New Roman" w:hAnsi="Times New Roman" w:cs="Times New Roman"/>
                <w:sz w:val="18"/>
              </w:rPr>
            </w:pPr>
          </w:p>
        </w:tc>
        <w:tc>
          <w:tcPr>
            <w:tcW w:w="1506" w:type="pct"/>
          </w:tcPr>
          <w:p w14:paraId="315D479F" w14:textId="77777777"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 xml:space="preserve">Episodes that started before 1 January 2021 were included, as episodes after that we may not have received or there may not be an extension. Excluded episodes where death ended the episode. </w:t>
            </w:r>
          </w:p>
        </w:tc>
        <w:tc>
          <w:tcPr>
            <w:tcW w:w="409" w:type="pct"/>
          </w:tcPr>
          <w:p w14:paraId="629172C1" w14:textId="397C1A6C"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2007</w:t>
            </w:r>
          </w:p>
        </w:tc>
        <w:tc>
          <w:tcPr>
            <w:tcW w:w="409" w:type="pct"/>
          </w:tcPr>
          <w:p w14:paraId="5269096B" w14:textId="436266E5"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2020</w:t>
            </w:r>
          </w:p>
        </w:tc>
        <w:tc>
          <w:tcPr>
            <w:tcW w:w="409" w:type="pct"/>
          </w:tcPr>
          <w:p w14:paraId="00EC47B5" w14:textId="60164BDB"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16,317</w:t>
            </w:r>
          </w:p>
        </w:tc>
        <w:tc>
          <w:tcPr>
            <w:tcW w:w="409" w:type="pct"/>
          </w:tcPr>
          <w:p w14:paraId="0387AC52" w14:textId="77777777"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72.0%</w:t>
            </w:r>
          </w:p>
        </w:tc>
        <w:tc>
          <w:tcPr>
            <w:tcW w:w="407" w:type="pct"/>
          </w:tcPr>
          <w:p w14:paraId="06EA76CC" w14:textId="77777777"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64.4%</w:t>
            </w:r>
          </w:p>
        </w:tc>
      </w:tr>
      <w:tr w:rsidR="00B83A31" w:rsidRPr="00B83A31" w14:paraId="2FD044F7" w14:textId="77777777" w:rsidTr="00B83A31">
        <w:trPr>
          <w:trHeight w:val="909"/>
        </w:trPr>
        <w:tc>
          <w:tcPr>
            <w:tcW w:w="1451" w:type="pct"/>
          </w:tcPr>
          <w:p w14:paraId="733C063D" w14:textId="28F2E918" w:rsidR="00B83A31" w:rsidRPr="00B83A31" w:rsidRDefault="00B83A31" w:rsidP="004C51CB">
            <w:pPr>
              <w:pStyle w:val="pf0"/>
              <w:numPr>
                <w:ilvl w:val="0"/>
                <w:numId w:val="5"/>
              </w:numPr>
              <w:ind w:left="338" w:hanging="270"/>
              <w:rPr>
                <w:sz w:val="20"/>
                <w:szCs w:val="20"/>
              </w:rPr>
            </w:pPr>
            <w:r w:rsidRPr="00B83A31">
              <w:rPr>
                <w:rStyle w:val="cf01"/>
                <w:rFonts w:ascii="Times New Roman" w:hAnsi="Times New Roman" w:cs="Times New Roman"/>
              </w:rPr>
              <w:t xml:space="preserve">What is the number and characteristics of individuals on continued and new community </w:t>
            </w:r>
            <w:r w:rsidR="005073FC" w:rsidRPr="005073FC">
              <w:rPr>
                <w:rStyle w:val="cf01"/>
                <w:rFonts w:ascii="Times New Roman" w:hAnsi="Times New Roman" w:cs="Times New Roman"/>
              </w:rPr>
              <w:t>Compulsory Treatment Order</w:t>
            </w:r>
            <w:r w:rsidRPr="00B83A31">
              <w:rPr>
                <w:rStyle w:val="cf01"/>
                <w:rFonts w:ascii="Times New Roman" w:hAnsi="Times New Roman" w:cs="Times New Roman"/>
              </w:rPr>
              <w:t xml:space="preserve">s (including those varied from a hospital-based </w:t>
            </w:r>
            <w:r w:rsidR="005073FC" w:rsidRPr="005073FC">
              <w:rPr>
                <w:rStyle w:val="cf01"/>
                <w:rFonts w:ascii="Times New Roman" w:hAnsi="Times New Roman" w:cs="Times New Roman"/>
              </w:rPr>
              <w:t>Compulsory Treatment Order</w:t>
            </w:r>
            <w:r w:rsidRPr="00B83A31">
              <w:rPr>
                <w:rStyle w:val="cf01"/>
                <w:rFonts w:ascii="Times New Roman" w:hAnsi="Times New Roman" w:cs="Times New Roman"/>
              </w:rPr>
              <w:t xml:space="preserve">) since 2007? </w:t>
            </w:r>
          </w:p>
          <w:p w14:paraId="77D65F08" w14:textId="1B179857" w:rsidR="00942290" w:rsidRPr="00B83A31" w:rsidRDefault="00942290" w:rsidP="004C51CB">
            <w:pPr>
              <w:ind w:left="338" w:hanging="270"/>
              <w:rPr>
                <w:rFonts w:ascii="Times New Roman" w:hAnsi="Times New Roman" w:cs="Times New Roman"/>
                <w:sz w:val="18"/>
              </w:rPr>
            </w:pPr>
          </w:p>
        </w:tc>
        <w:tc>
          <w:tcPr>
            <w:tcW w:w="1506" w:type="pct"/>
          </w:tcPr>
          <w:p w14:paraId="7608A8EB" w14:textId="2FCA2ECD"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 xml:space="preserve">Point prevalence of all individuals on a community </w:t>
            </w:r>
            <w:r w:rsidR="005073FC" w:rsidRPr="005073FC">
              <w:rPr>
                <w:rStyle w:val="cf01"/>
                <w:rFonts w:ascii="Times New Roman" w:hAnsi="Times New Roman" w:cs="Times New Roman"/>
              </w:rPr>
              <w:t>Compulsory Treatment Order</w:t>
            </w:r>
            <w:r w:rsidR="005073FC">
              <w:rPr>
                <w:rStyle w:val="cf01"/>
                <w:rFonts w:ascii="Times New Roman" w:hAnsi="Times New Roman" w:cs="Times New Roman"/>
              </w:rPr>
              <w:t>.</w:t>
            </w:r>
          </w:p>
        </w:tc>
        <w:tc>
          <w:tcPr>
            <w:tcW w:w="409" w:type="pct"/>
          </w:tcPr>
          <w:p w14:paraId="454538AE" w14:textId="368EA787"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2007/08</w:t>
            </w:r>
          </w:p>
        </w:tc>
        <w:tc>
          <w:tcPr>
            <w:tcW w:w="409" w:type="pct"/>
          </w:tcPr>
          <w:p w14:paraId="662700BC" w14:textId="38A77EA9"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2020/21</w:t>
            </w:r>
          </w:p>
        </w:tc>
        <w:tc>
          <w:tcPr>
            <w:tcW w:w="409" w:type="pct"/>
          </w:tcPr>
          <w:p w14:paraId="0B9C480D" w14:textId="38D5338A"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13,199</w:t>
            </w:r>
          </w:p>
        </w:tc>
        <w:tc>
          <w:tcPr>
            <w:tcW w:w="409" w:type="pct"/>
          </w:tcPr>
          <w:p w14:paraId="0584D03A" w14:textId="77777777"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83.4%</w:t>
            </w:r>
            <w:r w:rsidRPr="00B83A31">
              <w:rPr>
                <w:rFonts w:ascii="Times New Roman" w:hAnsi="Times New Roman" w:cs="Times New Roman"/>
                <w:sz w:val="18"/>
                <w:vertAlign w:val="superscript"/>
              </w:rPr>
              <w:t>a</w:t>
            </w:r>
          </w:p>
        </w:tc>
        <w:tc>
          <w:tcPr>
            <w:tcW w:w="407" w:type="pct"/>
          </w:tcPr>
          <w:p w14:paraId="5334E8B5" w14:textId="77777777"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74.6%</w:t>
            </w:r>
            <w:r w:rsidRPr="00B83A31">
              <w:rPr>
                <w:rFonts w:ascii="Times New Roman" w:hAnsi="Times New Roman" w:cs="Times New Roman"/>
                <w:sz w:val="18"/>
                <w:vertAlign w:val="superscript"/>
              </w:rPr>
              <w:t>a</w:t>
            </w:r>
          </w:p>
        </w:tc>
      </w:tr>
      <w:tr w:rsidR="00B83A31" w:rsidRPr="00B83A31" w14:paraId="0E33A622" w14:textId="77777777" w:rsidTr="00B83A31">
        <w:trPr>
          <w:trHeight w:val="409"/>
        </w:trPr>
        <w:tc>
          <w:tcPr>
            <w:tcW w:w="1451" w:type="pct"/>
            <w:tcBorders>
              <w:bottom w:val="single" w:sz="4" w:space="0" w:color="auto"/>
            </w:tcBorders>
          </w:tcPr>
          <w:p w14:paraId="751D1A34" w14:textId="1F4C6D8E" w:rsidR="00942290" w:rsidRPr="00D32369" w:rsidRDefault="00D32369" w:rsidP="00D32369">
            <w:pPr>
              <w:pStyle w:val="ListParagraph"/>
              <w:numPr>
                <w:ilvl w:val="0"/>
                <w:numId w:val="5"/>
              </w:numPr>
              <w:ind w:left="343" w:hanging="270"/>
              <w:rPr>
                <w:rFonts w:ascii="Times New Roman" w:hAnsi="Times New Roman" w:cs="Times New Roman"/>
                <w:sz w:val="18"/>
              </w:rPr>
            </w:pPr>
            <w:r>
              <w:rPr>
                <w:rFonts w:ascii="Times New Roman" w:hAnsi="Times New Roman" w:cs="Times New Roman"/>
                <w:sz w:val="18"/>
              </w:rPr>
              <w:t xml:space="preserve">What are the characteristics of </w:t>
            </w:r>
            <w:r w:rsidR="007849E4">
              <w:rPr>
                <w:rFonts w:ascii="Times New Roman" w:hAnsi="Times New Roman" w:cs="Times New Roman"/>
                <w:sz w:val="18"/>
              </w:rPr>
              <w:t xml:space="preserve">individuals </w:t>
            </w:r>
            <w:r w:rsidR="00344B7C">
              <w:rPr>
                <w:rFonts w:ascii="Times New Roman" w:hAnsi="Times New Roman" w:cs="Times New Roman"/>
                <w:sz w:val="18"/>
              </w:rPr>
              <w:t xml:space="preserve">treated on a </w:t>
            </w:r>
            <w:r w:rsidR="005073FC" w:rsidRPr="005073FC">
              <w:rPr>
                <w:rStyle w:val="cf01"/>
                <w:rFonts w:ascii="Times New Roman" w:hAnsi="Times New Roman" w:cs="Times New Roman"/>
              </w:rPr>
              <w:t>Compulsory Treatment Order</w:t>
            </w:r>
            <w:r w:rsidR="00344B7C">
              <w:rPr>
                <w:rFonts w:ascii="Times New Roman" w:hAnsi="Times New Roman" w:cs="Times New Roman"/>
                <w:sz w:val="18"/>
              </w:rPr>
              <w:t xml:space="preserve"> in hospital </w:t>
            </w:r>
            <w:r w:rsidR="00D76196">
              <w:rPr>
                <w:rFonts w:ascii="Times New Roman" w:hAnsi="Times New Roman" w:cs="Times New Roman"/>
                <w:sz w:val="18"/>
              </w:rPr>
              <w:t>and those treated in the community?</w:t>
            </w:r>
          </w:p>
        </w:tc>
        <w:tc>
          <w:tcPr>
            <w:tcW w:w="1506" w:type="pct"/>
            <w:tcBorders>
              <w:bottom w:val="single" w:sz="4" w:space="0" w:color="auto"/>
            </w:tcBorders>
          </w:tcPr>
          <w:p w14:paraId="78833B84" w14:textId="20308104"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 xml:space="preserve">Comparison of community </w:t>
            </w:r>
            <w:r w:rsidR="005073FC" w:rsidRPr="005073FC">
              <w:rPr>
                <w:rStyle w:val="cf01"/>
                <w:rFonts w:ascii="Times New Roman" w:hAnsi="Times New Roman" w:cs="Times New Roman"/>
              </w:rPr>
              <w:t>Compulsory Treatment Order</w:t>
            </w:r>
            <w:r w:rsidRPr="00B83A31">
              <w:rPr>
                <w:rFonts w:ascii="Times New Roman" w:hAnsi="Times New Roman" w:cs="Times New Roman"/>
                <w:sz w:val="18"/>
              </w:rPr>
              <w:t xml:space="preserve">s and hospital </w:t>
            </w:r>
            <w:r w:rsidR="005073FC" w:rsidRPr="005073FC">
              <w:rPr>
                <w:rStyle w:val="cf01"/>
                <w:rFonts w:ascii="Times New Roman" w:hAnsi="Times New Roman" w:cs="Times New Roman"/>
              </w:rPr>
              <w:t>Compulsory Treatment Order</w:t>
            </w:r>
            <w:r w:rsidR="005073FC" w:rsidRPr="00B83A31">
              <w:rPr>
                <w:rStyle w:val="cf01"/>
                <w:rFonts w:ascii="Times New Roman" w:hAnsi="Times New Roman" w:cs="Times New Roman"/>
              </w:rPr>
              <w:t xml:space="preserve"> </w:t>
            </w:r>
            <w:r w:rsidRPr="00B83A31">
              <w:rPr>
                <w:rFonts w:ascii="Times New Roman" w:hAnsi="Times New Roman" w:cs="Times New Roman"/>
                <w:sz w:val="18"/>
              </w:rPr>
              <w:t xml:space="preserve">s, using point prevalence of all individuals on a </w:t>
            </w:r>
            <w:r w:rsidR="005073FC" w:rsidRPr="005073FC">
              <w:rPr>
                <w:rStyle w:val="cf01"/>
                <w:rFonts w:ascii="Times New Roman" w:hAnsi="Times New Roman" w:cs="Times New Roman"/>
              </w:rPr>
              <w:t>Compulsory Treatment Order</w:t>
            </w:r>
            <w:r w:rsidRPr="00B83A31">
              <w:rPr>
                <w:rFonts w:ascii="Times New Roman" w:hAnsi="Times New Roman" w:cs="Times New Roman"/>
                <w:sz w:val="18"/>
              </w:rPr>
              <w:t>.</w:t>
            </w:r>
          </w:p>
        </w:tc>
        <w:tc>
          <w:tcPr>
            <w:tcW w:w="409" w:type="pct"/>
            <w:tcBorders>
              <w:bottom w:val="single" w:sz="4" w:space="0" w:color="auto"/>
            </w:tcBorders>
          </w:tcPr>
          <w:p w14:paraId="5D8F3641" w14:textId="4AFD88CA"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2007</w:t>
            </w:r>
            <w:r w:rsidR="00671479">
              <w:rPr>
                <w:rFonts w:ascii="Times New Roman" w:hAnsi="Times New Roman" w:cs="Times New Roman"/>
                <w:sz w:val="18"/>
              </w:rPr>
              <w:t>/</w:t>
            </w:r>
            <w:r w:rsidRPr="00B83A31">
              <w:rPr>
                <w:rFonts w:ascii="Times New Roman" w:hAnsi="Times New Roman" w:cs="Times New Roman"/>
                <w:sz w:val="18"/>
              </w:rPr>
              <w:t>08</w:t>
            </w:r>
          </w:p>
        </w:tc>
        <w:tc>
          <w:tcPr>
            <w:tcW w:w="409" w:type="pct"/>
            <w:tcBorders>
              <w:bottom w:val="single" w:sz="4" w:space="0" w:color="auto"/>
            </w:tcBorders>
          </w:tcPr>
          <w:p w14:paraId="22F304AE" w14:textId="0E028630"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2020/21</w:t>
            </w:r>
          </w:p>
        </w:tc>
        <w:tc>
          <w:tcPr>
            <w:tcW w:w="409" w:type="pct"/>
            <w:tcBorders>
              <w:bottom w:val="single" w:sz="4" w:space="0" w:color="auto"/>
            </w:tcBorders>
          </w:tcPr>
          <w:p w14:paraId="5A214CD4" w14:textId="62063383"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32,352</w:t>
            </w:r>
          </w:p>
        </w:tc>
        <w:tc>
          <w:tcPr>
            <w:tcW w:w="409" w:type="pct"/>
            <w:tcBorders>
              <w:bottom w:val="single" w:sz="4" w:space="0" w:color="auto"/>
            </w:tcBorders>
          </w:tcPr>
          <w:p w14:paraId="4A8D4C76" w14:textId="77777777"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86.1%</w:t>
            </w:r>
          </w:p>
        </w:tc>
        <w:tc>
          <w:tcPr>
            <w:tcW w:w="407" w:type="pct"/>
            <w:tcBorders>
              <w:bottom w:val="single" w:sz="4" w:space="0" w:color="auto"/>
            </w:tcBorders>
          </w:tcPr>
          <w:p w14:paraId="29BB36D7" w14:textId="77777777" w:rsidR="00942290" w:rsidRPr="00B83A31" w:rsidRDefault="00942290" w:rsidP="00257F36">
            <w:pPr>
              <w:rPr>
                <w:rFonts w:ascii="Times New Roman" w:hAnsi="Times New Roman" w:cs="Times New Roman"/>
                <w:sz w:val="18"/>
              </w:rPr>
            </w:pPr>
            <w:r w:rsidRPr="00B83A31">
              <w:rPr>
                <w:rFonts w:ascii="Times New Roman" w:hAnsi="Times New Roman" w:cs="Times New Roman"/>
                <w:sz w:val="18"/>
              </w:rPr>
              <w:t>41.3%</w:t>
            </w:r>
          </w:p>
        </w:tc>
      </w:tr>
    </w:tbl>
    <w:p w14:paraId="788CFC48" w14:textId="08AB0945" w:rsidR="008E6DD6" w:rsidRPr="004C51CB" w:rsidRDefault="000E6A1B">
      <w:pPr>
        <w:rPr>
          <w:rFonts w:ascii="Times New Roman" w:hAnsi="Times New Roman" w:cs="Times New Roman"/>
          <w:sz w:val="16"/>
        </w:rPr>
      </w:pPr>
      <w:proofErr w:type="spellStart"/>
      <w:r w:rsidRPr="004C51CB">
        <w:rPr>
          <w:rFonts w:ascii="Times New Roman" w:hAnsi="Times New Roman" w:cs="Times New Roman"/>
          <w:sz w:val="16"/>
          <w:vertAlign w:val="superscript"/>
        </w:rPr>
        <w:t>a</w:t>
      </w:r>
      <w:r w:rsidRPr="004C51CB">
        <w:rPr>
          <w:rFonts w:ascii="Times New Roman" w:hAnsi="Times New Roman" w:cs="Times New Roman"/>
          <w:sz w:val="16"/>
        </w:rPr>
        <w:t>Refers</w:t>
      </w:r>
      <w:proofErr w:type="spellEnd"/>
      <w:r w:rsidRPr="004C51CB">
        <w:rPr>
          <w:rFonts w:ascii="Times New Roman" w:hAnsi="Times New Roman" w:cs="Times New Roman"/>
          <w:sz w:val="16"/>
        </w:rPr>
        <w:t xml:space="preserve"> to the year 2020-2</w:t>
      </w:r>
      <w:r w:rsidR="00C27FD6" w:rsidRPr="004C51CB">
        <w:rPr>
          <w:rFonts w:ascii="Times New Roman" w:hAnsi="Times New Roman" w:cs="Times New Roman"/>
          <w:sz w:val="16"/>
        </w:rPr>
        <w:t>1</w:t>
      </w:r>
      <w:r w:rsidRPr="004C51CB">
        <w:rPr>
          <w:rFonts w:ascii="Times New Roman" w:hAnsi="Times New Roman" w:cs="Times New Roman"/>
          <w:sz w:val="16"/>
        </w:rPr>
        <w:t xml:space="preserve">, </w:t>
      </w:r>
      <w:proofErr w:type="spellStart"/>
      <w:r w:rsidRPr="004C51CB">
        <w:rPr>
          <w:rFonts w:ascii="Times New Roman" w:hAnsi="Times New Roman" w:cs="Times New Roman"/>
          <w:sz w:val="16"/>
          <w:vertAlign w:val="superscript"/>
        </w:rPr>
        <w:t>b</w:t>
      </w:r>
      <w:r w:rsidRPr="004C51CB">
        <w:rPr>
          <w:rFonts w:ascii="Times New Roman" w:hAnsi="Times New Roman" w:cs="Times New Roman"/>
          <w:sz w:val="16"/>
        </w:rPr>
        <w:t>Only</w:t>
      </w:r>
      <w:proofErr w:type="spellEnd"/>
      <w:r w:rsidRPr="004C51CB">
        <w:rPr>
          <w:rFonts w:ascii="Times New Roman" w:hAnsi="Times New Roman" w:cs="Times New Roman"/>
          <w:sz w:val="16"/>
        </w:rPr>
        <w:t xml:space="preserve"> episodes with a start date before 1 January 2021 were included as after that we may not have received or there might not be an extension. SIMD completion relates to the number of postcodes that simply were missing or that were a hospital postcode and therefore not relevant to calculate SIMD. Ethnicity completion excludes those where ethnicity was not reported and those that had nothing completed all together or the ethnicity form was missing and ethnicity cannot be matched with any other episodes for the same person. </w:t>
      </w:r>
    </w:p>
    <w:p w14:paraId="48C3F21F" w14:textId="77777777" w:rsidR="00E90D4D" w:rsidRDefault="00E90D4D">
      <w:pPr>
        <w:rPr>
          <w:rFonts w:cstheme="minorHAnsi"/>
          <w:sz w:val="16"/>
        </w:rPr>
      </w:pPr>
    </w:p>
    <w:p w14:paraId="6424AC78" w14:textId="77777777" w:rsidR="00E90D4D" w:rsidRPr="009C28B8" w:rsidRDefault="00E90D4D">
      <w:pPr>
        <w:rPr>
          <w:rFonts w:cstheme="minorHAnsi"/>
          <w:sz w:val="16"/>
        </w:rPr>
      </w:pPr>
    </w:p>
    <w:p w14:paraId="34C1BA63" w14:textId="7877BBF5" w:rsidR="00F67249" w:rsidRDefault="00F67249">
      <w:pPr>
        <w:rPr>
          <w:rFonts w:cstheme="minorHAnsi"/>
          <w:sz w:val="16"/>
        </w:rPr>
      </w:pPr>
    </w:p>
    <w:sectPr w:rsidR="00F67249" w:rsidSect="00E446B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5AC"/>
    <w:multiLevelType w:val="multilevel"/>
    <w:tmpl w:val="A64AC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24608"/>
    <w:multiLevelType w:val="hybridMultilevel"/>
    <w:tmpl w:val="2954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A3FF6"/>
    <w:multiLevelType w:val="hybridMultilevel"/>
    <w:tmpl w:val="F724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F4F5C"/>
    <w:multiLevelType w:val="hybridMultilevel"/>
    <w:tmpl w:val="8900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612FF"/>
    <w:multiLevelType w:val="hybridMultilevel"/>
    <w:tmpl w:val="C8A84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09357">
    <w:abstractNumId w:val="0"/>
  </w:num>
  <w:num w:numId="2" w16cid:durableId="662011180">
    <w:abstractNumId w:val="0"/>
    <w:lvlOverride w:ilvl="1">
      <w:lvl w:ilvl="1">
        <w:numFmt w:val="lowerLetter"/>
        <w:lvlText w:val="%2."/>
        <w:lvlJc w:val="left"/>
      </w:lvl>
    </w:lvlOverride>
  </w:num>
  <w:num w:numId="3" w16cid:durableId="255358793">
    <w:abstractNumId w:val="0"/>
    <w:lvlOverride w:ilvl="1">
      <w:lvl w:ilvl="1">
        <w:numFmt w:val="lowerLetter"/>
        <w:lvlText w:val="%2."/>
        <w:lvlJc w:val="left"/>
      </w:lvl>
    </w:lvlOverride>
  </w:num>
  <w:num w:numId="4" w16cid:durableId="1796364229">
    <w:abstractNumId w:val="4"/>
  </w:num>
  <w:num w:numId="5" w16cid:durableId="1980377647">
    <w:abstractNumId w:val="1"/>
  </w:num>
  <w:num w:numId="6" w16cid:durableId="64379171">
    <w:abstractNumId w:val="3"/>
  </w:num>
  <w:num w:numId="7" w16cid:durableId="1112554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1B"/>
    <w:rsid w:val="000E6A1B"/>
    <w:rsid w:val="002727A4"/>
    <w:rsid w:val="002B01C3"/>
    <w:rsid w:val="002F1435"/>
    <w:rsid w:val="003342D1"/>
    <w:rsid w:val="003443DB"/>
    <w:rsid w:val="003447B2"/>
    <w:rsid w:val="00344B7C"/>
    <w:rsid w:val="0035244E"/>
    <w:rsid w:val="00380C6E"/>
    <w:rsid w:val="003B5486"/>
    <w:rsid w:val="004C51CB"/>
    <w:rsid w:val="005073FC"/>
    <w:rsid w:val="005D7DB0"/>
    <w:rsid w:val="005E7689"/>
    <w:rsid w:val="005F3219"/>
    <w:rsid w:val="006460FA"/>
    <w:rsid w:val="00671479"/>
    <w:rsid w:val="00681716"/>
    <w:rsid w:val="0068264E"/>
    <w:rsid w:val="0068530E"/>
    <w:rsid w:val="0069695F"/>
    <w:rsid w:val="007849E4"/>
    <w:rsid w:val="007B1D85"/>
    <w:rsid w:val="008162C7"/>
    <w:rsid w:val="00872831"/>
    <w:rsid w:val="008D4F64"/>
    <w:rsid w:val="008E2D75"/>
    <w:rsid w:val="008E6DD6"/>
    <w:rsid w:val="00925592"/>
    <w:rsid w:val="00942290"/>
    <w:rsid w:val="009B0ED1"/>
    <w:rsid w:val="009C28B8"/>
    <w:rsid w:val="00A44A0F"/>
    <w:rsid w:val="00A64913"/>
    <w:rsid w:val="00A84059"/>
    <w:rsid w:val="00B33160"/>
    <w:rsid w:val="00B708A7"/>
    <w:rsid w:val="00B83A31"/>
    <w:rsid w:val="00C27FD6"/>
    <w:rsid w:val="00C7689C"/>
    <w:rsid w:val="00D156BA"/>
    <w:rsid w:val="00D32369"/>
    <w:rsid w:val="00D76196"/>
    <w:rsid w:val="00E435C4"/>
    <w:rsid w:val="00E446B2"/>
    <w:rsid w:val="00E57DDF"/>
    <w:rsid w:val="00E90D4D"/>
    <w:rsid w:val="00EA4EB2"/>
    <w:rsid w:val="00ED7443"/>
    <w:rsid w:val="00EE1A04"/>
    <w:rsid w:val="00F228A1"/>
    <w:rsid w:val="00F33FFC"/>
    <w:rsid w:val="00F67249"/>
    <w:rsid w:val="00F856BD"/>
    <w:rsid w:val="00F94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E0BD"/>
  <w15:chartTrackingRefBased/>
  <w15:docId w15:val="{DE680EBC-FBC8-4F77-ABE9-3FC15927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A1B"/>
    <w:pPr>
      <w:spacing w:after="0" w:line="240" w:lineRule="auto"/>
    </w:pPr>
    <w:rPr>
      <w:rFonts w:ascii="Roboto" w:hAnsi="Roboto" w:cs="Roboto-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90D4D"/>
    <w:pPr>
      <w:spacing w:before="100" w:beforeAutospacing="1" w:after="100" w:afterAutospacing="1" w:line="240" w:lineRule="auto"/>
      <w:ind w:left="720"/>
    </w:pPr>
    <w:rPr>
      <w:rFonts w:ascii="Times New Roman" w:eastAsia="Times New Roman" w:hAnsi="Times New Roman" w:cs="Times New Roman"/>
      <w:sz w:val="24"/>
      <w:szCs w:val="24"/>
      <w:lang w:eastAsia="en-GB"/>
    </w:rPr>
  </w:style>
  <w:style w:type="paragraph" w:customStyle="1" w:styleId="pf1">
    <w:name w:val="pf1"/>
    <w:basedOn w:val="Normal"/>
    <w:rsid w:val="00E90D4D"/>
    <w:pPr>
      <w:spacing w:before="100" w:beforeAutospacing="1" w:after="100" w:afterAutospacing="1" w:line="240" w:lineRule="auto"/>
      <w:ind w:left="1440"/>
    </w:pPr>
    <w:rPr>
      <w:rFonts w:ascii="Times New Roman" w:eastAsia="Times New Roman" w:hAnsi="Times New Roman" w:cs="Times New Roman"/>
      <w:sz w:val="24"/>
      <w:szCs w:val="24"/>
      <w:lang w:eastAsia="en-GB"/>
    </w:rPr>
  </w:style>
  <w:style w:type="character" w:customStyle="1" w:styleId="cf01">
    <w:name w:val="cf01"/>
    <w:basedOn w:val="DefaultParagraphFont"/>
    <w:rsid w:val="00E90D4D"/>
    <w:rPr>
      <w:rFonts w:ascii="Segoe UI" w:hAnsi="Segoe UI" w:cs="Segoe UI" w:hint="default"/>
      <w:sz w:val="18"/>
      <w:szCs w:val="18"/>
    </w:rPr>
  </w:style>
  <w:style w:type="paragraph" w:styleId="ListParagraph">
    <w:name w:val="List Paragraph"/>
    <w:basedOn w:val="Normal"/>
    <w:uiPriority w:val="34"/>
    <w:qFormat/>
    <w:rsid w:val="00D32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4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ED88E-9836-497E-981B-7F0EDECC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Schölin</dc:creator>
  <cp:keywords/>
  <dc:description/>
  <cp:lastModifiedBy>Lisa Schölin</cp:lastModifiedBy>
  <cp:revision>19</cp:revision>
  <dcterms:created xsi:type="dcterms:W3CDTF">2024-01-04T15:52:00Z</dcterms:created>
  <dcterms:modified xsi:type="dcterms:W3CDTF">2024-06-27T06:20:00Z</dcterms:modified>
</cp:coreProperties>
</file>