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948A" w14:textId="77777777" w:rsidR="008B7880" w:rsidRPr="002F08A4" w:rsidRDefault="008B7880" w:rsidP="008B7880">
      <w:pPr>
        <w:spacing w:line="360" w:lineRule="auto"/>
        <w:rPr>
          <w:rFonts w:ascii="Times New Roman" w:hAnsi="Times New Roman" w:cs="Times New Roman"/>
          <w:b/>
          <w:bCs/>
        </w:rPr>
      </w:pPr>
      <w:r w:rsidRPr="002F08A4">
        <w:rPr>
          <w:rFonts w:ascii="Times New Roman" w:hAnsi="Times New Roman" w:cs="Times New Roman"/>
          <w:b/>
          <w:bCs/>
        </w:rPr>
        <w:t xml:space="preserve">Supplementary box 1 – antidepressants drugs included </w:t>
      </w:r>
    </w:p>
    <w:p w14:paraId="6406344B" w14:textId="77777777" w:rsidR="008B7880" w:rsidRPr="0076260F" w:rsidRDefault="008B7880" w:rsidP="008B7880">
      <w:pPr>
        <w:spacing w:line="360" w:lineRule="auto"/>
        <w:rPr>
          <w:rFonts w:ascii="Times New Roman" w:hAnsi="Times New Roman" w:cs="Times New Roman"/>
        </w:rPr>
      </w:pPr>
      <w:r w:rsidRPr="0076260F">
        <w:rPr>
          <w:rFonts w:ascii="Times New Roman" w:hAnsi="Times New Roman" w:cs="Times New Roman"/>
        </w:rPr>
        <w:t>SSRIs: Citalopram, escitalopram, fluoxetine, fluvoxamine, paroxetine, sertraline;</w:t>
      </w:r>
    </w:p>
    <w:p w14:paraId="5D1109FF" w14:textId="77777777" w:rsidR="008B7880" w:rsidRPr="0076260F" w:rsidRDefault="008B7880" w:rsidP="008B7880">
      <w:pPr>
        <w:spacing w:line="360" w:lineRule="auto"/>
        <w:rPr>
          <w:rFonts w:ascii="Times New Roman" w:hAnsi="Times New Roman" w:cs="Times New Roman"/>
        </w:rPr>
      </w:pPr>
      <w:r w:rsidRPr="0076260F">
        <w:rPr>
          <w:rFonts w:ascii="Times New Roman" w:hAnsi="Times New Roman" w:cs="Times New Roman"/>
        </w:rPr>
        <w:t>SNRIs: Duloxetine, venlafaxine;</w:t>
      </w:r>
    </w:p>
    <w:p w14:paraId="71B952ED" w14:textId="77777777" w:rsidR="008B7880" w:rsidRPr="0076260F" w:rsidRDefault="008B7880" w:rsidP="008B7880">
      <w:pPr>
        <w:spacing w:line="360" w:lineRule="auto"/>
        <w:rPr>
          <w:rFonts w:ascii="Times New Roman" w:hAnsi="Times New Roman" w:cs="Times New Roman"/>
        </w:rPr>
      </w:pPr>
      <w:r w:rsidRPr="0076260F">
        <w:rPr>
          <w:rFonts w:ascii="Times New Roman" w:hAnsi="Times New Roman" w:cs="Times New Roman"/>
        </w:rPr>
        <w:t xml:space="preserve">TCAs: Amitriptyline &gt;= 50mg per day*, amoxapine, clomipramine, </w:t>
      </w:r>
      <w:proofErr w:type="spellStart"/>
      <w:r w:rsidRPr="0076260F">
        <w:rPr>
          <w:rFonts w:ascii="Times New Roman" w:hAnsi="Times New Roman" w:cs="Times New Roman"/>
        </w:rPr>
        <w:t>dosulepin</w:t>
      </w:r>
      <w:proofErr w:type="spellEnd"/>
      <w:r w:rsidRPr="0076260F">
        <w:rPr>
          <w:rFonts w:ascii="Times New Roman" w:hAnsi="Times New Roman" w:cs="Times New Roman"/>
        </w:rPr>
        <w:t xml:space="preserve">, oral doxepin, imipramine, </w:t>
      </w:r>
      <w:proofErr w:type="spellStart"/>
      <w:r w:rsidRPr="0076260F">
        <w:rPr>
          <w:rFonts w:ascii="Times New Roman" w:hAnsi="Times New Roman" w:cs="Times New Roman"/>
        </w:rPr>
        <w:t>lofepramine</w:t>
      </w:r>
      <w:proofErr w:type="spellEnd"/>
      <w:r w:rsidRPr="0076260F">
        <w:rPr>
          <w:rFonts w:ascii="Times New Roman" w:hAnsi="Times New Roman" w:cs="Times New Roman"/>
        </w:rPr>
        <w:t>, maprotiline, nortriptyline &gt;=50mg per day*, trimipramine;</w:t>
      </w:r>
    </w:p>
    <w:p w14:paraId="6DAF3F63" w14:textId="77777777" w:rsidR="008B7880" w:rsidRPr="0076260F" w:rsidRDefault="008B7880" w:rsidP="008B7880">
      <w:pPr>
        <w:spacing w:line="360" w:lineRule="auto"/>
        <w:rPr>
          <w:rFonts w:ascii="Times New Roman" w:hAnsi="Times New Roman" w:cs="Times New Roman"/>
        </w:rPr>
      </w:pPr>
      <w:r w:rsidRPr="0076260F">
        <w:rPr>
          <w:rFonts w:ascii="Times New Roman" w:hAnsi="Times New Roman" w:cs="Times New Roman"/>
        </w:rPr>
        <w:t>MAOIs: Isocarboxazid, phenelzine, tranylcypromine;</w:t>
      </w:r>
    </w:p>
    <w:p w14:paraId="771FAB61" w14:textId="77777777" w:rsidR="008B7880" w:rsidRPr="0076260F" w:rsidRDefault="008B7880" w:rsidP="008B7880">
      <w:pPr>
        <w:spacing w:line="360" w:lineRule="auto"/>
        <w:rPr>
          <w:rFonts w:ascii="Times New Roman" w:hAnsi="Times New Roman" w:cs="Times New Roman"/>
        </w:rPr>
      </w:pPr>
      <w:r w:rsidRPr="0076260F">
        <w:rPr>
          <w:rFonts w:ascii="Times New Roman" w:hAnsi="Times New Roman" w:cs="Times New Roman"/>
        </w:rPr>
        <w:t xml:space="preserve">Atypical: Agomelatine, </w:t>
      </w:r>
      <w:proofErr w:type="spellStart"/>
      <w:r w:rsidRPr="0076260F">
        <w:rPr>
          <w:rFonts w:ascii="Times New Roman" w:hAnsi="Times New Roman" w:cs="Times New Roman"/>
        </w:rPr>
        <w:t>mianserin</w:t>
      </w:r>
      <w:proofErr w:type="spellEnd"/>
      <w:r w:rsidRPr="0076260F">
        <w:rPr>
          <w:rFonts w:ascii="Times New Roman" w:hAnsi="Times New Roman" w:cs="Times New Roman"/>
        </w:rPr>
        <w:t xml:space="preserve">, mirtazapine, moclobemide, nefazodone, reboxetine, trazodone, tryptophan, vortioxetine. </w:t>
      </w:r>
    </w:p>
    <w:p w14:paraId="14FE902B" w14:textId="77777777" w:rsidR="008B7880" w:rsidRPr="0076260F" w:rsidRDefault="008B7880" w:rsidP="008B7880">
      <w:pPr>
        <w:spacing w:line="360" w:lineRule="auto"/>
        <w:rPr>
          <w:rFonts w:ascii="Times New Roman" w:hAnsi="Times New Roman" w:cs="Times New Roman"/>
        </w:rPr>
      </w:pPr>
      <w:r w:rsidRPr="0076260F">
        <w:rPr>
          <w:rFonts w:ascii="Times New Roman" w:hAnsi="Times New Roman" w:cs="Times New Roman"/>
        </w:rPr>
        <w:t xml:space="preserve">*Amitriptyline and nortriptyline were included only at the anti-depressant dose of &gt;= 50mg per day, rather than lower hypnotic or neuralgia doses. </w:t>
      </w:r>
    </w:p>
    <w:p w14:paraId="04ED72B4" w14:textId="77777777" w:rsidR="008B7880" w:rsidRDefault="008B7880" w:rsidP="008B7880">
      <w:pPr>
        <w:rPr>
          <w:rFonts w:ascii="Times New Roman" w:hAnsi="Times New Roman" w:cs="Times New Roman"/>
        </w:rPr>
      </w:pPr>
      <w:r>
        <w:rPr>
          <w:rFonts w:ascii="Times New Roman" w:hAnsi="Times New Roman" w:cs="Times New Roman"/>
        </w:rPr>
        <w:br w:type="page"/>
      </w:r>
    </w:p>
    <w:p w14:paraId="245615E5" w14:textId="77777777" w:rsidR="008B7880" w:rsidRDefault="008B7880" w:rsidP="008B7880">
      <w:pPr>
        <w:spacing w:line="360" w:lineRule="auto"/>
        <w:rPr>
          <w:rFonts w:ascii="Times New Roman" w:hAnsi="Times New Roman" w:cs="Times New Roman"/>
          <w:b/>
          <w:bCs/>
        </w:rPr>
      </w:pPr>
      <w:r>
        <w:rPr>
          <w:rFonts w:ascii="Times New Roman" w:hAnsi="Times New Roman" w:cs="Times New Roman"/>
          <w:b/>
          <w:bCs/>
        </w:rPr>
        <w:lastRenderedPageBreak/>
        <w:t>Supplementary box 2 – full details of confounding variables included in our model</w:t>
      </w:r>
    </w:p>
    <w:p w14:paraId="1592B601" w14:textId="7D7F3381" w:rsidR="008B7880" w:rsidRPr="00F045CB" w:rsidRDefault="008B7880" w:rsidP="008B7880">
      <w:pPr>
        <w:spacing w:line="360" w:lineRule="auto"/>
        <w:rPr>
          <w:rFonts w:ascii="Times New Roman" w:hAnsi="Times New Roman" w:cs="Times New Roman"/>
        </w:rPr>
      </w:pPr>
      <w:r w:rsidRPr="00F045CB">
        <w:rPr>
          <w:rFonts w:ascii="Times New Roman" w:hAnsi="Times New Roman" w:cs="Times New Roman"/>
        </w:rPr>
        <w:t xml:space="preserve">Demographic characteristics: In addition to the variables used for matching, we also included ethnicity. Where ethnicity was missing, we recoded this as “White”– as the CPRD population has been found to be representative of the UK population in terms of ethnicity </w:t>
      </w:r>
      <w:sdt>
        <w:sdtPr>
          <w:rPr>
            <w:rFonts w:ascii="Times New Roman" w:hAnsi="Times New Roman" w:cs="Times New Roman"/>
            <w:color w:val="000000"/>
          </w:rPr>
          <w:tag w:val="MENDELEY_CITATION_v3_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"/>
          <w:id w:val="1492993642"/>
          <w:placeholder>
            <w:docPart w:val="34A5729547AF4B2E8985ED96856C2C36"/>
          </w:placeholder>
        </w:sdtPr>
        <w:sdtContent>
          <w:r w:rsidRPr="008B7880">
            <w:rPr>
              <w:rFonts w:ascii="Times New Roman" w:hAnsi="Times New Roman" w:cs="Times New Roman"/>
              <w:color w:val="000000"/>
            </w:rPr>
            <w:t>(1,2)</w:t>
          </w:r>
        </w:sdtContent>
      </w:sdt>
      <w:r w:rsidRPr="00F045CB">
        <w:rPr>
          <w:rFonts w:ascii="Times New Roman" w:hAnsi="Times New Roman" w:cs="Times New Roman"/>
        </w:rPr>
        <w:t xml:space="preserve">, 93% of more individuals with missing ethnicity would be expected to be of White ethnicity. This approach is in line with other research studies using the CPRD </w:t>
      </w:r>
      <w:sdt>
        <w:sdtPr>
          <w:rPr>
            <w:rFonts w:ascii="Times New Roman" w:hAnsi="Times New Roman" w:cs="Times New Roman"/>
            <w:color w:val="000000"/>
          </w:rPr>
          <w:tag w:val="MENDELEY_CITATION_v3_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"/>
          <w:id w:val="-1333606557"/>
          <w:placeholder>
            <w:docPart w:val="1752F42D60C54D55A037DB37A839B18E"/>
          </w:placeholder>
        </w:sdtPr>
        <w:sdtContent>
          <w:r w:rsidRPr="008B7880">
            <w:rPr>
              <w:rFonts w:ascii="Times New Roman" w:hAnsi="Times New Roman" w:cs="Times New Roman"/>
              <w:color w:val="000000"/>
            </w:rPr>
            <w:t>(3)</w:t>
          </w:r>
        </w:sdtContent>
      </w:sdt>
      <w:r w:rsidRPr="00F045CB">
        <w:rPr>
          <w:rFonts w:ascii="Times New Roman" w:hAnsi="Times New Roman" w:cs="Times New Roman"/>
        </w:rPr>
        <w:t>.</w:t>
      </w:r>
    </w:p>
    <w:p w14:paraId="385D069A" w14:textId="77777777" w:rsidR="008B7880" w:rsidRPr="00887779" w:rsidRDefault="008B7880" w:rsidP="008B7880">
      <w:pPr>
        <w:spacing w:line="360" w:lineRule="auto"/>
        <w:rPr>
          <w:rFonts w:ascii="Times New Roman" w:hAnsi="Times New Roman" w:cs="Times New Roman"/>
        </w:rPr>
      </w:pPr>
      <w:r w:rsidRPr="00887779">
        <w:rPr>
          <w:rFonts w:ascii="Times New Roman" w:hAnsi="Times New Roman" w:cs="Times New Roman"/>
        </w:rPr>
        <w:t xml:space="preserve">Health characteristics: </w:t>
      </w:r>
      <w:r>
        <w:rPr>
          <w:rFonts w:ascii="Times New Roman" w:hAnsi="Times New Roman" w:cs="Times New Roman"/>
        </w:rPr>
        <w:t>We</w:t>
      </w:r>
      <w:r w:rsidRPr="00887779">
        <w:rPr>
          <w:rFonts w:ascii="Times New Roman" w:hAnsi="Times New Roman" w:cs="Times New Roman"/>
        </w:rPr>
        <w:t xml:space="preserve"> included a range of health characteristics that may be confounders through an association with antidepressant use (either directly or indirectly through an association with depression) and mortality (either directly or indirectly through an association with poor overall physical health, or health behaviours):</w:t>
      </w:r>
    </w:p>
    <w:p w14:paraId="63D30B4C" w14:textId="55B25A87" w:rsidR="008B7880" w:rsidRPr="00887779" w:rsidRDefault="008B7880" w:rsidP="008B7880">
      <w:pPr>
        <w:spacing w:line="360" w:lineRule="auto"/>
        <w:ind w:left="720"/>
        <w:rPr>
          <w:rFonts w:ascii="Times New Roman" w:hAnsi="Times New Roman" w:cs="Times New Roman"/>
        </w:rPr>
      </w:pPr>
      <w:r w:rsidRPr="00887779">
        <w:rPr>
          <w:rFonts w:ascii="Times New Roman" w:hAnsi="Times New Roman" w:cs="Times New Roman"/>
        </w:rPr>
        <w:t xml:space="preserve">The following comorbidities (as individual comorbidities) based on codes from the </w:t>
      </w:r>
      <w:proofErr w:type="spellStart"/>
      <w:r w:rsidRPr="00887779">
        <w:rPr>
          <w:rFonts w:ascii="Times New Roman" w:hAnsi="Times New Roman" w:cs="Times New Roman"/>
        </w:rPr>
        <w:t>Elixhauser</w:t>
      </w:r>
      <w:proofErr w:type="spellEnd"/>
      <w:r w:rsidRPr="00887779">
        <w:rPr>
          <w:rFonts w:ascii="Times New Roman" w:hAnsi="Times New Roman" w:cs="Times New Roman"/>
        </w:rPr>
        <w:t xml:space="preserve"> comorbidity code list</w:t>
      </w:r>
      <w:r>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"/>
          <w:id w:val="387542579"/>
          <w:placeholder>
            <w:docPart w:val="DefaultPlaceholder_-1854013440"/>
          </w:placeholder>
        </w:sdtPr>
        <w:sdtContent>
          <w:r w:rsidRPr="008B7880">
            <w:rPr>
              <w:rFonts w:ascii="Times New Roman" w:hAnsi="Times New Roman" w:cs="Times New Roman"/>
              <w:color w:val="000000"/>
            </w:rPr>
            <w:t>(4)</w:t>
          </w:r>
        </w:sdtContent>
      </w:sdt>
      <w:r w:rsidRPr="00887779">
        <w:rPr>
          <w:rFonts w:ascii="Times New Roman" w:hAnsi="Times New Roman" w:cs="Times New Roman"/>
        </w:rPr>
        <w:t xml:space="preserve">: alcohol abuse, blood loss anaemia, cardiac arrythmia, chronic pulmonary disease, coagulopathy, deficiency anaemia (iron/B12), drug abuse, fluid and electrolyte disorders, hypertension (uncomplicated), hypertension with end organ damage, hypothyroidism, liver disease, lymphoma  (history), metastatic cancer, other neurological disorders, paralysis, peptic ulcer disease, peripheral vascular disease, psychoses, pulmonary circulation disorders, renal disease, rheumatoid arthritis and collagen diseases, solid </w:t>
      </w:r>
      <w:proofErr w:type="spellStart"/>
      <w:r w:rsidRPr="00887779">
        <w:rPr>
          <w:rFonts w:ascii="Times New Roman" w:hAnsi="Times New Roman" w:cs="Times New Roman"/>
        </w:rPr>
        <w:t>tumor</w:t>
      </w:r>
      <w:proofErr w:type="spellEnd"/>
      <w:r w:rsidRPr="00887779">
        <w:rPr>
          <w:rFonts w:ascii="Times New Roman" w:hAnsi="Times New Roman" w:cs="Times New Roman"/>
        </w:rPr>
        <w:t xml:space="preserve"> or leukaemia, valvular disease;</w:t>
      </w:r>
    </w:p>
    <w:p w14:paraId="32655C25" w14:textId="77777777" w:rsidR="008B7880" w:rsidRPr="00887779" w:rsidRDefault="008B7880" w:rsidP="008B7880">
      <w:pPr>
        <w:spacing w:line="360" w:lineRule="auto"/>
        <w:ind w:left="720"/>
        <w:rPr>
          <w:rFonts w:ascii="Times New Roman" w:hAnsi="Times New Roman" w:cs="Times New Roman"/>
        </w:rPr>
      </w:pPr>
      <w:r w:rsidRPr="00887779">
        <w:rPr>
          <w:rFonts w:ascii="Times New Roman" w:hAnsi="Times New Roman" w:cs="Times New Roman"/>
        </w:rPr>
        <w:t xml:space="preserve">The most recent recorded BMI value categorised into “normal” (&lt;25 kg/m2), “overweight” (25 to &lt;30 kg/m2), and “obese” (30+ kg/m2); where no value for BMI was available, </w:t>
      </w:r>
      <w:r>
        <w:rPr>
          <w:rFonts w:ascii="Times New Roman" w:hAnsi="Times New Roman" w:cs="Times New Roman"/>
        </w:rPr>
        <w:t xml:space="preserve">we </w:t>
      </w:r>
      <w:r w:rsidRPr="00887779">
        <w:rPr>
          <w:rFonts w:ascii="Times New Roman" w:hAnsi="Times New Roman" w:cs="Times New Roman"/>
        </w:rPr>
        <w:t xml:space="preserve">estimated the value using multiple imputation; </w:t>
      </w:r>
    </w:p>
    <w:p w14:paraId="758CC2BE" w14:textId="77777777" w:rsidR="008B7880" w:rsidRPr="00887779" w:rsidRDefault="008B7880" w:rsidP="008B7880">
      <w:pPr>
        <w:spacing w:line="360" w:lineRule="auto"/>
        <w:ind w:left="720"/>
        <w:rPr>
          <w:rFonts w:ascii="Times New Roman" w:hAnsi="Times New Roman" w:cs="Times New Roman"/>
        </w:rPr>
      </w:pPr>
      <w:r w:rsidRPr="00887779">
        <w:rPr>
          <w:rFonts w:ascii="Times New Roman" w:hAnsi="Times New Roman" w:cs="Times New Roman"/>
        </w:rPr>
        <w:t>Smoking status categorised into “current smoker” (most recent smoking code related to current smoking within 12 months before study entry), “ex-smoker” (most recent smoking code related to historic smoking, or most recent code related to current smoking more than 12 months before study entry, or most recent code related to non-smoking with prior codes related to current or historic smoking), “non-smoker” (no codes related to smoking, or non-smoking codes only);</w:t>
      </w:r>
    </w:p>
    <w:p w14:paraId="3417E1EB" w14:textId="77777777" w:rsidR="008B7880" w:rsidRPr="00887779" w:rsidRDefault="008B7880" w:rsidP="008B7880">
      <w:pPr>
        <w:spacing w:line="360" w:lineRule="auto"/>
        <w:ind w:left="720"/>
        <w:rPr>
          <w:rFonts w:ascii="Times New Roman" w:hAnsi="Times New Roman" w:cs="Times New Roman"/>
        </w:rPr>
      </w:pPr>
      <w:r w:rsidRPr="00887779">
        <w:rPr>
          <w:rFonts w:ascii="Times New Roman" w:hAnsi="Times New Roman" w:cs="Times New Roman"/>
        </w:rPr>
        <w:t>T</w:t>
      </w:r>
      <w:r>
        <w:rPr>
          <w:rFonts w:ascii="Times New Roman" w:hAnsi="Times New Roman" w:cs="Times New Roman"/>
        </w:rPr>
        <w:t>ype 2 diabetes</w:t>
      </w:r>
      <w:r w:rsidRPr="00887779">
        <w:rPr>
          <w:rFonts w:ascii="Times New Roman" w:hAnsi="Times New Roman" w:cs="Times New Roman"/>
        </w:rPr>
        <w:t xml:space="preserve"> duration, defined as the number of months between the first diabetes related code (this could include diagnosis, symptom, process of care, or medication) and the date of the first oral antidiabetic medication prescription;</w:t>
      </w:r>
    </w:p>
    <w:p w14:paraId="1342C79F" w14:textId="77777777" w:rsidR="008B7880" w:rsidRDefault="008B7880" w:rsidP="008B7880">
      <w:pPr>
        <w:spacing w:line="360" w:lineRule="auto"/>
        <w:ind w:left="720"/>
        <w:rPr>
          <w:rFonts w:ascii="Times New Roman" w:hAnsi="Times New Roman" w:cs="Times New Roman"/>
        </w:rPr>
      </w:pPr>
      <w:r w:rsidRPr="00887779">
        <w:rPr>
          <w:rFonts w:ascii="Times New Roman" w:hAnsi="Times New Roman" w:cs="Times New Roman"/>
        </w:rPr>
        <w:t>Number of primary care contacts recorded in the 12 months prior to the study entry date</w:t>
      </w:r>
      <w:r>
        <w:rPr>
          <w:rFonts w:ascii="Times New Roman" w:hAnsi="Times New Roman" w:cs="Times New Roman"/>
        </w:rPr>
        <w:t xml:space="preserve"> – t</w:t>
      </w:r>
      <w:r w:rsidRPr="00887779">
        <w:rPr>
          <w:rFonts w:ascii="Times New Roman" w:hAnsi="Times New Roman" w:cs="Times New Roman"/>
        </w:rPr>
        <w:t>his included any face-to-face contact or phone calls.</w:t>
      </w:r>
      <w:r>
        <w:rPr>
          <w:rFonts w:ascii="Times New Roman" w:hAnsi="Times New Roman" w:cs="Times New Roman"/>
        </w:rPr>
        <w:t xml:space="preserve"> Higher numbers of primary care contacts were intended to represent worse overall physical and/or mental health. </w:t>
      </w:r>
    </w:p>
    <w:p w14:paraId="03F0CAAC" w14:textId="77777777" w:rsidR="008B7880" w:rsidRPr="00887779" w:rsidRDefault="008B7880" w:rsidP="008B7880">
      <w:pPr>
        <w:spacing w:line="360" w:lineRule="auto"/>
        <w:ind w:left="720"/>
        <w:rPr>
          <w:rFonts w:ascii="Times New Roman" w:hAnsi="Times New Roman" w:cs="Times New Roman"/>
        </w:rPr>
      </w:pPr>
      <w:r w:rsidRPr="00887779">
        <w:rPr>
          <w:rFonts w:ascii="Times New Roman" w:hAnsi="Times New Roman" w:cs="Times New Roman"/>
        </w:rPr>
        <w:lastRenderedPageBreak/>
        <w:t xml:space="preserve">Medication history: </w:t>
      </w:r>
      <w:r>
        <w:rPr>
          <w:rFonts w:ascii="Times New Roman" w:hAnsi="Times New Roman" w:cs="Times New Roman"/>
        </w:rPr>
        <w:t>We</w:t>
      </w:r>
      <w:r w:rsidRPr="00887779">
        <w:rPr>
          <w:rFonts w:ascii="Times New Roman" w:hAnsi="Times New Roman" w:cs="Times New Roman"/>
        </w:rPr>
        <w:t xml:space="preserve"> included the number of different pharmacological medications prescribed (excluding vaccinations, topical medications and supplements) in the 90 days before the study entry. It was not possible to account for markers of depression and depression severity at study entry. Therefore, to indicate previous depression at a severity requiring pharmacological treatment, </w:t>
      </w:r>
      <w:r>
        <w:rPr>
          <w:rFonts w:ascii="Times New Roman" w:hAnsi="Times New Roman" w:cs="Times New Roman"/>
        </w:rPr>
        <w:t>we</w:t>
      </w:r>
      <w:r w:rsidRPr="00887779">
        <w:rPr>
          <w:rFonts w:ascii="Times New Roman" w:hAnsi="Times New Roman" w:cs="Times New Roman"/>
        </w:rPr>
        <w:t xml:space="preserve"> included any previous antidepressant prescription in the 12 months prior to study entry.</w:t>
      </w:r>
    </w:p>
    <w:p w14:paraId="479BECE5" w14:textId="77777777" w:rsidR="008B7880" w:rsidRPr="00887779" w:rsidRDefault="008B7880" w:rsidP="008B7880">
      <w:pPr>
        <w:spacing w:line="360" w:lineRule="auto"/>
        <w:rPr>
          <w:rFonts w:ascii="Times New Roman" w:hAnsi="Times New Roman" w:cs="Times New Roman"/>
        </w:rPr>
      </w:pPr>
      <w:r>
        <w:rPr>
          <w:rFonts w:ascii="Times New Roman" w:hAnsi="Times New Roman" w:cs="Times New Roman"/>
        </w:rPr>
        <w:t>We</w:t>
      </w:r>
      <w:r w:rsidRPr="00887779">
        <w:rPr>
          <w:rFonts w:ascii="Times New Roman" w:hAnsi="Times New Roman" w:cs="Times New Roman"/>
        </w:rPr>
        <w:t xml:space="preserve"> did not include glycaemic control as a potential confounder, given the study inclusion criteria of starting oral antidiabetic medication (study entry) meant that all participants would be expected to have uncontrolled blood sugar levels at the time of study entry. </w:t>
      </w:r>
    </w:p>
    <w:p w14:paraId="43DBE0D0" w14:textId="77777777" w:rsidR="008B7880" w:rsidRDefault="008B7880" w:rsidP="008B7880">
      <w:pPr>
        <w:rPr>
          <w:rFonts w:ascii="Times New Roman" w:hAnsi="Times New Roman" w:cs="Times New Roman"/>
          <w:b/>
          <w:bCs/>
        </w:rPr>
      </w:pPr>
      <w:r>
        <w:rPr>
          <w:rFonts w:ascii="Times New Roman" w:hAnsi="Times New Roman" w:cs="Times New Roman"/>
          <w:b/>
          <w:bCs/>
        </w:rPr>
        <w:br w:type="page"/>
      </w:r>
    </w:p>
    <w:sdt>
      <w:sdtPr>
        <w:tag w:val="MENDELEY_BIBLIOGRAPHY"/>
        <w:id w:val="-684748652"/>
        <w:placeholder>
          <w:docPart w:val="DefaultPlaceholder_-1854013440"/>
        </w:placeholder>
      </w:sdtPr>
      <w:sdtContent>
        <w:p w14:paraId="71FB7607" w14:textId="77777777" w:rsidR="008B7880" w:rsidRDefault="008B7880">
          <w:pPr>
            <w:autoSpaceDE w:val="0"/>
            <w:autoSpaceDN w:val="0"/>
            <w:ind w:hanging="640"/>
            <w:divId w:val="1662461092"/>
            <w:rPr>
              <w:rFonts w:eastAsia="Times New Roman"/>
              <w:sz w:val="24"/>
              <w:szCs w:val="24"/>
            </w:rPr>
          </w:pPr>
          <w:r>
            <w:rPr>
              <w:rFonts w:eastAsia="Times New Roman"/>
            </w:rPr>
            <w:t>1.</w:t>
          </w:r>
          <w:r>
            <w:rPr>
              <w:rFonts w:eastAsia="Times New Roman"/>
            </w:rPr>
            <w:tab/>
            <w:t xml:space="preserve">Herrett E, Gallagher AM, Bhaskaran K, Forbes H, Mathur R, Staa T van, et al. Data Resource Profile: Clinical Practice Research Datalink (CPRD). Int J </w:t>
          </w:r>
          <w:proofErr w:type="spellStart"/>
          <w:r>
            <w:rPr>
              <w:rFonts w:eastAsia="Times New Roman"/>
            </w:rPr>
            <w:t>Epidemiol</w:t>
          </w:r>
          <w:proofErr w:type="spellEnd"/>
          <w:r>
            <w:rPr>
              <w:rFonts w:eastAsia="Times New Roman"/>
            </w:rPr>
            <w:t xml:space="preserve"> [Internet]. 2015 Jun 1 [cited 2022 Jan 13];44(3):827–36. Available from: https://pubmed.ncbi.nlm.nih.gov/26050254/</w:t>
          </w:r>
        </w:p>
        <w:p w14:paraId="56EBE606" w14:textId="77777777" w:rsidR="008B7880" w:rsidRDefault="008B7880">
          <w:pPr>
            <w:autoSpaceDE w:val="0"/>
            <w:autoSpaceDN w:val="0"/>
            <w:ind w:hanging="640"/>
            <w:divId w:val="1225989190"/>
            <w:rPr>
              <w:rFonts w:eastAsia="Times New Roman"/>
            </w:rPr>
          </w:pPr>
          <w:r>
            <w:rPr>
              <w:rFonts w:eastAsia="Times New Roman"/>
            </w:rPr>
            <w:t>2.</w:t>
          </w:r>
          <w:r>
            <w:rPr>
              <w:rFonts w:eastAsia="Times New Roman"/>
            </w:rPr>
            <w:tab/>
            <w:t xml:space="preserve">Wolf A, Dedman D, Campbell J, Booth H, Lunn D, Chapman J, et al. Data resource profile: Clinical Practice Research Datalink (CPRD) </w:t>
          </w:r>
          <w:proofErr w:type="spellStart"/>
          <w:r>
            <w:rPr>
              <w:rFonts w:eastAsia="Times New Roman"/>
            </w:rPr>
            <w:t>Aurum</w:t>
          </w:r>
          <w:proofErr w:type="spellEnd"/>
          <w:r>
            <w:rPr>
              <w:rFonts w:eastAsia="Times New Roman"/>
            </w:rPr>
            <w:t xml:space="preserve">. Int J </w:t>
          </w:r>
          <w:proofErr w:type="spellStart"/>
          <w:r>
            <w:rPr>
              <w:rFonts w:eastAsia="Times New Roman"/>
            </w:rPr>
            <w:t>Epidemiol</w:t>
          </w:r>
          <w:proofErr w:type="spellEnd"/>
          <w:r>
            <w:rPr>
              <w:rFonts w:eastAsia="Times New Roman"/>
            </w:rPr>
            <w:t xml:space="preserve">. 2019 Dec 1;48(6):1740-1740G. </w:t>
          </w:r>
        </w:p>
        <w:p w14:paraId="32E45B35" w14:textId="77777777" w:rsidR="008B7880" w:rsidRDefault="008B7880">
          <w:pPr>
            <w:autoSpaceDE w:val="0"/>
            <w:autoSpaceDN w:val="0"/>
            <w:ind w:hanging="640"/>
            <w:divId w:val="1628510000"/>
            <w:rPr>
              <w:rFonts w:eastAsia="Times New Roman"/>
            </w:rPr>
          </w:pPr>
          <w:r>
            <w:rPr>
              <w:rFonts w:eastAsia="Times New Roman"/>
            </w:rPr>
            <w:t>3.</w:t>
          </w:r>
          <w:r>
            <w:rPr>
              <w:rFonts w:eastAsia="Times New Roman"/>
            </w:rPr>
            <w:tab/>
          </w:r>
          <w:proofErr w:type="spellStart"/>
          <w:r>
            <w:rPr>
              <w:rFonts w:eastAsia="Times New Roman"/>
            </w:rPr>
            <w:t>Hippisley</w:t>
          </w:r>
          <w:proofErr w:type="spellEnd"/>
          <w:r>
            <w:rPr>
              <w:rFonts w:eastAsia="Times New Roman"/>
            </w:rPr>
            <w:t>-Cox J, Coupland C, Vinogradova Y, Robson J, Minhas R, Sheikh A, et al. Predicting cardiovascular risk in England and Wales: prospective derivation and validation of QRISK2. BMJ [Internet]. 2008 Jun 28 [cited 2022 Jan 13];336(7659):1475–82. Available from: https://pubmed.ncbi.nlm.nih.gov/18573856/</w:t>
          </w:r>
        </w:p>
        <w:p w14:paraId="7D8BD0B9" w14:textId="77777777" w:rsidR="008B7880" w:rsidRDefault="008B7880">
          <w:pPr>
            <w:autoSpaceDE w:val="0"/>
            <w:autoSpaceDN w:val="0"/>
            <w:ind w:hanging="640"/>
            <w:divId w:val="2084329897"/>
            <w:rPr>
              <w:rFonts w:eastAsia="Times New Roman"/>
            </w:rPr>
          </w:pPr>
          <w:r>
            <w:rPr>
              <w:rFonts w:eastAsia="Times New Roman"/>
            </w:rPr>
            <w:t>4.</w:t>
          </w:r>
          <w:r>
            <w:rPr>
              <w:rFonts w:eastAsia="Times New Roman"/>
            </w:rPr>
            <w:tab/>
          </w:r>
          <w:proofErr w:type="spellStart"/>
          <w:r>
            <w:rPr>
              <w:rFonts w:eastAsia="Times New Roman"/>
            </w:rPr>
            <w:t>Elixhauser</w:t>
          </w:r>
          <w:proofErr w:type="spellEnd"/>
          <w:r>
            <w:rPr>
              <w:rFonts w:eastAsia="Times New Roman"/>
            </w:rPr>
            <w:t xml:space="preserve"> A, Steiner C, Harris DR, Coffey RM. Comorbidity measures for use with administrative data. Med Care [Internet]. 1998 [cited 2022 Apr 12];36(1):8–27. Available from: https://pubmed.ncbi.nlm.nih.gov/9431328/</w:t>
          </w:r>
        </w:p>
        <w:p w14:paraId="6FB42B92" w14:textId="77D34C8E" w:rsidR="008B7880" w:rsidRDefault="008B7880">
          <w:r>
            <w:rPr>
              <w:rFonts w:eastAsia="Times New Roman"/>
            </w:rPr>
            <w:t> </w:t>
          </w:r>
        </w:p>
      </w:sdtContent>
    </w:sdt>
    <w:sectPr w:rsidR="008B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80"/>
    <w:rsid w:val="008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0BE1"/>
  <w15:chartTrackingRefBased/>
  <w15:docId w15:val="{385AA76D-0DD2-4FCD-805B-B82D7C39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80"/>
    <w:pPr>
      <w:spacing w:line="259" w:lineRule="auto"/>
    </w:pPr>
    <w:rPr>
      <w:kern w:val="0"/>
      <w:sz w:val="22"/>
      <w:szCs w:val="22"/>
      <w14:ligatures w14:val="none"/>
    </w:rPr>
  </w:style>
  <w:style w:type="paragraph" w:styleId="Heading1">
    <w:name w:val="heading 1"/>
    <w:basedOn w:val="Normal"/>
    <w:next w:val="Normal"/>
    <w:link w:val="Heading1Char"/>
    <w:uiPriority w:val="9"/>
    <w:qFormat/>
    <w:rsid w:val="008B788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B788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B7880"/>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B7880"/>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8B7880"/>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8B7880"/>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8B7880"/>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8B7880"/>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8B7880"/>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78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78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78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78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78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78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78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7880"/>
    <w:rPr>
      <w:rFonts w:eastAsiaTheme="majorEastAsia" w:cstheme="majorBidi"/>
      <w:color w:val="272727" w:themeColor="text1" w:themeTint="D8"/>
    </w:rPr>
  </w:style>
  <w:style w:type="paragraph" w:styleId="Title">
    <w:name w:val="Title"/>
    <w:basedOn w:val="Normal"/>
    <w:next w:val="Normal"/>
    <w:link w:val="TitleChar"/>
    <w:uiPriority w:val="10"/>
    <w:qFormat/>
    <w:rsid w:val="008B788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B78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7880"/>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B78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7880"/>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8B7880"/>
    <w:rPr>
      <w:i/>
      <w:iCs/>
      <w:color w:val="404040" w:themeColor="text1" w:themeTint="BF"/>
    </w:rPr>
  </w:style>
  <w:style w:type="paragraph" w:styleId="ListParagraph">
    <w:name w:val="List Paragraph"/>
    <w:basedOn w:val="Normal"/>
    <w:uiPriority w:val="34"/>
    <w:qFormat/>
    <w:rsid w:val="008B7880"/>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8B7880"/>
    <w:rPr>
      <w:i/>
      <w:iCs/>
      <w:color w:val="0F4761" w:themeColor="accent1" w:themeShade="BF"/>
    </w:rPr>
  </w:style>
  <w:style w:type="paragraph" w:styleId="IntenseQuote">
    <w:name w:val="Intense Quote"/>
    <w:basedOn w:val="Normal"/>
    <w:next w:val="Normal"/>
    <w:link w:val="IntenseQuoteChar"/>
    <w:uiPriority w:val="30"/>
    <w:qFormat/>
    <w:rsid w:val="008B788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8B7880"/>
    <w:rPr>
      <w:i/>
      <w:iCs/>
      <w:color w:val="0F4761" w:themeColor="accent1" w:themeShade="BF"/>
    </w:rPr>
  </w:style>
  <w:style w:type="character" w:styleId="IntenseReference">
    <w:name w:val="Intense Reference"/>
    <w:basedOn w:val="DefaultParagraphFont"/>
    <w:uiPriority w:val="32"/>
    <w:qFormat/>
    <w:rsid w:val="008B7880"/>
    <w:rPr>
      <w:b/>
      <w:bCs/>
      <w:smallCaps/>
      <w:color w:val="0F4761" w:themeColor="accent1" w:themeShade="BF"/>
      <w:spacing w:val="5"/>
    </w:rPr>
  </w:style>
  <w:style w:type="character" w:styleId="PlaceholderText">
    <w:name w:val="Placeholder Text"/>
    <w:basedOn w:val="DefaultParagraphFont"/>
    <w:uiPriority w:val="99"/>
    <w:semiHidden/>
    <w:rsid w:val="008B788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5946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92">
          <w:marLeft w:val="640"/>
          <w:marRight w:val="0"/>
          <w:marTop w:val="0"/>
          <w:marBottom w:val="0"/>
          <w:divBdr>
            <w:top w:val="none" w:sz="0" w:space="0" w:color="auto"/>
            <w:left w:val="none" w:sz="0" w:space="0" w:color="auto"/>
            <w:bottom w:val="none" w:sz="0" w:space="0" w:color="auto"/>
            <w:right w:val="none" w:sz="0" w:space="0" w:color="auto"/>
          </w:divBdr>
        </w:div>
        <w:div w:id="1225989190">
          <w:marLeft w:val="640"/>
          <w:marRight w:val="0"/>
          <w:marTop w:val="0"/>
          <w:marBottom w:val="0"/>
          <w:divBdr>
            <w:top w:val="none" w:sz="0" w:space="0" w:color="auto"/>
            <w:left w:val="none" w:sz="0" w:space="0" w:color="auto"/>
            <w:bottom w:val="none" w:sz="0" w:space="0" w:color="auto"/>
            <w:right w:val="none" w:sz="0" w:space="0" w:color="auto"/>
          </w:divBdr>
        </w:div>
        <w:div w:id="1628510000">
          <w:marLeft w:val="640"/>
          <w:marRight w:val="0"/>
          <w:marTop w:val="0"/>
          <w:marBottom w:val="0"/>
          <w:divBdr>
            <w:top w:val="none" w:sz="0" w:space="0" w:color="auto"/>
            <w:left w:val="none" w:sz="0" w:space="0" w:color="auto"/>
            <w:bottom w:val="none" w:sz="0" w:space="0" w:color="auto"/>
            <w:right w:val="none" w:sz="0" w:space="0" w:color="auto"/>
          </w:divBdr>
        </w:div>
        <w:div w:id="208432989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5729547AF4B2E8985ED96856C2C36"/>
        <w:category>
          <w:name w:val="General"/>
          <w:gallery w:val="placeholder"/>
        </w:category>
        <w:types>
          <w:type w:val="bbPlcHdr"/>
        </w:types>
        <w:behaviors>
          <w:behavior w:val="content"/>
        </w:behaviors>
        <w:guid w:val="{672F5412-F5BD-4B83-8F47-EA6E729E0A65}"/>
      </w:docPartPr>
      <w:docPartBody>
        <w:p w:rsidR="00327834" w:rsidRDefault="00327834" w:rsidP="00327834">
          <w:pPr>
            <w:pStyle w:val="34A5729547AF4B2E8985ED96856C2C36"/>
          </w:pPr>
          <w:r w:rsidRPr="00325394">
            <w:rPr>
              <w:rStyle w:val="PlaceholderText"/>
            </w:rPr>
            <w:t>Click or tap here to enter text.</w:t>
          </w:r>
        </w:p>
      </w:docPartBody>
    </w:docPart>
    <w:docPart>
      <w:docPartPr>
        <w:name w:val="1752F42D60C54D55A037DB37A839B18E"/>
        <w:category>
          <w:name w:val="General"/>
          <w:gallery w:val="placeholder"/>
        </w:category>
        <w:types>
          <w:type w:val="bbPlcHdr"/>
        </w:types>
        <w:behaviors>
          <w:behavior w:val="content"/>
        </w:behaviors>
        <w:guid w:val="{D9653589-2C1E-4D33-8DF4-0104C4DBF65F}"/>
      </w:docPartPr>
      <w:docPartBody>
        <w:p w:rsidR="00327834" w:rsidRDefault="00327834" w:rsidP="00327834">
          <w:pPr>
            <w:pStyle w:val="1752F42D60C54D55A037DB37A839B18E"/>
          </w:pPr>
          <w:r w:rsidRPr="0032539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F59860-76FA-4192-B6A4-FC2B84429597}"/>
      </w:docPartPr>
      <w:docPartBody>
        <w:p w:rsidR="00327834" w:rsidRDefault="00327834">
          <w:r w:rsidRPr="00E93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34"/>
    <w:rsid w:val="0032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834"/>
    <w:rPr>
      <w:color w:val="666666"/>
    </w:rPr>
  </w:style>
  <w:style w:type="paragraph" w:customStyle="1" w:styleId="34A5729547AF4B2E8985ED96856C2C36">
    <w:name w:val="34A5729547AF4B2E8985ED96856C2C36"/>
    <w:rsid w:val="00327834"/>
  </w:style>
  <w:style w:type="paragraph" w:customStyle="1" w:styleId="1752F42D60C54D55A037DB37A839B18E">
    <w:name w:val="1752F42D60C54D55A037DB37A839B18E"/>
    <w:rsid w:val="00327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9E2CD5-D6B6-4314-844A-3B2E827E1746}">
  <we:reference id="wa104382081" version="1.55.1.0" store="en-US" storeType="OMEX"/>
  <we:alternateReferences>
    <we:reference id="wa104382081" version="1.55.1.0" store="" storeType="OMEX"/>
  </we:alternateReferences>
  <we:properties>
    <we:property name="MENDELEY_CITATIONS" value="[{&quot;citationID&quot;:&quot;MENDELEY_CITATION_fd373bc2-3ce0-4ca2-ab28-c278e6ff6dd3&quot;,&quot;properties&quot;:{&quot;noteIndex&quot;:0},&quot;isEdited&quot;:false,&quot;manualOverride&quot;:{&quot;isManuallyOverridden&quot;:false,&quot;citeprocText&quot;:&quot;(1,2)&quot;,&quot;manualOverrideText&quot;:&quot;&quot;},&quot;citationTag&quot;:&quot;MENDELEY_CITATION_v3_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&quot;,&quot;citationItems&quot;:[{&quot;id&quot;:&quot;7fd4a99a-8b0b-3a5e-9660-de6b4f10b426&quot;,&quot;itemData&quot;:{&quot;type&quot;:&quot;article-journal&quot;,&quot;id&quot;:&quot;7fd4a99a-8b0b-3a5e-9660-de6b4f10b426&quot;,&quot;title&quot;:&quot;Data Resource Profile: Clinical Practice Research Datalink (CPRD)&quot;,&quot;author&quot;:[{&quot;family&quot;:&quot;Herrett&quot;,&quot;given&quot;:&quot;Emily&quot;,&quot;parse-names&quot;:false,&quot;dropping-particle&quot;:&quot;&quot;,&quot;non-dropping-particle&quot;:&quot;&quot;},{&quot;family&quot;:&quot;Gallagher&quot;,&quot;given&quot;:&quot;Arlene M.&quot;,&quot;parse-names&quot;:false,&quot;dropping-particle&quot;:&quot;&quot;,&quot;non-dropping-particle&quot;:&quot;&quot;},{&quot;family&quot;:&quot;Bhaskaran&quot;,&quot;given&quot;:&quot;Krishnan&quot;,&quot;parse-names&quot;:false,&quot;dropping-particle&quot;:&quot;&quot;,&quot;non-dropping-particle&quot;:&quot;&quot;},{&quot;family&quot;:&quot;Forbes&quot;,&quot;given&quot;:&quot;Harriet&quot;,&quot;parse-names&quot;:false,&quot;dropping-particle&quot;:&quot;&quot;,&quot;non-dropping-particle&quot;:&quot;&quot;},{&quot;family&quot;:&quot;Mathur&quot;,&quot;given&quot;:&quot;Rohini&quot;,&quot;parse-names&quot;:false,&quot;dropping-particle&quot;:&quot;&quot;,&quot;non-dropping-particle&quot;:&quot;&quot;},{&quot;family&quot;:&quot;Staa&quot;,&quot;given&quot;:&quot;Tjeerd&quot;,&quot;parse-names&quot;:false,&quot;dropping-particle&quot;:&quot;van&quot;,&quot;non-dropping-particle&quot;:&quot;&quot;},{&quot;family&quot;:&quot;Smeeth&quot;,&quot;given&quot;:&quot;Liam&quot;,&quot;parse-names&quot;:false,&quot;dropping-particle&quot;:&quot;&quot;,&quot;non-dropping-particle&quot;:&quot;&quot;}],&quot;container-title&quot;:&quot;International journal of epidemiology&quot;,&quot;container-title-short&quot;:&quot;Int J Epidemiol&quot;,&quot;accessed&quot;:{&quot;date-parts&quot;:[[2022,1,13]]},&quot;DOI&quot;:&quot;10.1093/IJE/DYV098&quot;,&quot;ISSN&quot;:&quot;1464-3685&quot;,&quot;PMID&quot;:&quot;26050254&quot;,&quot;URL&quot;:&quot;https://pubmed.ncbi.nlm.nih.gov/26050254/&quot;,&quot;issued&quot;:{&quot;date-parts&quot;:[[2015,6,1]]},&quot;page&quot;:&quot;827-836&quot;,&quot;abstract&quot;:&quo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quot;,&quot;publisher&quot;:&quot;Int J Epidemiol&quot;,&quot;issue&quot;:&quot;3&quot;,&quot;volume&quot;:&quot;44&quot;},&quot;isTemporary&quot;:false},{&quot;id&quot;:&quot;4c49c59e-4ed2-352c-b7ff-ee4338af0261&quot;,&quot;itemData&quot;:{&quot;type&quot;:&quot;article-journal&quot;,&quot;id&quot;:&quot;4c49c59e-4ed2-352c-b7ff-ee4338af0261&quot;,&quot;title&quot;:&quot;Data resource profile: Clinical Practice Research Datalink (CPRD) Aurum&quot;,&quot;author&quot;:[{&quot;family&quot;:&quot;Wolf&quot;,&quot;given&quot;:&quot;Achim&quot;,&quot;parse-names&quot;:false,&quot;dropping-particle&quot;:&quot;&quot;,&quot;non-dropping-particle&quot;:&quot;&quot;},{&quot;family&quot;:&quot;Dedman&quot;,&quot;given&quot;:&quot;Daniel&quot;,&quot;parse-names&quot;:false,&quot;dropping-particle&quot;:&quot;&quot;,&quot;non-dropping-particle&quot;:&quot;&quot;},{&quot;family&quot;:&quot;Campbell&quot;,&quot;given&quot;:&quot;Jennifer&quot;,&quot;parse-names&quot;:false,&quot;dropping-particle&quot;:&quot;&quot;,&quot;non-dropping-particle&quot;:&quot;&quot;},{&quot;family&quot;:&quot;Booth&quot;,&quot;given&quot;:&quot;Helen&quot;,&quot;parse-names&quot;:false,&quot;dropping-particle&quot;:&quot;&quot;,&quot;non-dropping-particle&quot;:&quot;&quot;},{&quot;family&quot;:&quot;Lunn&quot;,&quot;given&quot;:&quot;Darren&quot;,&quot;parse-names&quot;:false,&quot;dropping-particle&quot;:&quot;&quot;,&quot;non-dropping-particle&quot;:&quot;&quot;},{&quot;family&quot;:&quot;Chapman&quot;,&quot;given&quot;:&quot;Jennifer&quot;,&quot;parse-names&quot;:false,&quot;dropping-particle&quot;:&quot;&quot;,&quot;non-dropping-particle&quot;:&quot;&quot;},{&quot;family&quot;:&quot;Myles&quot;,&quot;given&quot;:&quot;Puja&quot;,&quot;parse-names&quot;:false,&quot;dropping-particle&quot;:&quot;&quot;,&quot;non-dropping-particle&quot;:&quot;&quot;}],&quot;container-title&quot;:&quot;International Journal of Epidemiology&quot;,&quot;accessed&quot;:{&quot;date-parts&quot;:[[2022,1,13]]},&quot;DOI&quot;:&quot;10.1093/IJE/DYZ034&quot;,&quot;ISSN&quot;:&quot;14643685&quot;,&quot;PMID&quot;:&quot;30859197&quot;,&quot;issued&quot;:{&quot;date-parts&quot;:[[2019,12,1]]},&quot;page&quot;:&quot;1740-1740G&quot;,&quot;publisher&quot;:&quot;Oxford University Press&quot;,&quot;issue&quot;:&quot;6&quot;,&quot;volume&quot;:&quot;48&quot;,&quot;container-title-short&quot;:&quot;Int J Epidemiol&quot;},&quot;isTemporary&quot;:false}]},{&quot;citationID&quot;:&quot;MENDELEY_CITATION_950ef5f7-a981-4b70-b482-66c311f1809f&quot;,&quot;properties&quot;:{&quot;noteIndex&quot;:0},&quot;isEdited&quot;:false,&quot;manualOverride&quot;:{&quot;isManuallyOverridden&quot;:false,&quot;citeprocText&quot;:&quot;(3)&quot;,&quot;manualOverrideText&quot;:&quot;&quot;},&quot;citationTag&quot;:&quot;MENDELEY_CITATION_v3_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&quot;,&quot;citationItems&quot;:[{&quot;id&quot;:&quot;1ba66b40-0d9b-3266-8f4b-038e81e18179&quot;,&quot;itemData&quot;:{&quot;type&quot;:&quot;article-journal&quot;,&quot;id&quot;:&quot;1ba66b40-0d9b-3266-8f4b-038e81e18179&quot;,&quot;title&quot;:&quot;Predicting cardiovascular risk in England and Wales: prospective derivation and validation of QRISK2&quot;,&quot;author&quot;:[{&quot;family&quot;:&quot;Hippisley-Cox&quot;,&quot;given&quot;:&quot;Julia&quot;,&quot;parse-names&quot;:false,&quot;dropping-particle&quot;:&quot;&quot;,&quot;non-dropping-particle&quot;:&quot;&quot;},{&quot;family&quot;:&quot;Coupland&quot;,&quot;given&quot;:&quot;Carol&quot;,&quot;parse-names&quot;:false,&quot;dropping-particle&quot;:&quot;&quot;,&quot;non-dropping-particle&quot;:&quot;&quot;},{&quot;family&quot;:&quot;Vinogradova&quot;,&quot;given&quot;:&quot;Yana&quot;,&quot;parse-names&quot;:false,&quot;dropping-particle&quot;:&quot;&quot;,&quot;non-dropping-particle&quot;:&quot;&quot;},{&quot;family&quot;:&quot;Robson&quot;,&quot;given&quot;:&quot;John&quot;,&quot;parse-names&quot;:false,&quot;dropping-particle&quot;:&quot;&quot;,&quot;non-dropping-particle&quot;:&quot;&quot;},{&quot;family&quot;:&quot;Minhas&quot;,&quot;given&quot;:&quot;Rubin&quot;,&quot;parse-names&quot;:false,&quot;dropping-particle&quot;:&quot;&quot;,&quot;non-dropping-particle&quot;:&quot;&quot;},{&quot;family&quot;:&quot;Sheikh&quot;,&quot;given&quot;:&quot;Aziz&quot;,&quot;parse-names&quot;:false,&quot;dropping-particle&quot;:&quot;&quot;,&quot;non-dropping-particle&quot;:&quot;&quot;},{&quot;family&quot;:&quot;Brindle&quot;,&quot;given&quot;:&quot;Peter&quot;,&quot;parse-names&quot;:false,&quot;dropping-particle&quot;:&quot;&quot;,&quot;non-dropping-particle&quot;:&quot;&quot;}],&quot;container-title&quot;:&quot;BMJ (Clinical research ed.)&quot;,&quot;accessed&quot;:{&quot;date-parts&quot;:[[2022,1,13]]},&quot;DOI&quot;:&quot;10.1136/BMJ.39609.449676.25&quot;,&quot;ISSN&quot;:&quot;1756-1833&quot;,&quot;PMID&quot;:&quot;18573856&quot;,&quot;URL&quot;:&quot;https://pubmed.ncbi.nlm.nih.gov/18573856/&quot;,&quot;issued&quot;:{&quot;date-parts&quot;:[[2008,6,28]]},&quot;page&quot;:&quot;1475-1482&quot;,&quot;abstract&quot;:&quot;Objective: To develop and validate version two of the QRISK cardiovascular disease risk algorithm (QRISK2) to provide accurate estimates of cardiovascular risk in patients from different ethnic groups in England and Wales and to compare its performance with the modified version of Framingham score recommended by the National Institute for Health and Clinical Excellence (NICE). Design: Prospective open cohort study with routinely collected data from general practice, 1 January 1993 to 31 March 2008. Setting: 531 practices in England and Wales contributing to the national QRESEARCH database. Participants: 2.3 million patients aged 35-74 (over 16 million person years) with 140 000 cardiovascular events. Overall population (derivation and validation cohorts) comprised 2.22 million people who were white or whose ethnic group was not recorded, 22 013 south Asian, 11 595 black African, 10 402 black Caribbean, and 19 792 from Chinese or other Asian or other ethnic groups. Main outcome measures: First (incident) diagnosis of cardiovascular disease (coronary heart disease, stroke, and transient ischaemic attack) recorded in general practice records or linked Office for National Statistics death certificates. Risk factors included self assigned ethnicity, age, sex, smoking status, systolic blood pressure, ratio of total serum cholesterol:high density lipoprotein cholesterol, body mass index, family history of coronary heart disease in first degree relative under 60 years, Townsend deprivation score, treated hypertension, type 2 diabetes, renal disease, atrial fibrillation, and rheumatoid arthritis. Results: The validation statistics indicated that QRISK2 had improved discrimination and calibration compared with the modified Framingham score. The QRISK2 algorithm explained 43% of the variation in women and 38% in men compared with 39% and 35%, respectively, by the modified Framingham score. Of the 112 156 patients classified as high risk (that is, ≥20% risk over 10 years) by the modified Framingham score, 46 094 (41.1%) would be reclassified at low risk with QRISK2. The 10 year observed risk among these reclassified patients was 16.6% (95% confidence interval 16.1% to 17.0%) - that is, below the 20% treatment threshold. Of the 78 024 patients classified at high risk on QRISK2, 11 962 (15.3%) would be reclassified at low risk by the modified Framingham score. The 10 year observed risk among these patients was 23.3% (22.2% to 24.4%) - that is, above the 20% threshold. In the validation cohort, the annual incidence rate of cardiovascular events among those with a QRISK2 score of ≥20% was 30.6 per 1000 person years (29.8 to 31.5) for women and 32.5 per 1000 person years (31.9 to 33.1) for men. The corresponding figures for the modified Framingham equation were 25.7 per 1000 person years (25.0 to 26.3) for women and 26.4 (26.0 to 26.8) for men). At the 20% threshold, the population identified by QRISK2 was at higher risk of a CV event than the population identified by the Framingham score. Conclusions: Incorporating ethnicity, deprivation, and other clinical conditions into the QRISK2 algorithm for risk of cardiovascular disease improves the accuracy of identification of those at high risk in a nationally representative population. At the 20% threshold, QRISK2 is likely to be a more efficient and equitable tool for treatment decisions for the primary prevention of cardiovascular disease. As the validation was performed in a similar population to the population from which the algorithm was derived, it potentially has a \&quot;home advantage.\&quot; Further validation in other populations is therefore advised.&quot;,&quot;publisher&quot;:&quot;BMJ&quot;,&quot;issue&quot;:&quot;7659&quot;,&quot;volume&quot;:&quot;336&quot;,&quot;expandedJournalTitle&quot;:&quot;BMJ (Clinical research ed.)&quot;,&quot;container-title-short&quot;:&quot;BMJ&quot;},&quot;isTemporary&quot;:false}]},{&quot;citationID&quot;:&quot;MENDELEY_CITATION_2c7062cf-fc66-472d-b4aa-dc1c8c8eb616&quot;,&quot;properties&quot;:{&quot;noteIndex&quot;:0},&quot;isEdited&quot;:false,&quot;manualOverride&quot;:{&quot;isManuallyOverridden&quot;:false,&quot;citeprocText&quot;:&quot;(4)&quot;,&quot;manualOverrideText&quot;:&quot;&quot;},&quot;citationTag&quot;:&quot;MENDELEY_CITATION_v3_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&quot;,&quot;citationItems&quot;:[{&quot;id&quot;:&quot;e0e8742b-b891-3c1f-a6c4-9cf019066c10&quot;,&quot;itemData&quot;:{&quot;type&quot;:&quot;article-journal&quot;,&quot;id&quot;:&quot;e0e8742b-b891-3c1f-a6c4-9cf019066c10&quot;,&quot;title&quot;:&quot;Comorbidity measures for use with administrative data&quot;,&quot;author&quot;:[{&quot;family&quot;:&quot;Elixhauser&quot;,&quot;given&quot;:&quot;Anne&quot;,&quot;parse-names&quot;:false,&quot;dropping-particle&quot;:&quot;&quot;,&quot;non-dropping-particle&quot;:&quot;&quot;},{&quot;family&quot;:&quot;Steiner&quot;,&quot;given&quot;:&quot;Claudia&quot;,&quot;parse-names&quot;:false,&quot;dropping-particle&quot;:&quot;&quot;,&quot;non-dropping-particle&quot;:&quot;&quot;},{&quot;family&quot;:&quot;Harris&quot;,&quot;given&quot;:&quot;D. Robert&quot;,&quot;parse-names&quot;:false,&quot;dropping-particle&quot;:&quot;&quot;,&quot;non-dropping-particle&quot;:&quot;&quot;},{&quot;family&quot;:&quot;Coffey&quot;,&quot;given&quot;:&quot;Rosanna M.&quot;,&quot;parse-names&quot;:false,&quot;dropping-particle&quot;:&quot;&quot;,&quot;non-dropping-particle&quot;:&quot;&quot;}],&quot;container-title&quot;:&quot;Medical care&quot;,&quot;container-title-short&quot;:&quot;Med Care&quot;,&quot;accessed&quot;:{&quot;date-parts&quot;:[[2022,4,12]]},&quot;DOI&quot;:&quot;10.1097/00005650-199801000-00004&quot;,&quot;ISSN&quot;:&quot;0025-7079&quot;,&quot;PMID&quot;:&quot;9431328&quot;,&quot;URL&quot;:&quot;https://pubmed.ncbi.nlm.nih.gov/9431328/&quot;,&quot;issued&quot;:{&quot;date-parts&quot;:[[1998]]},&quot;page&quot;:&quot;8-27&quot;,&quot;abstract&quot;:&quot;Objectives. This study attempts to develop a comprehensive set of comorbidity measures for use with large administrative inpatient datasets. Methods. The study involved clinical and empirical review of comorbidity measures, development of a framework that attempts to segregate comorbidities from other aspects of the patient's condition, development of a comorbidity algorithm, and testing on heterogeneous and homogeneous patient groups. Data were drawn from all adult, nonmaternal inpatients from 438 acute care hospitals in California in 1992 (n = 1,779,167). Outcome measures were those commonly available in administrative data: length of stay, hospital charges, and in-hospital death. Results. A comprehensive set of 30 comorbidity measures was developed. The comorbidities were associated with substantial increases in length of stay, hospital charges, and mortality both for heterogeneous and homogeneous disease groups. Several comorbidities are described that are important predictors of outcomes, yet commonly are not measured. These include mental disorders, drug and alcohol abuse, obesity, coagulopathy, weight loss, and fluid and electrolyte disorders. Conclusions. The comorbidities had independent effects on outcomes and probably should not be simplified as an index because they affect outcomes differently among different patient groups. The present method addresses some of the limitations of previous measures. It is based on a comprehensive approach to identifying comorbidities and separates them from the primary reason for hospitalization, resulting in an expanded set of comorbidities that easily is applied without further refinement to administrative data for a wide range of diseases.&quot;,&quot;publisher&quot;:&quot;Med Care&quot;,&quot;issue&quot;:&quot;1&quot;,&quot;volume&quot;:&quot;36&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15D9-C996-4E81-A015-EFD41301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Jeffery</dc:creator>
  <cp:keywords/>
  <dc:description/>
  <cp:lastModifiedBy>Annie Jeffery</cp:lastModifiedBy>
  <cp:revision>1</cp:revision>
  <dcterms:created xsi:type="dcterms:W3CDTF">2024-03-12T18:52:00Z</dcterms:created>
  <dcterms:modified xsi:type="dcterms:W3CDTF">2024-03-12T18:55:00Z</dcterms:modified>
</cp:coreProperties>
</file>