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C4CD" w14:textId="0488197A" w:rsidR="00247064" w:rsidRDefault="009974E0" w:rsidP="00247064">
      <w:pPr>
        <w:pStyle w:val="Standard"/>
        <w:spacing w:line="360" w:lineRule="auto"/>
        <w:rPr>
          <w:b/>
          <w:bCs/>
          <w:sz w:val="28"/>
          <w:szCs w:val="28"/>
          <w:lang w:val="en-GB"/>
        </w:rPr>
      </w:pPr>
      <w:r>
        <w:rPr>
          <w:b/>
          <w:bCs/>
          <w:sz w:val="28"/>
          <w:szCs w:val="28"/>
          <w:lang w:val="en-GB"/>
        </w:rPr>
        <w:t xml:space="preserve">Supplementary Materials for: </w:t>
      </w:r>
      <w:r w:rsidR="000749AF" w:rsidRPr="00205CC0">
        <w:rPr>
          <w:b/>
          <w:bCs/>
          <w:sz w:val="28"/>
          <w:szCs w:val="28"/>
          <w:lang w:val="en-GB"/>
        </w:rPr>
        <w:t>The validity of the selection methods for recruitment to UK core psychiatry training: a cohort study</w:t>
      </w:r>
    </w:p>
    <w:p w14:paraId="5031BF0B" w14:textId="77777777" w:rsidR="000749AF" w:rsidRPr="00680661" w:rsidRDefault="000749AF" w:rsidP="00247064">
      <w:pPr>
        <w:pStyle w:val="Standard"/>
        <w:spacing w:line="360" w:lineRule="auto"/>
        <w:rPr>
          <w:b/>
          <w:bCs/>
          <w:lang w:val="en-GB"/>
        </w:rPr>
      </w:pPr>
    </w:p>
    <w:p w14:paraId="1F7AE948" w14:textId="532F6820" w:rsidR="00247064" w:rsidRPr="00247064" w:rsidRDefault="00247064" w:rsidP="00247064">
      <w:pPr>
        <w:pStyle w:val="Standard"/>
        <w:spacing w:line="360" w:lineRule="auto"/>
        <w:rPr>
          <w:bCs/>
          <w:lang w:val="en-GB"/>
        </w:rPr>
      </w:pPr>
      <w:r w:rsidRPr="00247064">
        <w:rPr>
          <w:bCs/>
          <w:lang w:val="en-GB"/>
        </w:rPr>
        <w:t xml:space="preserve">Paul A Tiffin, Emma Morley, Lewis W Paton, </w:t>
      </w:r>
      <w:r w:rsidR="009974E0" w:rsidRPr="00C03CCD">
        <w:rPr>
          <w:lang w:val="en-GB"/>
        </w:rPr>
        <w:t>Nandini Chakraborty and</w:t>
      </w:r>
      <w:r w:rsidR="009974E0" w:rsidRPr="009974E0">
        <w:rPr>
          <w:lang w:val="en-GB"/>
        </w:rPr>
        <w:t xml:space="preserve"> </w:t>
      </w:r>
      <w:r w:rsidRPr="009974E0">
        <w:rPr>
          <w:lang w:val="en-GB"/>
        </w:rPr>
        <w:t>Fiona</w:t>
      </w:r>
      <w:r w:rsidRPr="00247064">
        <w:rPr>
          <w:bCs/>
          <w:lang w:val="en-GB"/>
        </w:rPr>
        <w:t xml:space="preserve"> Patterson</w:t>
      </w:r>
    </w:p>
    <w:p w14:paraId="4954324B" w14:textId="77777777" w:rsidR="00247064" w:rsidRDefault="00247064" w:rsidP="00440CD0"/>
    <w:p w14:paraId="3E1A377F" w14:textId="77777777" w:rsidR="00247064" w:rsidRPr="00247064" w:rsidRDefault="00247064" w:rsidP="00440CD0">
      <w:pPr>
        <w:rPr>
          <w:b/>
        </w:rPr>
      </w:pPr>
      <w:r w:rsidRPr="00247064">
        <w:rPr>
          <w:b/>
        </w:rPr>
        <w:t>Introduction and contents</w:t>
      </w:r>
    </w:p>
    <w:p w14:paraId="0ECFCB39" w14:textId="77777777" w:rsidR="00247064" w:rsidRDefault="00247064" w:rsidP="00C17782">
      <w:pPr>
        <w:spacing w:line="360" w:lineRule="auto"/>
      </w:pPr>
      <w:r>
        <w:t xml:space="preserve">This </w:t>
      </w:r>
      <w:r w:rsidRPr="00247064">
        <w:rPr>
          <w:i/>
        </w:rPr>
        <w:t>Supplementary Material</w:t>
      </w:r>
      <w:r>
        <w:t xml:space="preserve"> document contains additional information and results in relation to the study of the validity of the selection processes for recruitment into UK-based core psychiatry training. This additional information is useful in contextualising the findings reported in the main report.</w:t>
      </w:r>
    </w:p>
    <w:p w14:paraId="54B3F324" w14:textId="77777777" w:rsidR="00247064" w:rsidRDefault="00247064" w:rsidP="00C17782">
      <w:pPr>
        <w:spacing w:line="360" w:lineRule="auto"/>
        <w:rPr>
          <w:b/>
        </w:rPr>
      </w:pPr>
    </w:p>
    <w:p w14:paraId="16839714" w14:textId="77777777" w:rsidR="00247064" w:rsidRPr="00247064" w:rsidRDefault="00247064" w:rsidP="00C17782">
      <w:pPr>
        <w:spacing w:line="360" w:lineRule="auto"/>
        <w:rPr>
          <w:i/>
        </w:rPr>
      </w:pPr>
      <w:r w:rsidRPr="00247064">
        <w:rPr>
          <w:i/>
        </w:rPr>
        <w:t xml:space="preserve">Detailed description of the structure of the Royal College of Psychiatrists Membership Examinations and recent changes </w:t>
      </w:r>
    </w:p>
    <w:p w14:paraId="27E02916" w14:textId="5BC3C37C" w:rsidR="007E661B" w:rsidRDefault="00247064" w:rsidP="00C17782">
      <w:pPr>
        <w:pStyle w:val="Standard"/>
        <w:spacing w:line="360" w:lineRule="auto"/>
        <w:rPr>
          <w:lang w:val="en-GB"/>
        </w:rPr>
      </w:pPr>
      <w:r w:rsidRPr="00680661">
        <w:rPr>
          <w:bCs/>
          <w:lang w:val="en-GB"/>
        </w:rPr>
        <w:t>During core-training the trainee must pass all components of the Royal College of Psychiatrists membership (MRCPsych) exams in order to progress to higher specialist training. T</w:t>
      </w:r>
      <w:r w:rsidRPr="00680661">
        <w:rPr>
          <w:lang w:val="en-GB"/>
        </w:rPr>
        <w:t xml:space="preserve">he MRCPsych has written and practical components. Over the </w:t>
      </w:r>
      <w:r w:rsidRPr="00D854BE">
        <w:rPr>
          <w:lang w:val="en-GB"/>
        </w:rPr>
        <w:t xml:space="preserve">last decade or so some changes have been made to the structure of the MRCPsych </w:t>
      </w:r>
      <w:r w:rsidRPr="00D854BE">
        <w:rPr>
          <w:noProof/>
          <w:lang w:val="en-GB"/>
        </w:rPr>
        <w:t>(1)</w:t>
      </w:r>
      <w:r w:rsidRPr="00D854BE">
        <w:rPr>
          <w:lang w:val="en-GB"/>
        </w:rPr>
        <w:t>. From</w:t>
      </w:r>
      <w:r w:rsidRPr="00680661">
        <w:rPr>
          <w:lang w:val="en-GB"/>
        </w:rPr>
        <w:t xml:space="preserve"> March 2008, it was composed of three written exams and a practical exam, the ‘Clinical Assessment of Skills &amp; Competencies’ (CASC). The three written exams (‘papers 1 to 3’) contained selected response questions, with both single best answer and ‘extended matching’ formats. These written tests evaluated knowledge of relevant basic science, research evidence, clinical psychiatry and medical statistics. Changes were made in 2015 so that only two written papers were taken, papers A and B. As a transitional arrangement, in order to accommodate candidates who had previously passed papers 1 or 2, paper A was split into two halves (AI and AII), covering different aspects of the MRCPsych syllabus. Paper A tests knowledge of the science and theory underpinning psychiatric practice (behavioural and social sciences, human development, neuroscience, psychopharmacology and psychiatric classification). Paper B tests knowledge of critical appraisal of research evidence and clinical topics relevant to all the psychiatric specialties. </w:t>
      </w:r>
    </w:p>
    <w:p w14:paraId="325C32D5" w14:textId="77777777" w:rsidR="007E661B" w:rsidRDefault="007E661B" w:rsidP="00C17782">
      <w:pPr>
        <w:pStyle w:val="Standard"/>
        <w:spacing w:line="360" w:lineRule="auto"/>
        <w:rPr>
          <w:lang w:val="en-GB"/>
        </w:rPr>
      </w:pPr>
    </w:p>
    <w:p w14:paraId="5F532F9F" w14:textId="77777777" w:rsidR="00247064" w:rsidRDefault="00247064" w:rsidP="00247064">
      <w:pPr>
        <w:pStyle w:val="Standard"/>
        <w:spacing w:line="360" w:lineRule="auto"/>
        <w:rPr>
          <w:lang w:val="en-GB"/>
        </w:rPr>
      </w:pPr>
      <w:r w:rsidRPr="00680661">
        <w:rPr>
          <w:lang w:val="en-GB"/>
        </w:rPr>
        <w:lastRenderedPageBreak/>
        <w:t>The CASC uses the format of an Objective Structured Clinical Examination (OSCE), and is made up of two (</w:t>
      </w:r>
      <w:r w:rsidRPr="00D854BE">
        <w:rPr>
          <w:lang w:val="en-GB"/>
        </w:rPr>
        <w:t xml:space="preserve">morning and afternoon) circuits of stations designed to evaluate a candidate’s clinical skills </w:t>
      </w:r>
      <w:r w:rsidRPr="00D854BE">
        <w:rPr>
          <w:noProof/>
          <w:lang w:val="en-GB"/>
        </w:rPr>
        <w:t>(2)</w:t>
      </w:r>
      <w:r w:rsidRPr="00D854BE">
        <w:rPr>
          <w:lang w:val="en-GB"/>
        </w:rPr>
        <w:t>.</w:t>
      </w:r>
      <w:r w:rsidRPr="00680661">
        <w:rPr>
          <w:lang w:val="en-GB"/>
        </w:rPr>
        <w:t xml:space="preserve"> In the morning circuits, candidates have 4 minutes to read any instructions for the station and 7 minutes to complete the task. In the afternoon, this becomes 90 seconds of reading and, again, 7 minutes to complete the task. In total, there are 16 CASC stations, which test ‘history taking’, ‘examination’ (physical and mental) and ‘management’. The scoring </w:t>
      </w:r>
      <w:r w:rsidRPr="00D854BE">
        <w:rPr>
          <w:lang w:val="en-GB"/>
        </w:rPr>
        <w:t xml:space="preserve">system and pass standard for the CASC employs the borderline regression method </w:t>
      </w:r>
      <w:r w:rsidRPr="00D854BE">
        <w:rPr>
          <w:noProof/>
          <w:lang w:val="en-GB"/>
        </w:rPr>
        <w:t>(3)</w:t>
      </w:r>
      <w:r w:rsidRPr="00D854BE">
        <w:rPr>
          <w:lang w:val="en-GB"/>
        </w:rPr>
        <w:t>. In the case of the CASC, this means that each station is marked by a trained examiner</w:t>
      </w:r>
      <w:r w:rsidRPr="00680661">
        <w:rPr>
          <w:lang w:val="en-GB"/>
        </w:rPr>
        <w:t xml:space="preserve"> who provides two sets of scores. The first is a five-point ‘analytic’ global domain score, ranging from 1 (‘poor’) to 5 (‘excellent’) for between three and five domains. The second is a 6-point overall global judgement- ‘Excellent Pass’, ‘Pass’, ‘Borderline Pass’, ‘Borderline Fail’, ‘Fail’ or ‘Severe Fail’, which have associated grade descriptors to help anchor them. The total weighted domain scores are then regressed onto their global scores to produce a linear (regression) equation for each station for all candidates. The total domain score for borderline candidates, determined through the ‘line of best fit’ is used to set the pass mark for that station. The pass mark for the whole exam then is calculated as the average of the station pass marks for that day, with the addition of the standard error of measurement. In order to pass the</w:t>
      </w:r>
      <w:r w:rsidRPr="00680661">
        <w:t xml:space="preserve"> </w:t>
      </w:r>
      <w:r w:rsidRPr="00680661">
        <w:rPr>
          <w:lang w:val="en-GB"/>
        </w:rPr>
        <w:t xml:space="preserve">CASC a candidate must achieve a passing score in at least 12 of the 16 stations and meet or exceed the overall total borderline regression score set. Thus, high scores on some stations will not necessarily compensate for low scores in others. The minimum of 12 stations as a pass standard was set on the basis that the five history-taking and five examination stations cover basic clinical skills and that a ‘borderline pass’ candidate should be expected to pass eight out of these 10 stations. Six of the stations relate to clinical management and a ‘borderline pass’ candidate was expected to pass four out of these six stations. During the Covid-19 pandemic the CASC was moved to an online format. </w:t>
      </w:r>
    </w:p>
    <w:p w14:paraId="09992F42" w14:textId="77777777" w:rsidR="007E661B" w:rsidRDefault="007E661B" w:rsidP="00247064">
      <w:pPr>
        <w:pStyle w:val="Standard"/>
        <w:spacing w:line="360" w:lineRule="auto"/>
        <w:rPr>
          <w:lang w:val="en-GB"/>
        </w:rPr>
      </w:pPr>
    </w:p>
    <w:p w14:paraId="64CA9CD6" w14:textId="4588DF4F" w:rsidR="007E661B" w:rsidRDefault="007E661B" w:rsidP="00247064">
      <w:pPr>
        <w:pStyle w:val="Standard"/>
        <w:spacing w:line="360" w:lineRule="auto"/>
        <w:rPr>
          <w:lang w:val="en-GB"/>
        </w:rPr>
      </w:pPr>
      <w:r>
        <w:rPr>
          <w:lang w:val="en-GB"/>
        </w:rPr>
        <w:t xml:space="preserve">A description of the training pathway, and the examination system is shown in Figure S1. </w:t>
      </w:r>
    </w:p>
    <w:p w14:paraId="7F42CF79" w14:textId="77777777" w:rsidR="007E661B" w:rsidRDefault="007E661B" w:rsidP="00247064">
      <w:pPr>
        <w:pStyle w:val="Standard"/>
        <w:spacing w:line="360" w:lineRule="auto"/>
        <w:rPr>
          <w:lang w:val="en-GB"/>
        </w:rPr>
      </w:pPr>
    </w:p>
    <w:p w14:paraId="422089F4" w14:textId="77777777" w:rsidR="007E661B" w:rsidRDefault="007E661B" w:rsidP="00247064">
      <w:pPr>
        <w:pStyle w:val="Standard"/>
        <w:spacing w:line="360" w:lineRule="auto"/>
        <w:rPr>
          <w:lang w:val="en-GB"/>
        </w:rPr>
      </w:pPr>
    </w:p>
    <w:p w14:paraId="769C9497" w14:textId="77777777" w:rsidR="007E661B" w:rsidRPr="00680661" w:rsidRDefault="007E661B" w:rsidP="00247064">
      <w:pPr>
        <w:pStyle w:val="Standard"/>
        <w:spacing w:line="360" w:lineRule="auto"/>
        <w:rPr>
          <w:lang w:val="en-GB"/>
        </w:rPr>
      </w:pPr>
    </w:p>
    <w:p w14:paraId="25E21E5F" w14:textId="77777777" w:rsidR="003E091C" w:rsidRDefault="00A46525" w:rsidP="00247064">
      <w:pPr>
        <w:spacing w:line="360" w:lineRule="auto"/>
      </w:pPr>
      <w:r>
        <w:rPr>
          <w:noProof/>
        </w:rPr>
        <w:lastRenderedPageBreak/>
        <mc:AlternateContent>
          <mc:Choice Requires="wps">
            <w:drawing>
              <wp:anchor distT="0" distB="0" distL="114300" distR="114300" simplePos="0" relativeHeight="251659264" behindDoc="0" locked="0" layoutInCell="1" allowOverlap="1" wp14:anchorId="2AFD3E51" wp14:editId="160858A6">
                <wp:simplePos x="0" y="0"/>
                <wp:positionH relativeFrom="margin">
                  <wp:posOffset>14630</wp:posOffset>
                </wp:positionH>
                <wp:positionV relativeFrom="paragraph">
                  <wp:posOffset>263347</wp:posOffset>
                </wp:positionV>
                <wp:extent cx="5735782" cy="3503803"/>
                <wp:effectExtent l="0" t="0" r="17780" b="20955"/>
                <wp:wrapNone/>
                <wp:docPr id="501885726" name="Rectangle 1"/>
                <wp:cNvGraphicFramePr/>
                <a:graphic xmlns:a="http://schemas.openxmlformats.org/drawingml/2006/main">
                  <a:graphicData uri="http://schemas.microsoft.com/office/word/2010/wordprocessingShape">
                    <wps:wsp>
                      <wps:cNvSpPr/>
                      <wps:spPr>
                        <a:xfrm>
                          <a:off x="0" y="0"/>
                          <a:ext cx="5735782" cy="350380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9A346" id="Rectangle 1" o:spid="_x0000_s1026" style="position:absolute;margin-left:1.15pt;margin-top:20.75pt;width:451.65pt;height:27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" filled="f" strokecolor="#091723 [484]" strokeweight="1pt">
                <w10:wrap anchorx="margin"/>
              </v:rect>
            </w:pict>
          </mc:Fallback>
        </mc:AlternateContent>
      </w:r>
    </w:p>
    <w:p w14:paraId="6A86923D" w14:textId="6321E1D9" w:rsidR="00A46525" w:rsidRDefault="003E091C" w:rsidP="00247064">
      <w:pPr>
        <w:spacing w:line="360" w:lineRule="auto"/>
      </w:pPr>
      <w:r w:rsidRPr="0093717D">
        <w:rPr>
          <w:noProof/>
        </w:rPr>
        <w:drawing>
          <wp:inline distT="0" distB="0" distL="0" distR="0" wp14:anchorId="711A88EF" wp14:editId="111D584D">
            <wp:extent cx="5652169" cy="3299155"/>
            <wp:effectExtent l="0" t="0" r="5715" b="0"/>
            <wp:docPr id="87312082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20824" name="Picture 1" descr="A screenshot of a computer screen&#10;&#10;Description automatically generated"/>
                    <pic:cNvPicPr/>
                  </pic:nvPicPr>
                  <pic:blipFill rotWithShape="1">
                    <a:blip r:embed="rId6"/>
                    <a:srcRect l="3957"/>
                    <a:stretch/>
                  </pic:blipFill>
                  <pic:spPr bwMode="auto">
                    <a:xfrm>
                      <a:off x="0" y="0"/>
                      <a:ext cx="5656730" cy="3301817"/>
                    </a:xfrm>
                    <a:prstGeom prst="rect">
                      <a:avLst/>
                    </a:prstGeom>
                    <a:ln>
                      <a:noFill/>
                    </a:ln>
                    <a:extLst>
                      <a:ext uri="{53640926-AAD7-44D8-BBD7-CCE9431645EC}">
                        <a14:shadowObscured xmlns:a14="http://schemas.microsoft.com/office/drawing/2010/main"/>
                      </a:ext>
                    </a:extLst>
                  </pic:spPr>
                </pic:pic>
              </a:graphicData>
            </a:graphic>
          </wp:inline>
        </w:drawing>
      </w:r>
    </w:p>
    <w:p w14:paraId="6645C607" w14:textId="76E421D1" w:rsidR="003F2583" w:rsidRDefault="003F2583" w:rsidP="00247064">
      <w:pPr>
        <w:spacing w:line="360" w:lineRule="auto"/>
      </w:pPr>
      <w:r>
        <w:t xml:space="preserve">Figure S1. Flow chart of the UK psychiatry training process. </w:t>
      </w:r>
    </w:p>
    <w:p w14:paraId="1504949A" w14:textId="606797FF" w:rsidR="003F2583" w:rsidRPr="00C03CCD" w:rsidRDefault="003F2583" w:rsidP="00481706">
      <w:pPr>
        <w:pStyle w:val="Caption"/>
        <w:rPr>
          <w:sz w:val="20"/>
          <w:szCs w:val="20"/>
        </w:rPr>
      </w:pPr>
      <w:r w:rsidRPr="00C03CCD">
        <w:rPr>
          <w:sz w:val="20"/>
          <w:szCs w:val="20"/>
        </w:rPr>
        <w:t xml:space="preserve">ARCP- Annual Review of Competence Progression; FY2- Second year of Foundation Programme training; </w:t>
      </w:r>
      <w:r w:rsidR="00481706" w:rsidRPr="00C03CCD">
        <w:rPr>
          <w:sz w:val="20"/>
          <w:szCs w:val="20"/>
        </w:rPr>
        <w:t>CREST-</w:t>
      </w:r>
      <w:r w:rsidR="00481706">
        <w:rPr>
          <w:sz w:val="20"/>
          <w:szCs w:val="20"/>
        </w:rPr>
        <w:t xml:space="preserve"> </w:t>
      </w:r>
      <w:r w:rsidR="00481706" w:rsidRPr="00481706">
        <w:rPr>
          <w:sz w:val="20"/>
          <w:szCs w:val="20"/>
        </w:rPr>
        <w:t>Certificate of Readiness to Enter Specialty Training</w:t>
      </w:r>
      <w:r w:rsidR="00481706" w:rsidRPr="00C03CCD">
        <w:rPr>
          <w:sz w:val="20"/>
          <w:szCs w:val="20"/>
        </w:rPr>
        <w:t xml:space="preserve">; </w:t>
      </w:r>
      <w:r w:rsidRPr="00C03CCD">
        <w:rPr>
          <w:sz w:val="20"/>
          <w:szCs w:val="20"/>
        </w:rPr>
        <w:t xml:space="preserve">MRCPsych- Membership of the Royal College of Psychiatrists obtained, involving passing all components of the MRCPsych examination and meeting the training requirements; WAST- </w:t>
      </w:r>
      <w:r w:rsidR="00C417A9" w:rsidRPr="00C03CCD">
        <w:rPr>
          <w:sz w:val="20"/>
          <w:szCs w:val="20"/>
        </w:rPr>
        <w:t>Widening Access to Specialty Training, a scheme for overseas doctors wishing to train in the UK</w:t>
      </w:r>
      <w:r w:rsidR="00A46525" w:rsidRPr="00C03CCD">
        <w:rPr>
          <w:sz w:val="20"/>
          <w:szCs w:val="20"/>
        </w:rPr>
        <w:t>.</w:t>
      </w:r>
      <w:r w:rsidRPr="00C03CCD">
        <w:rPr>
          <w:sz w:val="20"/>
          <w:szCs w:val="20"/>
        </w:rPr>
        <w:t xml:space="preserve"> </w:t>
      </w:r>
    </w:p>
    <w:p w14:paraId="76407F44" w14:textId="77777777" w:rsidR="00C417A9" w:rsidRDefault="00C417A9" w:rsidP="00247064">
      <w:pPr>
        <w:spacing w:line="360" w:lineRule="auto"/>
        <w:rPr>
          <w:i/>
        </w:rPr>
      </w:pPr>
    </w:p>
    <w:p w14:paraId="3FAB5D23" w14:textId="46B05883" w:rsidR="00E43107" w:rsidRPr="00E43107" w:rsidRDefault="00E43107" w:rsidP="00247064">
      <w:pPr>
        <w:spacing w:line="360" w:lineRule="auto"/>
        <w:rPr>
          <w:i/>
        </w:rPr>
      </w:pPr>
      <w:r w:rsidRPr="00E43107">
        <w:rPr>
          <w:i/>
        </w:rPr>
        <w:t xml:space="preserve">Developing the a priori model </w:t>
      </w:r>
    </w:p>
    <w:p w14:paraId="2C20EF91" w14:textId="77777777" w:rsidR="00E43107" w:rsidRPr="00680661" w:rsidRDefault="00E43107" w:rsidP="00E43107">
      <w:pPr>
        <w:pStyle w:val="Standard"/>
        <w:spacing w:line="360" w:lineRule="auto"/>
        <w:rPr>
          <w:bCs/>
          <w:lang w:val="en-GB"/>
        </w:rPr>
      </w:pPr>
      <w:r>
        <w:rPr>
          <w:bCs/>
          <w:lang w:val="en-GB"/>
        </w:rPr>
        <w:t>This</w:t>
      </w:r>
      <w:r w:rsidRPr="00680661">
        <w:rPr>
          <w:bCs/>
          <w:lang w:val="en-GB"/>
        </w:rPr>
        <w:t xml:space="preserve"> hypothesise</w:t>
      </w:r>
      <w:r>
        <w:rPr>
          <w:bCs/>
          <w:lang w:val="en-GB"/>
        </w:rPr>
        <w:t>d</w:t>
      </w:r>
      <w:r w:rsidRPr="00680661">
        <w:rPr>
          <w:bCs/>
          <w:lang w:val="en-GB"/>
        </w:rPr>
        <w:t xml:space="preserve"> that SC </w:t>
      </w:r>
      <w:r>
        <w:rPr>
          <w:bCs/>
          <w:lang w:val="en-GB"/>
        </w:rPr>
        <w:t xml:space="preserve">and </w:t>
      </w:r>
      <w:r w:rsidRPr="00680661">
        <w:rPr>
          <w:bCs/>
          <w:lang w:val="en-GB"/>
        </w:rPr>
        <w:t xml:space="preserve">written MRCPsych scores predict CASC performance. The CPS </w:t>
      </w:r>
      <w:r>
        <w:rPr>
          <w:bCs/>
          <w:lang w:val="en-GB"/>
        </w:rPr>
        <w:t xml:space="preserve">was </w:t>
      </w:r>
      <w:r w:rsidRPr="00680661">
        <w:rPr>
          <w:bCs/>
          <w:lang w:val="en-GB"/>
        </w:rPr>
        <w:t>conceptualised as relat</w:t>
      </w:r>
      <w:r>
        <w:rPr>
          <w:bCs/>
          <w:lang w:val="en-GB"/>
        </w:rPr>
        <w:t>ing mainly</w:t>
      </w:r>
      <w:r w:rsidRPr="00680661">
        <w:rPr>
          <w:bCs/>
          <w:lang w:val="en-GB"/>
        </w:rPr>
        <w:t xml:space="preserve"> to future written exam performance. The SJT scores </w:t>
      </w:r>
      <w:r>
        <w:rPr>
          <w:bCs/>
          <w:lang w:val="en-GB"/>
        </w:rPr>
        <w:t>were</w:t>
      </w:r>
      <w:r w:rsidRPr="00680661">
        <w:rPr>
          <w:bCs/>
          <w:lang w:val="en-GB"/>
        </w:rPr>
        <w:t xml:space="preserve"> predicted to have a direct relationship with CASC performance, as well as an indirect influence via the</w:t>
      </w:r>
      <w:r>
        <w:rPr>
          <w:bCs/>
          <w:lang w:val="en-GB"/>
        </w:rPr>
        <w:t xml:space="preserve"> </w:t>
      </w:r>
      <w:r w:rsidRPr="00680661">
        <w:rPr>
          <w:bCs/>
          <w:lang w:val="en-GB"/>
        </w:rPr>
        <w:t xml:space="preserve">SC scores. This is because SJTs often yield similar levels of information to face-to-face interviews. </w:t>
      </w:r>
      <w:r>
        <w:rPr>
          <w:bCs/>
          <w:lang w:val="en-GB"/>
        </w:rPr>
        <w:t>T</w:t>
      </w:r>
      <w:r w:rsidRPr="00680661">
        <w:rPr>
          <w:bCs/>
          <w:lang w:val="en-GB"/>
        </w:rPr>
        <w:t xml:space="preserve">he CPS and SJT scores were </w:t>
      </w:r>
      <w:r>
        <w:rPr>
          <w:bCs/>
          <w:lang w:val="en-GB"/>
        </w:rPr>
        <w:t xml:space="preserve">also </w:t>
      </w:r>
      <w:r w:rsidRPr="00680661">
        <w:rPr>
          <w:bCs/>
          <w:lang w:val="en-GB"/>
        </w:rPr>
        <w:t>assumed to have a relationship with the SC scores</w:t>
      </w:r>
      <w:r>
        <w:rPr>
          <w:bCs/>
          <w:lang w:val="en-GB"/>
        </w:rPr>
        <w:t xml:space="preserve">, which </w:t>
      </w:r>
      <w:r w:rsidRPr="00680661">
        <w:rPr>
          <w:bCs/>
          <w:lang w:val="en-GB"/>
        </w:rPr>
        <w:t>ha</w:t>
      </w:r>
      <w:r>
        <w:rPr>
          <w:bCs/>
          <w:lang w:val="en-GB"/>
        </w:rPr>
        <w:t>d</w:t>
      </w:r>
      <w:r w:rsidRPr="00680661">
        <w:rPr>
          <w:bCs/>
          <w:lang w:val="en-GB"/>
        </w:rPr>
        <w:t xml:space="preserve"> both interpersonal and clinical knowledge-based components. </w:t>
      </w:r>
      <w:r>
        <w:rPr>
          <w:bCs/>
          <w:lang w:val="en-GB"/>
        </w:rPr>
        <w:t xml:space="preserve">As the </w:t>
      </w:r>
      <w:r w:rsidRPr="00680661">
        <w:rPr>
          <w:bCs/>
          <w:lang w:val="en-GB"/>
        </w:rPr>
        <w:t xml:space="preserve">CPS and SJT </w:t>
      </w:r>
      <w:r>
        <w:rPr>
          <w:bCs/>
          <w:lang w:val="en-GB"/>
        </w:rPr>
        <w:t xml:space="preserve">were sat concurrently their scores were </w:t>
      </w:r>
      <w:r w:rsidRPr="00680661">
        <w:rPr>
          <w:bCs/>
          <w:lang w:val="en-GB"/>
        </w:rPr>
        <w:t xml:space="preserve">expected to covary to </w:t>
      </w:r>
      <w:r>
        <w:rPr>
          <w:bCs/>
          <w:lang w:val="en-GB"/>
        </w:rPr>
        <w:t>s</w:t>
      </w:r>
      <w:r w:rsidRPr="00680661">
        <w:rPr>
          <w:bCs/>
          <w:lang w:val="en-GB"/>
        </w:rPr>
        <w:t xml:space="preserve">ome extent. </w:t>
      </w:r>
      <w:r>
        <w:rPr>
          <w:bCs/>
          <w:lang w:val="en-GB"/>
        </w:rPr>
        <w:t>This</w:t>
      </w:r>
      <w:r w:rsidRPr="00680661">
        <w:rPr>
          <w:bCs/>
          <w:lang w:val="en-GB"/>
        </w:rPr>
        <w:t xml:space="preserve"> </w:t>
      </w:r>
      <w:r w:rsidRPr="00680661">
        <w:rPr>
          <w:bCs/>
          <w:i/>
          <w:lang w:val="en-GB"/>
        </w:rPr>
        <w:t>a priori</w:t>
      </w:r>
      <w:r w:rsidRPr="00680661">
        <w:rPr>
          <w:bCs/>
          <w:lang w:val="en-GB"/>
        </w:rPr>
        <w:t xml:space="preserve"> theoretical model w</w:t>
      </w:r>
      <w:r>
        <w:rPr>
          <w:bCs/>
          <w:lang w:val="en-GB"/>
        </w:rPr>
        <w:t xml:space="preserve">as then </w:t>
      </w:r>
      <w:r w:rsidRPr="00680661">
        <w:rPr>
          <w:bCs/>
          <w:lang w:val="en-GB"/>
        </w:rPr>
        <w:t xml:space="preserve">evaluated in terms of fit to </w:t>
      </w:r>
      <w:r>
        <w:rPr>
          <w:bCs/>
          <w:lang w:val="en-GB"/>
        </w:rPr>
        <w:t>the</w:t>
      </w:r>
      <w:r w:rsidRPr="00680661">
        <w:rPr>
          <w:bCs/>
          <w:lang w:val="en-GB"/>
        </w:rPr>
        <w:t xml:space="preserve"> data. </w:t>
      </w:r>
    </w:p>
    <w:p w14:paraId="06935E14" w14:textId="77777777" w:rsidR="00E43107" w:rsidRDefault="00E43107" w:rsidP="00247064">
      <w:pPr>
        <w:spacing w:line="360" w:lineRule="auto"/>
      </w:pPr>
    </w:p>
    <w:p w14:paraId="5E8CD4EB" w14:textId="77777777" w:rsidR="00E43107" w:rsidRPr="00687994" w:rsidRDefault="00687994" w:rsidP="00247064">
      <w:pPr>
        <w:spacing w:line="360" w:lineRule="auto"/>
        <w:rPr>
          <w:i/>
        </w:rPr>
      </w:pPr>
      <w:r w:rsidRPr="00687994">
        <w:rPr>
          <w:i/>
        </w:rPr>
        <w:lastRenderedPageBreak/>
        <w:t>Description of the Selection Centre</w:t>
      </w:r>
    </w:p>
    <w:p w14:paraId="5BD1294A" w14:textId="77777777" w:rsidR="00E43107" w:rsidRDefault="00687994" w:rsidP="00247064">
      <w:pPr>
        <w:spacing w:line="360" w:lineRule="auto"/>
      </w:pPr>
      <w:r w:rsidRPr="00680661">
        <w:t xml:space="preserve">The SC consisted of a face-to-face “Presentation of Portfolio Station”, lasting 15 minutes. This assessed the domains of </w:t>
      </w:r>
      <w:r w:rsidRPr="00680661">
        <w:rPr>
          <w:i/>
        </w:rPr>
        <w:t>commitment to specialty</w:t>
      </w:r>
      <w:r w:rsidRPr="00680661">
        <w:t xml:space="preserve">, </w:t>
      </w:r>
      <w:r w:rsidRPr="00680661">
        <w:rPr>
          <w:i/>
        </w:rPr>
        <w:t>commitment to learning and personal development</w:t>
      </w:r>
      <w:r w:rsidRPr="00680661">
        <w:t xml:space="preserve">, </w:t>
      </w:r>
      <w:r w:rsidRPr="00680661">
        <w:rPr>
          <w:i/>
        </w:rPr>
        <w:t xml:space="preserve">team </w:t>
      </w:r>
      <w:r w:rsidRPr="00E07772">
        <w:rPr>
          <w:i/>
          <w:iCs/>
        </w:rPr>
        <w:t>working and interpersonal</w:t>
      </w:r>
      <w:r w:rsidRPr="00680661">
        <w:rPr>
          <w:i/>
        </w:rPr>
        <w:t xml:space="preserve"> skills</w:t>
      </w:r>
      <w:r w:rsidRPr="00680661">
        <w:t xml:space="preserve">, </w:t>
      </w:r>
      <w:r w:rsidRPr="00680661">
        <w:rPr>
          <w:i/>
        </w:rPr>
        <w:t>academic and research skills</w:t>
      </w:r>
      <w:r w:rsidRPr="00680661">
        <w:t xml:space="preserve">, </w:t>
      </w:r>
      <w:r w:rsidRPr="00680661">
        <w:rPr>
          <w:i/>
        </w:rPr>
        <w:t>audit, teaching</w:t>
      </w:r>
      <w:r w:rsidRPr="00680661">
        <w:t xml:space="preserve">, </w:t>
      </w:r>
      <w:r w:rsidRPr="00680661">
        <w:rPr>
          <w:i/>
        </w:rPr>
        <w:t>organisational skills</w:t>
      </w:r>
      <w:r w:rsidRPr="00680661">
        <w:t xml:space="preserve">, </w:t>
      </w:r>
      <w:r w:rsidRPr="00680661">
        <w:rPr>
          <w:i/>
        </w:rPr>
        <w:t>communication skills</w:t>
      </w:r>
      <w:r w:rsidRPr="00680661">
        <w:t xml:space="preserve"> and </w:t>
      </w:r>
      <w:r w:rsidRPr="00680661">
        <w:rPr>
          <w:i/>
        </w:rPr>
        <w:t>presentations skills</w:t>
      </w:r>
      <w:r w:rsidRPr="00680661">
        <w:t xml:space="preserve">. </w:t>
      </w:r>
      <w:r>
        <w:t xml:space="preserve">This </w:t>
      </w:r>
      <w:r w:rsidRPr="00680661">
        <w:t>allow</w:t>
      </w:r>
      <w:r>
        <w:t>s</w:t>
      </w:r>
      <w:r w:rsidRPr="00680661">
        <w:t xml:space="preserve"> candidates to demonstrate </w:t>
      </w:r>
      <w:r>
        <w:t xml:space="preserve">achievements during </w:t>
      </w:r>
      <w:r w:rsidRPr="00680661">
        <w:t xml:space="preserve">foundation training (or equivalent). </w:t>
      </w:r>
      <w:r>
        <w:t>P</w:t>
      </w:r>
      <w:r w:rsidRPr="00680661">
        <w:t>ortfolio</w:t>
      </w:r>
      <w:r>
        <w:t>s</w:t>
      </w:r>
      <w:r w:rsidRPr="00680661">
        <w:t xml:space="preserve"> usually include a CV, personal development plan, workplace-based assessments, feedback from patients</w:t>
      </w:r>
      <w:r>
        <w:t xml:space="preserve"> or</w:t>
      </w:r>
      <w:r w:rsidRPr="00680661">
        <w:t xml:space="preserve"> colleagues</w:t>
      </w:r>
      <w:r>
        <w:t>,</w:t>
      </w:r>
      <w:r w:rsidRPr="00680661">
        <w:t xml:space="preserve"> evidence of reflective practice</w:t>
      </w:r>
      <w:r>
        <w:t>,</w:t>
      </w:r>
      <w:r w:rsidRPr="00680661">
        <w:t xml:space="preserve"> quality improvement project reports</w:t>
      </w:r>
      <w:r>
        <w:t xml:space="preserve"> and academic outputs</w:t>
      </w:r>
      <w:r w:rsidRPr="00680661">
        <w:t>. The second component of the SC was the “Communications in a Clinical Setting” station, also lasting 15 minutes. This aimed to evaluate</w:t>
      </w:r>
      <w:r>
        <w:t xml:space="preserve"> </w:t>
      </w:r>
      <w:r w:rsidRPr="00680661">
        <w:rPr>
          <w:i/>
        </w:rPr>
        <w:t>self-assurance</w:t>
      </w:r>
      <w:r w:rsidRPr="00680661">
        <w:t xml:space="preserve">, </w:t>
      </w:r>
      <w:r w:rsidRPr="00680661">
        <w:rPr>
          <w:i/>
        </w:rPr>
        <w:t>empathy</w:t>
      </w:r>
      <w:r w:rsidRPr="00680661">
        <w:t xml:space="preserve">, </w:t>
      </w:r>
      <w:r w:rsidRPr="00680661">
        <w:rPr>
          <w:i/>
        </w:rPr>
        <w:t>warmth</w:t>
      </w:r>
      <w:r w:rsidRPr="00680661">
        <w:t xml:space="preserve">, </w:t>
      </w:r>
      <w:r w:rsidRPr="00680661">
        <w:rPr>
          <w:i/>
        </w:rPr>
        <w:t>competence</w:t>
      </w:r>
      <w:r w:rsidRPr="00680661">
        <w:t xml:space="preserve">, </w:t>
      </w:r>
      <w:r w:rsidRPr="00680661">
        <w:rPr>
          <w:i/>
        </w:rPr>
        <w:t>use of active listening</w:t>
      </w:r>
      <w:r w:rsidRPr="00680661">
        <w:t xml:space="preserve">, </w:t>
      </w:r>
      <w:r w:rsidRPr="00680661">
        <w:rPr>
          <w:i/>
        </w:rPr>
        <w:t>ability to elicit history</w:t>
      </w:r>
      <w:r w:rsidRPr="00680661">
        <w:t xml:space="preserve"> and </w:t>
      </w:r>
      <w:r w:rsidRPr="00680661">
        <w:rPr>
          <w:i/>
        </w:rPr>
        <w:t>reflective skills</w:t>
      </w:r>
      <w:r w:rsidRPr="00680661">
        <w:t>. The first ten minutes involved an interaction with a simulated patient based on a clinical scenario</w:t>
      </w:r>
      <w:r>
        <w:t>. Th</w:t>
      </w:r>
      <w:r w:rsidRPr="00680661">
        <w:t xml:space="preserve">e last five minutes </w:t>
      </w:r>
      <w:r>
        <w:t>was</w:t>
      </w:r>
      <w:r w:rsidRPr="00680661">
        <w:t xml:space="preserve"> a question and answer session</w:t>
      </w:r>
      <w:r>
        <w:t>,</w:t>
      </w:r>
      <w:r w:rsidRPr="00680661">
        <w:t xml:space="preserve"> allow</w:t>
      </w:r>
      <w:r>
        <w:t xml:space="preserve">ing </w:t>
      </w:r>
      <w:r w:rsidRPr="00680661">
        <w:t>candidate</w:t>
      </w:r>
      <w:r>
        <w:t>s</w:t>
      </w:r>
      <w:r w:rsidRPr="00680661">
        <w:t xml:space="preserve"> to reflect with an assessor on how the scenario went.</w:t>
      </w:r>
    </w:p>
    <w:p w14:paraId="0229E7A2" w14:textId="77777777" w:rsidR="00E43107" w:rsidRDefault="00E43107" w:rsidP="00247064">
      <w:pPr>
        <w:spacing w:line="360" w:lineRule="auto"/>
      </w:pPr>
    </w:p>
    <w:p w14:paraId="1CA7ECF9" w14:textId="77777777" w:rsidR="00247064" w:rsidRPr="00247064" w:rsidRDefault="00247064" w:rsidP="00247064">
      <w:pPr>
        <w:spacing w:line="360" w:lineRule="auto"/>
        <w:rPr>
          <w:i/>
        </w:rPr>
      </w:pPr>
      <w:r w:rsidRPr="00247064">
        <w:rPr>
          <w:i/>
        </w:rPr>
        <w:t>Modelling the Selection Centre Scores as Separate Station Scores</w:t>
      </w:r>
    </w:p>
    <w:p w14:paraId="713ACBFF" w14:textId="450C77DC" w:rsidR="00247064" w:rsidRDefault="00247064" w:rsidP="00247064">
      <w:pPr>
        <w:spacing w:line="360" w:lineRule="auto"/>
      </w:pPr>
      <w:r>
        <w:t>In the main report, in general, only the results for analyses using the total (summed) selection Centre (SC) scores are presented. This is because the two scores correlated at least moderately and appeared to make equal contributions to predicting the Clinical Assessment of Skills and Competencies (CASC) scores.</w:t>
      </w:r>
      <w:r w:rsidR="00687994" w:rsidRPr="00687994">
        <w:t xml:space="preserve"> </w:t>
      </w:r>
      <w:r w:rsidR="00687994">
        <w:t xml:space="preserve">This was because the two component scores correlated </w:t>
      </w:r>
      <w:r w:rsidR="00687994" w:rsidRPr="005565A0">
        <w:t>moderately (r=0.64) a</w:t>
      </w:r>
      <w:r w:rsidR="00687994">
        <w:t>nd exploratory modelling showed both scores had an almost identical relationship with the outcome of interest (see Figures S</w:t>
      </w:r>
      <w:r w:rsidR="00D23DDF">
        <w:t>2</w:t>
      </w:r>
      <w:r w:rsidR="00687994">
        <w:t xml:space="preserve"> to S</w:t>
      </w:r>
      <w:r w:rsidR="00D23DDF">
        <w:t>4</w:t>
      </w:r>
      <w:r w:rsidR="00687994">
        <w:t>).</w:t>
      </w:r>
      <w:r w:rsidR="00BA135E">
        <w:t xml:space="preserve"> An </w:t>
      </w:r>
      <w:r w:rsidR="00BA135E" w:rsidRPr="00687994">
        <w:rPr>
          <w:i/>
        </w:rPr>
        <w:t>a priori</w:t>
      </w:r>
      <w:r w:rsidR="00BA135E">
        <w:t xml:space="preserve"> theoretical model was created, which included both SC station scores, and was otherwise identical to the model with a single SC total score. This is shown in Figure S</w:t>
      </w:r>
      <w:r w:rsidR="00D23DDF">
        <w:t>2</w:t>
      </w:r>
      <w:r w:rsidR="00BA135E">
        <w:t xml:space="preserve">. The results of testing this model </w:t>
      </w:r>
      <w:r>
        <w:t>elegantly illustrated by the path diagram</w:t>
      </w:r>
      <w:r w:rsidR="00BA135E">
        <w:t>s</w:t>
      </w:r>
      <w:r>
        <w:t xml:space="preserve"> in Figure</w:t>
      </w:r>
      <w:r w:rsidR="00BA135E">
        <w:t>s</w:t>
      </w:r>
      <w:r>
        <w:t xml:space="preserve"> S</w:t>
      </w:r>
      <w:r w:rsidR="00D23DDF">
        <w:t>3</w:t>
      </w:r>
      <w:r w:rsidR="00BA135E">
        <w:t xml:space="preserve"> and S</w:t>
      </w:r>
      <w:r w:rsidR="00D23DDF">
        <w:t>4</w:t>
      </w:r>
      <w:r w:rsidR="00BA135E">
        <w:t>, for the non-imputed and imputed datasets</w:t>
      </w:r>
      <w:r>
        <w:t>. Th</w:t>
      </w:r>
      <w:r w:rsidR="00BA135E">
        <w:t>ese</w:t>
      </w:r>
      <w:r>
        <w:t xml:space="preserve"> show the results of a path analysis which uses the clinical scenario and portfolio station scores as separate, though correlated predictor variables. As can be seen, the unique contribution to predicting the later CASC scores are identical.  </w:t>
      </w:r>
    </w:p>
    <w:p w14:paraId="77B0E7AD" w14:textId="77777777" w:rsidR="00247064" w:rsidRDefault="00247064" w:rsidP="00440CD0"/>
    <w:p w14:paraId="58B4C35E" w14:textId="77777777" w:rsidR="00247064" w:rsidRDefault="00067ECA" w:rsidP="00440CD0">
      <w:r>
        <w:rPr>
          <w:noProof/>
          <w:lang w:eastAsia="en-GB"/>
        </w:rPr>
        <w:drawing>
          <wp:inline distT="0" distB="0" distL="0" distR="0" wp14:anchorId="65224551" wp14:editId="6ECA2783">
            <wp:extent cx="5448300" cy="245302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91" t="22556" r="7379" b="25179"/>
                    <a:stretch/>
                  </pic:blipFill>
                  <pic:spPr bwMode="auto">
                    <a:xfrm>
                      <a:off x="0" y="0"/>
                      <a:ext cx="5459237" cy="2457950"/>
                    </a:xfrm>
                    <a:prstGeom prst="rect">
                      <a:avLst/>
                    </a:prstGeom>
                    <a:ln>
                      <a:noFill/>
                    </a:ln>
                    <a:extLst>
                      <a:ext uri="{53640926-AAD7-44D8-BBD7-CCE9431645EC}">
                        <a14:shadowObscured xmlns:a14="http://schemas.microsoft.com/office/drawing/2010/main"/>
                      </a:ext>
                    </a:extLst>
                  </pic:spPr>
                </pic:pic>
              </a:graphicData>
            </a:graphic>
          </wp:inline>
        </w:drawing>
      </w:r>
    </w:p>
    <w:p w14:paraId="29B7E02A" w14:textId="221FF4A5" w:rsidR="004201BF" w:rsidRPr="004201BF" w:rsidRDefault="00BA135E" w:rsidP="00C17782">
      <w:pPr>
        <w:spacing w:line="360" w:lineRule="auto"/>
      </w:pPr>
      <w:r>
        <w:t>Figure S</w:t>
      </w:r>
      <w:r w:rsidR="007E661B">
        <w:t>2</w:t>
      </w:r>
      <w:r>
        <w:t xml:space="preserve">. </w:t>
      </w:r>
      <w:r w:rsidR="004201BF" w:rsidRPr="004201BF">
        <w:t xml:space="preserve">The </w:t>
      </w:r>
      <w:r w:rsidR="004201BF" w:rsidRPr="00AB66E1">
        <w:rPr>
          <w:i/>
        </w:rPr>
        <w:t>a priori</w:t>
      </w:r>
      <w:r w:rsidR="004201BF" w:rsidRPr="004201BF">
        <w:t xml:space="preserve"> theoretical model hypothesising the causal relationships between the selection assessment scores</w:t>
      </w:r>
      <w:r w:rsidR="004201BF">
        <w:t xml:space="preserve">, with separate SC station scores, </w:t>
      </w:r>
      <w:r w:rsidR="004201BF" w:rsidRPr="004201BF">
        <w:t>and the outcome of interest (CASC performance).</w:t>
      </w:r>
    </w:p>
    <w:p w14:paraId="0E1F7E22" w14:textId="77777777" w:rsidR="00AB66E1" w:rsidRPr="00481706" w:rsidRDefault="00AB66E1" w:rsidP="00481706">
      <w:pPr>
        <w:pStyle w:val="Caption"/>
      </w:pPr>
      <w:r w:rsidRPr="00481706">
        <w:t xml:space="preserve">MSRA- Multi-Specialty Recruitment Assessment; CPS- Clinical Problems Solving test; SJT- Situational Judgment Test </w:t>
      </w:r>
    </w:p>
    <w:p w14:paraId="69368DC7" w14:textId="77777777" w:rsidR="00BA135E" w:rsidRDefault="00BA135E" w:rsidP="00440CD0"/>
    <w:p w14:paraId="6CEA0AAB" w14:textId="77777777" w:rsidR="00AB66E1" w:rsidRDefault="00AB66E1" w:rsidP="00440CD0"/>
    <w:p w14:paraId="69A83A3B" w14:textId="77777777" w:rsidR="00AB66E1" w:rsidRDefault="00AB66E1" w:rsidP="00440CD0"/>
    <w:p w14:paraId="08B90D8E" w14:textId="77777777" w:rsidR="00BA135E" w:rsidRPr="00680661" w:rsidRDefault="00067ECA" w:rsidP="00BA135E">
      <w:pPr>
        <w:pStyle w:val="Standard"/>
        <w:rPr>
          <w:lang w:val="en-GB"/>
        </w:rPr>
      </w:pPr>
      <w:r>
        <w:rPr>
          <w:noProof/>
          <w:lang w:val="en-GB" w:eastAsia="en-GB" w:bidi="ar-SA"/>
        </w:rPr>
        <w:drawing>
          <wp:inline distT="0" distB="0" distL="0" distR="0" wp14:anchorId="5C5ACCCA" wp14:editId="226F597F">
            <wp:extent cx="4811261" cy="2150198"/>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90" t="22006" r="7601" b="26279"/>
                    <a:stretch/>
                  </pic:blipFill>
                  <pic:spPr bwMode="auto">
                    <a:xfrm>
                      <a:off x="0" y="0"/>
                      <a:ext cx="4842459" cy="2164141"/>
                    </a:xfrm>
                    <a:prstGeom prst="rect">
                      <a:avLst/>
                    </a:prstGeom>
                    <a:ln>
                      <a:noFill/>
                    </a:ln>
                    <a:extLst>
                      <a:ext uri="{53640926-AAD7-44D8-BBD7-CCE9431645EC}">
                        <a14:shadowObscured xmlns:a14="http://schemas.microsoft.com/office/drawing/2010/main"/>
                      </a:ext>
                    </a:extLst>
                  </pic:spPr>
                </pic:pic>
              </a:graphicData>
            </a:graphic>
          </wp:inline>
        </w:drawing>
      </w:r>
    </w:p>
    <w:p w14:paraId="3E49C140" w14:textId="76E40799" w:rsidR="00AB66E1" w:rsidRPr="00AB66E1" w:rsidRDefault="00BA135E" w:rsidP="00481706">
      <w:pPr>
        <w:pStyle w:val="Caption"/>
      </w:pPr>
      <w:bookmarkStart w:id="0" w:name="_Ref122097332"/>
      <w:r w:rsidRPr="00AB66E1">
        <w:t>Figure</w:t>
      </w:r>
      <w:r w:rsidR="004201BF" w:rsidRPr="00AB66E1">
        <w:t xml:space="preserve"> S</w:t>
      </w:r>
      <w:r w:rsidR="007E661B">
        <w:t>3</w:t>
      </w:r>
      <w:bookmarkEnd w:id="0"/>
      <w:r w:rsidRPr="00AB66E1">
        <w:t xml:space="preserve">. </w:t>
      </w:r>
      <w:r w:rsidR="00AB66E1" w:rsidRPr="00AB66E1">
        <w:t>Results from estimating a p</w:t>
      </w:r>
      <w:r w:rsidRPr="00AB66E1">
        <w:t xml:space="preserve">ath model with separate selection centre (SC) scores (for the clinical and portfolio (‘port’) stations respectively) testing the relationship between the predictors and outcome (CASC score) in the non-imputed dataset (N=2,015*). </w:t>
      </w:r>
    </w:p>
    <w:p w14:paraId="2E8784B9" w14:textId="77777777" w:rsidR="00AB66E1" w:rsidRPr="00AB66E1" w:rsidRDefault="00AB66E1" w:rsidP="00481706">
      <w:pPr>
        <w:pStyle w:val="Caption"/>
      </w:pPr>
      <w:bookmarkStart w:id="1" w:name="_Ref122098347"/>
      <w:r>
        <w:lastRenderedPageBreak/>
        <w:t>MRS</w:t>
      </w:r>
      <w:r w:rsidRPr="00AB66E1">
        <w:t xml:space="preserve">A- Multi-Specialty Recruitment Assessment; CPS- Clinical Problems Solving test; SJT- Situational Judgment Test </w:t>
      </w:r>
    </w:p>
    <w:p w14:paraId="1FFB8A32" w14:textId="77777777" w:rsidR="00AB66E1" w:rsidRPr="00AB66E1" w:rsidRDefault="00AB66E1" w:rsidP="00481706">
      <w:pPr>
        <w:pStyle w:val="Caption"/>
      </w:pPr>
      <w:r w:rsidRPr="00AB66E1">
        <w:rPr>
          <w:i/>
        </w:rPr>
        <w:t>*</w:t>
      </w:r>
      <w:r w:rsidRPr="00AB66E1">
        <w:t>Note that all observations, even those with some missing values, were included in the estimation using Full Information Maximum Likelihood (FIML) -except those with missing values for all the dependent variables (SC, Written and CASC, n=1,495).</w:t>
      </w:r>
    </w:p>
    <w:p w14:paraId="0FF1639A" w14:textId="77777777" w:rsidR="00AB66E1" w:rsidRPr="00AB66E1" w:rsidRDefault="00AB66E1" w:rsidP="00481706">
      <w:pPr>
        <w:pStyle w:val="Caption"/>
      </w:pPr>
    </w:p>
    <w:p w14:paraId="3A86D0B4" w14:textId="77777777" w:rsidR="00AB66E1" w:rsidRDefault="00AB66E1" w:rsidP="00481706">
      <w:pPr>
        <w:pStyle w:val="Caption"/>
      </w:pPr>
    </w:p>
    <w:bookmarkEnd w:id="1"/>
    <w:p w14:paraId="61016759" w14:textId="77777777" w:rsidR="004201BF" w:rsidRDefault="00067ECA" w:rsidP="00481706">
      <w:pPr>
        <w:pStyle w:val="Caption"/>
      </w:pPr>
      <w:r>
        <w:rPr>
          <w:noProof/>
        </w:rPr>
        <w:drawing>
          <wp:inline distT="0" distB="0" distL="0" distR="0" wp14:anchorId="24C91722" wp14:editId="51893D74">
            <wp:extent cx="5194935" cy="2357690"/>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937" t="22456" r="7379" b="24444"/>
                    <a:stretch/>
                  </pic:blipFill>
                  <pic:spPr bwMode="auto">
                    <a:xfrm>
                      <a:off x="0" y="0"/>
                      <a:ext cx="5198010" cy="2359086"/>
                    </a:xfrm>
                    <a:prstGeom prst="rect">
                      <a:avLst/>
                    </a:prstGeom>
                    <a:ln>
                      <a:noFill/>
                    </a:ln>
                    <a:extLst>
                      <a:ext uri="{53640926-AAD7-44D8-BBD7-CCE9431645EC}">
                        <a14:shadowObscured xmlns:a14="http://schemas.microsoft.com/office/drawing/2010/main"/>
                      </a:ext>
                    </a:extLst>
                  </pic:spPr>
                </pic:pic>
              </a:graphicData>
            </a:graphic>
          </wp:inline>
        </w:drawing>
      </w:r>
    </w:p>
    <w:p w14:paraId="0DE6B8FF" w14:textId="34788CC6" w:rsidR="00BA135E" w:rsidRPr="00680661" w:rsidRDefault="004201BF" w:rsidP="00481706">
      <w:pPr>
        <w:pStyle w:val="Caption"/>
      </w:pPr>
      <w:r>
        <w:t>Figure S</w:t>
      </w:r>
      <w:r w:rsidR="007E661B">
        <w:t>4</w:t>
      </w:r>
      <w:r w:rsidR="00BA135E" w:rsidRPr="00680661">
        <w:t xml:space="preserve">. </w:t>
      </w:r>
      <w:r w:rsidRPr="004201BF">
        <w:t xml:space="preserve">Path model with separate selection centre (SC) scores (for the clinical and portfolio (‘port’) stations respectively) testing the relationship between the predictors and outcome (CASC score) </w:t>
      </w:r>
      <w:r>
        <w:t xml:space="preserve">in </w:t>
      </w:r>
      <w:r w:rsidR="00BA135E" w:rsidRPr="00680661">
        <w:t>the multiply imputed dataset (N=3,510).</w:t>
      </w:r>
    </w:p>
    <w:p w14:paraId="6753C52F" w14:textId="77777777" w:rsidR="00247064" w:rsidRDefault="00247064" w:rsidP="00440CD0"/>
    <w:p w14:paraId="13C07EE8" w14:textId="77777777" w:rsidR="00AB66E1" w:rsidRPr="00AB66E1" w:rsidRDefault="00AB66E1" w:rsidP="00481706">
      <w:pPr>
        <w:pStyle w:val="Caption"/>
      </w:pPr>
      <w:r>
        <w:t>MRS</w:t>
      </w:r>
      <w:r w:rsidRPr="00AB66E1">
        <w:t xml:space="preserve">A- Multi-Specialty Recruitment Assessment; CPS- Clinical Problems Solving test; SJT- Situational Judgment Test </w:t>
      </w:r>
    </w:p>
    <w:p w14:paraId="5AD15429" w14:textId="77777777" w:rsidR="00C17782" w:rsidRDefault="004201BF" w:rsidP="00C17782">
      <w:pPr>
        <w:spacing w:line="360" w:lineRule="auto"/>
        <w:rPr>
          <w:i/>
        </w:rPr>
      </w:pPr>
      <w:r w:rsidRPr="004201BF">
        <w:rPr>
          <w:i/>
        </w:rPr>
        <w:t>Results from the Receiver Operator Characteristic (ROC) Curve Analysis</w:t>
      </w:r>
    </w:p>
    <w:p w14:paraId="2B96867B" w14:textId="0A5EFAA2" w:rsidR="002B7206" w:rsidRPr="00680661" w:rsidRDefault="00D854BE" w:rsidP="00D854BE">
      <w:pPr>
        <w:spacing w:line="360" w:lineRule="auto"/>
      </w:pPr>
      <w:r>
        <w:t xml:space="preserve">These are the results in relation to the evaluation of the ability of the MSRA scores to act as a “screening test” when predicting passing the CASC at first attempt. </w:t>
      </w:r>
      <w:r w:rsidR="002B7206" w:rsidRPr="00680661">
        <w:t xml:space="preserve">The </w:t>
      </w:r>
      <w:r w:rsidR="002B7206">
        <w:t>a</w:t>
      </w:r>
      <w:r w:rsidR="002B7206" w:rsidRPr="00680661">
        <w:t xml:space="preserve">rea </w:t>
      </w:r>
      <w:r w:rsidR="002B7206">
        <w:t>u</w:t>
      </w:r>
      <w:r w:rsidR="002B7206" w:rsidRPr="00680661">
        <w:t xml:space="preserve">nder the </w:t>
      </w:r>
      <w:r w:rsidR="002B7206">
        <w:t>receiver operator characteristic c</w:t>
      </w:r>
      <w:r w:rsidR="002B7206" w:rsidRPr="00680661">
        <w:t xml:space="preserve">urve (AUC) </w:t>
      </w:r>
      <w:r>
        <w:t xml:space="preserve">was </w:t>
      </w:r>
      <w:r w:rsidR="002B7206" w:rsidRPr="00680661">
        <w:t>recovered and recombined from the imputed data for the MSRA predicting a CASC pass at first attempt was 0.78 (95% confidence interval 0.75 to 0.80) and was statistically significantly larger than 0.5 (p&lt;0.001)</w:t>
      </w:r>
      <w:r w:rsidR="002B7206">
        <w:t>(</w:t>
      </w:r>
      <w:r w:rsidR="002B7206" w:rsidRPr="00680661">
        <w:t>0.5 represent</w:t>
      </w:r>
      <w:r w:rsidR="002B7206">
        <w:t>ing</w:t>
      </w:r>
      <w:r w:rsidR="002B7206" w:rsidRPr="00680661">
        <w:t xml:space="preserve"> a test no better than chance</w:t>
      </w:r>
      <w:r w:rsidR="002B7206">
        <w:t>)</w:t>
      </w:r>
      <w:r w:rsidR="002B7206" w:rsidRPr="00680661">
        <w:t>.</w:t>
      </w:r>
      <w:r w:rsidR="002B7206">
        <w:t xml:space="preserve"> </w:t>
      </w:r>
      <w:r w:rsidR="002B7206" w:rsidRPr="003A1222">
        <w:t>An MSRA cut-score of 484 provided an approximate optimum trade-off between sensitivity (73%) and specificity (72%). It</w:t>
      </w:r>
      <w:r w:rsidR="002B7206">
        <w:t xml:space="preserve"> was noted that of the 1,317 applicants that </w:t>
      </w:r>
      <w:r w:rsidR="002B7206">
        <w:lastRenderedPageBreak/>
        <w:t>scored below this putative threshold 1,031(78%) were non-UK medical graduates (for full results see Supplementary Material; Figure S</w:t>
      </w:r>
      <w:r w:rsidR="00D23DDF">
        <w:t>5</w:t>
      </w:r>
      <w:r w:rsidR="002B7206">
        <w:t xml:space="preserve"> and Tables S1 and S2).</w:t>
      </w:r>
      <w:r w:rsidR="002B7206" w:rsidRPr="00680661">
        <w:t xml:space="preserve">  </w:t>
      </w:r>
    </w:p>
    <w:p w14:paraId="7C1C5368" w14:textId="77777777" w:rsidR="00E72353" w:rsidRDefault="00E72353" w:rsidP="00440CD0">
      <w:r w:rsidRPr="00680661">
        <w:rPr>
          <w:noProof/>
          <w:lang w:eastAsia="en-GB"/>
        </w:rPr>
        <w:drawing>
          <wp:inline distT="0" distB="0" distL="0" distR="0" wp14:anchorId="19077DA2" wp14:editId="4F6B784E">
            <wp:extent cx="5731510" cy="4169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169410"/>
                    </a:xfrm>
                    <a:prstGeom prst="rect">
                      <a:avLst/>
                    </a:prstGeom>
                    <a:noFill/>
                    <a:ln>
                      <a:noFill/>
                    </a:ln>
                  </pic:spPr>
                </pic:pic>
              </a:graphicData>
            </a:graphic>
          </wp:inline>
        </w:drawing>
      </w:r>
    </w:p>
    <w:p w14:paraId="65B8BEC8" w14:textId="6F2036F4" w:rsidR="00E72353" w:rsidRPr="00680661" w:rsidRDefault="00E72353" w:rsidP="00481706">
      <w:pPr>
        <w:pStyle w:val="Caption"/>
        <w:rPr>
          <w:rStyle w:val="BookTitle"/>
          <w:b w:val="0"/>
          <w:bCs w:val="0"/>
          <w:i w:val="0"/>
          <w:iCs/>
        </w:rPr>
      </w:pPr>
      <w:r w:rsidRPr="00680661">
        <w:t>Figure</w:t>
      </w:r>
      <w:r w:rsidR="004201BF">
        <w:t xml:space="preserve"> S</w:t>
      </w:r>
      <w:r w:rsidR="007E661B">
        <w:t>5</w:t>
      </w:r>
      <w:r w:rsidRPr="00680661">
        <w:t>. The Receiver Operator Characteristic (ROC) curve for the MSRA score ‘screening’ for an unsuccessful first attempt at the CASC. Note that this curve was recovered from imputation number ‘1’ of the study dataset.</w:t>
      </w:r>
    </w:p>
    <w:p w14:paraId="7B7BDE30" w14:textId="77777777" w:rsidR="00E72353" w:rsidRPr="00680661" w:rsidRDefault="00E72353" w:rsidP="00E72353">
      <w:pPr>
        <w:pStyle w:val="Standard"/>
        <w:spacing w:line="360" w:lineRule="auto"/>
      </w:pPr>
      <w:r w:rsidRPr="00680661">
        <w:rPr>
          <w:lang w:val="en-GB"/>
        </w:rPr>
        <w:t xml:space="preserve">Stata does not offer more detailed results on ROCs derived from multiply imputed data. However, the results from imputation number ‘1’ were similar to the recombined average, in terms of an AUC of 0.78. Therefore the results, in terms of specific cut-offs and the usual accuracy metrics cited in signal theory are shown below, in </w:t>
      </w:r>
      <w:r w:rsidRPr="00680661">
        <w:t xml:space="preserve">Table </w:t>
      </w:r>
      <w:r>
        <w:rPr>
          <w:noProof/>
        </w:rPr>
        <w:t>5</w:t>
      </w:r>
      <w:r w:rsidRPr="00680661">
        <w:rPr>
          <w:lang w:val="en-GB"/>
        </w:rPr>
        <w:t>. Sensitivity is the ability to detect positive cases (i.e. those likely to fail the CASC at least once). Specificity is the ability to identify true negative cases (i.e. those very likely to pass the CASC at first attempt). The ‘</w:t>
      </w:r>
      <w:r w:rsidRPr="00680661">
        <w:rPr>
          <w:rFonts w:hint="eastAsia"/>
        </w:rPr>
        <w:t>LR+</w:t>
      </w:r>
      <w:r w:rsidRPr="00680661">
        <w:t>’</w:t>
      </w:r>
      <w:r w:rsidRPr="00680661">
        <w:rPr>
          <w:rFonts w:hint="eastAsia"/>
        </w:rPr>
        <w:t xml:space="preserve"> </w:t>
      </w:r>
      <w:r w:rsidRPr="00680661">
        <w:t xml:space="preserve">is the likelihood ratio for a positive test result, and an indicator of how effective the test is at detecting ‘true cases’ (i.e. candidates at genuine high risk of failing the CASC at least once). The LR+ is </w:t>
      </w:r>
      <w:r w:rsidRPr="00680661">
        <w:rPr>
          <w:rFonts w:hint="eastAsia"/>
        </w:rPr>
        <w:t xml:space="preserve">equivalent to the probability that a person with the </w:t>
      </w:r>
      <w:r w:rsidRPr="00680661">
        <w:t xml:space="preserve">‘condition’ </w:t>
      </w:r>
      <w:r w:rsidRPr="00680661">
        <w:rPr>
          <w:rFonts w:hint="eastAsia"/>
        </w:rPr>
        <w:t>tested positive (</w:t>
      </w:r>
      <w:r w:rsidRPr="00680661">
        <w:t xml:space="preserve">i.e. a </w:t>
      </w:r>
      <w:r w:rsidRPr="00680661">
        <w:rPr>
          <w:rFonts w:hint="eastAsia"/>
        </w:rPr>
        <w:t xml:space="preserve">true positive) divided by the probability that a person without the </w:t>
      </w:r>
      <w:r w:rsidRPr="00680661">
        <w:t xml:space="preserve">‘condition’ </w:t>
      </w:r>
      <w:r w:rsidRPr="00680661">
        <w:rPr>
          <w:rFonts w:hint="eastAsia"/>
        </w:rPr>
        <w:t xml:space="preserve">tested positive for </w:t>
      </w:r>
      <w:r w:rsidRPr="00680661">
        <w:t xml:space="preserve">it </w:t>
      </w:r>
      <w:r w:rsidRPr="00680661">
        <w:rPr>
          <w:rFonts w:hint="eastAsia"/>
        </w:rPr>
        <w:t>(</w:t>
      </w:r>
      <w:r w:rsidRPr="00680661">
        <w:t>i.e. a ‘</w:t>
      </w:r>
      <w:r w:rsidRPr="00680661">
        <w:rPr>
          <w:rFonts w:hint="eastAsia"/>
        </w:rPr>
        <w:t>false positive</w:t>
      </w:r>
      <w:r w:rsidRPr="00680661">
        <w:t>’</w:t>
      </w:r>
      <w:r w:rsidRPr="00680661">
        <w:rPr>
          <w:rFonts w:hint="eastAsia"/>
        </w:rPr>
        <w:t>).</w:t>
      </w:r>
      <w:r w:rsidRPr="00680661">
        <w:t xml:space="preserve"> Conversely, the</w:t>
      </w:r>
      <w:r w:rsidRPr="00680661">
        <w:rPr>
          <w:rFonts w:hint="eastAsia"/>
        </w:rPr>
        <w:t xml:space="preserve"> </w:t>
      </w:r>
      <w:r w:rsidRPr="00680661">
        <w:t>‘</w:t>
      </w:r>
      <w:r w:rsidRPr="00680661">
        <w:rPr>
          <w:rFonts w:hint="eastAsia"/>
        </w:rPr>
        <w:t>LR-</w:t>
      </w:r>
      <w:r w:rsidRPr="00680661">
        <w:t>’</w:t>
      </w:r>
      <w:r w:rsidRPr="00680661">
        <w:rPr>
          <w:rFonts w:hint="eastAsia"/>
        </w:rPr>
        <w:t xml:space="preserve"> is equivalent to the </w:t>
      </w:r>
      <w:r w:rsidRPr="00680661">
        <w:rPr>
          <w:rFonts w:hint="eastAsia"/>
        </w:rPr>
        <w:lastRenderedPageBreak/>
        <w:t xml:space="preserve">probability that a person with the </w:t>
      </w:r>
      <w:r w:rsidRPr="00680661">
        <w:t>‘condition’</w:t>
      </w:r>
      <w:r w:rsidRPr="00680661">
        <w:rPr>
          <w:rFonts w:hint="eastAsia"/>
        </w:rPr>
        <w:t xml:space="preserve"> tested negative for </w:t>
      </w:r>
      <w:r w:rsidRPr="00680661">
        <w:t xml:space="preserve">it </w:t>
      </w:r>
      <w:r w:rsidRPr="00680661">
        <w:rPr>
          <w:rFonts w:hint="eastAsia"/>
        </w:rPr>
        <w:t>(</w:t>
      </w:r>
      <w:r w:rsidRPr="00680661">
        <w:t>i.e. a ‘</w:t>
      </w:r>
      <w:r w:rsidRPr="00680661">
        <w:rPr>
          <w:rFonts w:hint="eastAsia"/>
        </w:rPr>
        <w:t>false negative</w:t>
      </w:r>
      <w:r w:rsidRPr="00680661">
        <w:t>’</w:t>
      </w:r>
      <w:r w:rsidRPr="00680661">
        <w:rPr>
          <w:rFonts w:hint="eastAsia"/>
        </w:rPr>
        <w:t>) divided by the probability that a person w</w:t>
      </w:r>
      <w:r w:rsidRPr="00680661">
        <w:t>as a</w:t>
      </w:r>
      <w:r w:rsidRPr="00680661">
        <w:rPr>
          <w:rFonts w:hint="eastAsia"/>
        </w:rPr>
        <w:t xml:space="preserve"> </w:t>
      </w:r>
      <w:r w:rsidRPr="00680661">
        <w:t>‘</w:t>
      </w:r>
      <w:r w:rsidRPr="00680661">
        <w:rPr>
          <w:rFonts w:hint="eastAsia"/>
        </w:rPr>
        <w:t>true negative</w:t>
      </w:r>
      <w:r w:rsidRPr="00680661">
        <w:t>’</w:t>
      </w:r>
      <w:r w:rsidRPr="00680661">
        <w:rPr>
          <w:rFonts w:hint="eastAsia"/>
        </w:rPr>
        <w:t>.</w:t>
      </w:r>
      <w:r w:rsidRPr="00680661">
        <w:t xml:space="preserve"> As can be seen from Table </w:t>
      </w:r>
      <w:r w:rsidRPr="00680661">
        <w:rPr>
          <w:noProof/>
        </w:rPr>
        <w:t>5, a</w:t>
      </w:r>
      <w:r w:rsidRPr="00680661">
        <w:t xml:space="preserve"> hypothetical</w:t>
      </w:r>
      <w:r w:rsidR="00C17782">
        <w:t xml:space="preserve"> </w:t>
      </w:r>
      <w:r w:rsidRPr="00680661">
        <w:t xml:space="preserve">MRSA cut-score of 484 provides a balance (trade-off) between sensitivity and specificity, with both exceeding 70%.  </w:t>
      </w:r>
    </w:p>
    <w:p w14:paraId="5A07C7FB" w14:textId="77777777" w:rsidR="00E72353" w:rsidRPr="00680661" w:rsidRDefault="00E72353" w:rsidP="00E72353">
      <w:pPr>
        <w:pStyle w:val="Standard"/>
        <w:spacing w:line="360" w:lineRule="auto"/>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9"/>
        <w:gridCol w:w="1336"/>
        <w:gridCol w:w="1230"/>
        <w:gridCol w:w="3378"/>
        <w:gridCol w:w="992"/>
        <w:gridCol w:w="1276"/>
      </w:tblGrid>
      <w:tr w:rsidR="00E72353" w:rsidRPr="00680661" w14:paraId="79BF7BF9" w14:textId="77777777" w:rsidTr="001E07A3">
        <w:tc>
          <w:tcPr>
            <w:tcW w:w="1569" w:type="dxa"/>
            <w:tcBorders>
              <w:top w:val="single" w:sz="4" w:space="0" w:color="auto"/>
              <w:bottom w:val="single" w:sz="4" w:space="0" w:color="auto"/>
            </w:tcBorders>
            <w:shd w:val="clear" w:color="auto" w:fill="F2F2F2" w:themeFill="background1" w:themeFillShade="F2"/>
          </w:tcPr>
          <w:p w14:paraId="778FBB6D" w14:textId="77777777" w:rsidR="00E72353" w:rsidRPr="00680661" w:rsidRDefault="00E72353" w:rsidP="001E07A3">
            <w:pPr>
              <w:rPr>
                <w:sz w:val="22"/>
                <w:szCs w:val="22"/>
              </w:rPr>
            </w:pPr>
            <w:r w:rsidRPr="00680661">
              <w:rPr>
                <w:sz w:val="22"/>
                <w:szCs w:val="22"/>
              </w:rPr>
              <w:t>Cut-point</w:t>
            </w:r>
          </w:p>
        </w:tc>
        <w:tc>
          <w:tcPr>
            <w:tcW w:w="1336" w:type="dxa"/>
            <w:tcBorders>
              <w:top w:val="single" w:sz="4" w:space="0" w:color="auto"/>
              <w:bottom w:val="single" w:sz="4" w:space="0" w:color="auto"/>
            </w:tcBorders>
            <w:shd w:val="clear" w:color="auto" w:fill="F2F2F2" w:themeFill="background1" w:themeFillShade="F2"/>
          </w:tcPr>
          <w:p w14:paraId="60163D3B" w14:textId="77777777" w:rsidR="00E72353" w:rsidRPr="00680661" w:rsidRDefault="00E72353" w:rsidP="001E07A3">
            <w:pPr>
              <w:jc w:val="center"/>
              <w:rPr>
                <w:sz w:val="22"/>
                <w:szCs w:val="22"/>
              </w:rPr>
            </w:pPr>
            <w:r w:rsidRPr="00680661">
              <w:rPr>
                <w:sz w:val="22"/>
                <w:szCs w:val="22"/>
              </w:rPr>
              <w:t>Sensitivity</w:t>
            </w:r>
          </w:p>
        </w:tc>
        <w:tc>
          <w:tcPr>
            <w:tcW w:w="1230" w:type="dxa"/>
            <w:tcBorders>
              <w:top w:val="single" w:sz="4" w:space="0" w:color="auto"/>
              <w:bottom w:val="single" w:sz="4" w:space="0" w:color="auto"/>
            </w:tcBorders>
            <w:shd w:val="clear" w:color="auto" w:fill="F2F2F2" w:themeFill="background1" w:themeFillShade="F2"/>
          </w:tcPr>
          <w:p w14:paraId="5037EB5B" w14:textId="77777777" w:rsidR="00E72353" w:rsidRPr="00680661" w:rsidRDefault="00E72353" w:rsidP="001E07A3">
            <w:pPr>
              <w:jc w:val="center"/>
              <w:rPr>
                <w:sz w:val="22"/>
                <w:szCs w:val="22"/>
              </w:rPr>
            </w:pPr>
            <w:r w:rsidRPr="00680661">
              <w:rPr>
                <w:sz w:val="22"/>
                <w:szCs w:val="22"/>
              </w:rPr>
              <w:t>Specificity</w:t>
            </w:r>
          </w:p>
        </w:tc>
        <w:tc>
          <w:tcPr>
            <w:tcW w:w="3378" w:type="dxa"/>
            <w:tcBorders>
              <w:top w:val="single" w:sz="4" w:space="0" w:color="auto"/>
              <w:bottom w:val="single" w:sz="4" w:space="0" w:color="auto"/>
            </w:tcBorders>
            <w:shd w:val="clear" w:color="auto" w:fill="F2F2F2" w:themeFill="background1" w:themeFillShade="F2"/>
          </w:tcPr>
          <w:p w14:paraId="0C4CE39E" w14:textId="77777777" w:rsidR="00E72353" w:rsidRPr="00680661" w:rsidRDefault="00E72353" w:rsidP="001E07A3">
            <w:pPr>
              <w:jc w:val="center"/>
              <w:rPr>
                <w:sz w:val="22"/>
                <w:szCs w:val="22"/>
              </w:rPr>
            </w:pPr>
            <w:r w:rsidRPr="00680661">
              <w:rPr>
                <w:sz w:val="22"/>
                <w:szCs w:val="22"/>
              </w:rPr>
              <w:t>Correctly classified</w:t>
            </w:r>
          </w:p>
        </w:tc>
        <w:tc>
          <w:tcPr>
            <w:tcW w:w="992" w:type="dxa"/>
            <w:tcBorders>
              <w:top w:val="single" w:sz="4" w:space="0" w:color="auto"/>
              <w:bottom w:val="single" w:sz="4" w:space="0" w:color="auto"/>
            </w:tcBorders>
            <w:shd w:val="clear" w:color="auto" w:fill="F2F2F2" w:themeFill="background1" w:themeFillShade="F2"/>
          </w:tcPr>
          <w:p w14:paraId="7CC4EAE7" w14:textId="77777777" w:rsidR="00E72353" w:rsidRPr="00680661" w:rsidRDefault="00E72353" w:rsidP="001E07A3">
            <w:pPr>
              <w:jc w:val="center"/>
              <w:rPr>
                <w:sz w:val="22"/>
                <w:szCs w:val="22"/>
              </w:rPr>
            </w:pPr>
            <w:r w:rsidRPr="00680661">
              <w:rPr>
                <w:sz w:val="22"/>
                <w:szCs w:val="22"/>
              </w:rPr>
              <w:t>LR+</w:t>
            </w:r>
          </w:p>
        </w:tc>
        <w:tc>
          <w:tcPr>
            <w:tcW w:w="1276" w:type="dxa"/>
            <w:tcBorders>
              <w:top w:val="single" w:sz="4" w:space="0" w:color="auto"/>
              <w:bottom w:val="single" w:sz="4" w:space="0" w:color="auto"/>
            </w:tcBorders>
            <w:shd w:val="clear" w:color="auto" w:fill="F2F2F2" w:themeFill="background1" w:themeFillShade="F2"/>
          </w:tcPr>
          <w:p w14:paraId="29749D33" w14:textId="77777777" w:rsidR="00E72353" w:rsidRPr="00680661" w:rsidRDefault="00E72353" w:rsidP="001E07A3">
            <w:pPr>
              <w:jc w:val="center"/>
              <w:rPr>
                <w:sz w:val="22"/>
                <w:szCs w:val="22"/>
              </w:rPr>
            </w:pPr>
            <w:r w:rsidRPr="00680661">
              <w:rPr>
                <w:sz w:val="22"/>
                <w:szCs w:val="22"/>
              </w:rPr>
              <w:t>LR-</w:t>
            </w:r>
          </w:p>
        </w:tc>
      </w:tr>
      <w:tr w:rsidR="00E72353" w:rsidRPr="00680661" w14:paraId="2DEA239F" w14:textId="77777777" w:rsidTr="001E07A3">
        <w:tc>
          <w:tcPr>
            <w:tcW w:w="1569" w:type="dxa"/>
            <w:tcBorders>
              <w:top w:val="single" w:sz="4" w:space="0" w:color="auto"/>
            </w:tcBorders>
          </w:tcPr>
          <w:p w14:paraId="4204067A" w14:textId="77777777" w:rsidR="00E72353" w:rsidRPr="00680661" w:rsidRDefault="00E72353" w:rsidP="001E07A3">
            <w:pPr>
              <w:rPr>
                <w:sz w:val="20"/>
                <w:szCs w:val="20"/>
              </w:rPr>
            </w:pPr>
            <w:r w:rsidRPr="00680661">
              <w:rPr>
                <w:sz w:val="20"/>
                <w:szCs w:val="20"/>
              </w:rPr>
              <w:t>&gt;=265</w:t>
            </w:r>
          </w:p>
        </w:tc>
        <w:tc>
          <w:tcPr>
            <w:tcW w:w="1336" w:type="dxa"/>
            <w:tcBorders>
              <w:top w:val="single" w:sz="4" w:space="0" w:color="auto"/>
            </w:tcBorders>
          </w:tcPr>
          <w:p w14:paraId="2F795C73" w14:textId="77777777" w:rsidR="00E72353" w:rsidRPr="00680661" w:rsidRDefault="00E72353" w:rsidP="001E07A3">
            <w:pPr>
              <w:jc w:val="center"/>
              <w:rPr>
                <w:sz w:val="20"/>
                <w:szCs w:val="20"/>
              </w:rPr>
            </w:pPr>
            <w:r w:rsidRPr="00680661">
              <w:rPr>
                <w:sz w:val="20"/>
                <w:szCs w:val="20"/>
              </w:rPr>
              <w:t>99.93%</w:t>
            </w:r>
          </w:p>
        </w:tc>
        <w:tc>
          <w:tcPr>
            <w:tcW w:w="1230" w:type="dxa"/>
            <w:tcBorders>
              <w:top w:val="single" w:sz="4" w:space="0" w:color="auto"/>
            </w:tcBorders>
          </w:tcPr>
          <w:p w14:paraId="5DDC715B" w14:textId="77777777" w:rsidR="00E72353" w:rsidRPr="00680661" w:rsidRDefault="00E72353" w:rsidP="001E07A3">
            <w:pPr>
              <w:jc w:val="center"/>
              <w:rPr>
                <w:sz w:val="20"/>
                <w:szCs w:val="20"/>
              </w:rPr>
            </w:pPr>
            <w:r w:rsidRPr="00680661">
              <w:rPr>
                <w:sz w:val="20"/>
                <w:szCs w:val="20"/>
              </w:rPr>
              <w:t>0.12%</w:t>
            </w:r>
          </w:p>
        </w:tc>
        <w:tc>
          <w:tcPr>
            <w:tcW w:w="3378" w:type="dxa"/>
            <w:tcBorders>
              <w:top w:val="single" w:sz="4" w:space="0" w:color="auto"/>
            </w:tcBorders>
          </w:tcPr>
          <w:p w14:paraId="6CF59822" w14:textId="77777777" w:rsidR="00E72353" w:rsidRPr="00680661" w:rsidRDefault="00E72353" w:rsidP="001E07A3">
            <w:pPr>
              <w:jc w:val="center"/>
              <w:rPr>
                <w:sz w:val="20"/>
                <w:szCs w:val="20"/>
              </w:rPr>
            </w:pPr>
            <w:r w:rsidRPr="00680661">
              <w:rPr>
                <w:sz w:val="20"/>
                <w:szCs w:val="20"/>
              </w:rPr>
              <w:t>76.89%</w:t>
            </w:r>
          </w:p>
        </w:tc>
        <w:tc>
          <w:tcPr>
            <w:tcW w:w="992" w:type="dxa"/>
            <w:tcBorders>
              <w:top w:val="single" w:sz="4" w:space="0" w:color="auto"/>
            </w:tcBorders>
          </w:tcPr>
          <w:p w14:paraId="24DA35A8" w14:textId="77777777" w:rsidR="00E72353" w:rsidRPr="00680661" w:rsidRDefault="00E72353" w:rsidP="001E07A3">
            <w:pPr>
              <w:jc w:val="center"/>
              <w:rPr>
                <w:sz w:val="20"/>
                <w:szCs w:val="20"/>
              </w:rPr>
            </w:pPr>
            <w:r w:rsidRPr="00680661">
              <w:rPr>
                <w:sz w:val="20"/>
                <w:szCs w:val="20"/>
              </w:rPr>
              <w:t>1.0005</w:t>
            </w:r>
          </w:p>
        </w:tc>
        <w:tc>
          <w:tcPr>
            <w:tcW w:w="1276" w:type="dxa"/>
            <w:tcBorders>
              <w:top w:val="single" w:sz="4" w:space="0" w:color="auto"/>
            </w:tcBorders>
          </w:tcPr>
          <w:p w14:paraId="624937AF" w14:textId="77777777" w:rsidR="00E72353" w:rsidRPr="00680661" w:rsidRDefault="00E72353" w:rsidP="001E07A3">
            <w:pPr>
              <w:jc w:val="center"/>
              <w:rPr>
                <w:sz w:val="20"/>
                <w:szCs w:val="20"/>
              </w:rPr>
            </w:pPr>
            <w:r w:rsidRPr="00680661">
              <w:rPr>
                <w:sz w:val="20"/>
                <w:szCs w:val="20"/>
              </w:rPr>
              <w:t>0.6000</w:t>
            </w:r>
          </w:p>
        </w:tc>
      </w:tr>
      <w:tr w:rsidR="00E72353" w:rsidRPr="00680661" w14:paraId="01EA3B58" w14:textId="77777777" w:rsidTr="001E07A3">
        <w:tc>
          <w:tcPr>
            <w:tcW w:w="1569" w:type="dxa"/>
          </w:tcPr>
          <w:p w14:paraId="0A654596" w14:textId="77777777" w:rsidR="00E72353" w:rsidRPr="00680661" w:rsidRDefault="00E72353" w:rsidP="001E07A3">
            <w:pPr>
              <w:rPr>
                <w:sz w:val="20"/>
                <w:szCs w:val="20"/>
              </w:rPr>
            </w:pPr>
            <w:r w:rsidRPr="00680661">
              <w:rPr>
                <w:sz w:val="20"/>
                <w:szCs w:val="20"/>
              </w:rPr>
              <w:t>&gt;=340</w:t>
            </w:r>
          </w:p>
        </w:tc>
        <w:tc>
          <w:tcPr>
            <w:tcW w:w="1336" w:type="dxa"/>
          </w:tcPr>
          <w:p w14:paraId="6A2B2F28" w14:textId="77777777" w:rsidR="00E72353" w:rsidRPr="00680661" w:rsidRDefault="00E72353" w:rsidP="001E07A3">
            <w:pPr>
              <w:jc w:val="center"/>
              <w:rPr>
                <w:sz w:val="20"/>
                <w:szCs w:val="20"/>
              </w:rPr>
            </w:pPr>
            <w:r w:rsidRPr="00680661">
              <w:rPr>
                <w:sz w:val="20"/>
                <w:szCs w:val="20"/>
              </w:rPr>
              <w:t>99.26%</w:t>
            </w:r>
          </w:p>
        </w:tc>
        <w:tc>
          <w:tcPr>
            <w:tcW w:w="1230" w:type="dxa"/>
          </w:tcPr>
          <w:p w14:paraId="15BCFD0E" w14:textId="77777777" w:rsidR="00E72353" w:rsidRPr="00680661" w:rsidRDefault="00E72353" w:rsidP="001E07A3">
            <w:pPr>
              <w:jc w:val="center"/>
              <w:rPr>
                <w:sz w:val="20"/>
                <w:szCs w:val="20"/>
              </w:rPr>
            </w:pPr>
            <w:r w:rsidRPr="00680661">
              <w:rPr>
                <w:sz w:val="20"/>
                <w:szCs w:val="20"/>
              </w:rPr>
              <w:t>5.43%</w:t>
            </w:r>
          </w:p>
        </w:tc>
        <w:tc>
          <w:tcPr>
            <w:tcW w:w="3378" w:type="dxa"/>
          </w:tcPr>
          <w:p w14:paraId="0E44CEAA" w14:textId="77777777" w:rsidR="00E72353" w:rsidRPr="00680661" w:rsidRDefault="00E72353" w:rsidP="001E07A3">
            <w:pPr>
              <w:jc w:val="center"/>
              <w:rPr>
                <w:sz w:val="20"/>
                <w:szCs w:val="20"/>
              </w:rPr>
            </w:pPr>
            <w:r w:rsidRPr="00680661">
              <w:rPr>
                <w:sz w:val="20"/>
                <w:szCs w:val="20"/>
              </w:rPr>
              <w:t>77.61%</w:t>
            </w:r>
          </w:p>
        </w:tc>
        <w:tc>
          <w:tcPr>
            <w:tcW w:w="992" w:type="dxa"/>
          </w:tcPr>
          <w:p w14:paraId="00B91BAA" w14:textId="77777777" w:rsidR="00E72353" w:rsidRPr="00680661" w:rsidRDefault="00E72353" w:rsidP="001E07A3">
            <w:pPr>
              <w:jc w:val="center"/>
              <w:rPr>
                <w:sz w:val="20"/>
                <w:szCs w:val="20"/>
              </w:rPr>
            </w:pPr>
            <w:r w:rsidRPr="00680661">
              <w:rPr>
                <w:sz w:val="20"/>
                <w:szCs w:val="20"/>
              </w:rPr>
              <w:t>1.0496</w:t>
            </w:r>
          </w:p>
        </w:tc>
        <w:tc>
          <w:tcPr>
            <w:tcW w:w="1276" w:type="dxa"/>
          </w:tcPr>
          <w:p w14:paraId="5866FC4F" w14:textId="77777777" w:rsidR="00E72353" w:rsidRPr="00680661" w:rsidRDefault="00E72353" w:rsidP="001E07A3">
            <w:pPr>
              <w:jc w:val="center"/>
              <w:rPr>
                <w:sz w:val="20"/>
                <w:szCs w:val="20"/>
              </w:rPr>
            </w:pPr>
            <w:r w:rsidRPr="00680661">
              <w:rPr>
                <w:sz w:val="20"/>
                <w:szCs w:val="20"/>
              </w:rPr>
              <w:t>0.1364</w:t>
            </w:r>
          </w:p>
        </w:tc>
      </w:tr>
      <w:tr w:rsidR="00E72353" w:rsidRPr="00680661" w14:paraId="696A73C2" w14:textId="77777777" w:rsidTr="001E07A3">
        <w:tc>
          <w:tcPr>
            <w:tcW w:w="1569" w:type="dxa"/>
          </w:tcPr>
          <w:p w14:paraId="11F35957" w14:textId="77777777" w:rsidR="00E72353" w:rsidRPr="00680661" w:rsidRDefault="00E72353" w:rsidP="001E07A3">
            <w:pPr>
              <w:rPr>
                <w:sz w:val="20"/>
                <w:szCs w:val="20"/>
              </w:rPr>
            </w:pPr>
            <w:r w:rsidRPr="00680661">
              <w:rPr>
                <w:sz w:val="20"/>
                <w:szCs w:val="20"/>
              </w:rPr>
              <w:t>&gt;=400</w:t>
            </w:r>
          </w:p>
        </w:tc>
        <w:tc>
          <w:tcPr>
            <w:tcW w:w="1336" w:type="dxa"/>
          </w:tcPr>
          <w:p w14:paraId="3FB72531" w14:textId="77777777" w:rsidR="00E72353" w:rsidRPr="00680661" w:rsidRDefault="00E72353" w:rsidP="001E07A3">
            <w:pPr>
              <w:jc w:val="center"/>
              <w:rPr>
                <w:sz w:val="20"/>
                <w:szCs w:val="20"/>
              </w:rPr>
            </w:pPr>
            <w:r w:rsidRPr="00680661">
              <w:rPr>
                <w:sz w:val="20"/>
                <w:szCs w:val="20"/>
              </w:rPr>
              <w:t>95.26%</w:t>
            </w:r>
          </w:p>
        </w:tc>
        <w:tc>
          <w:tcPr>
            <w:tcW w:w="1230" w:type="dxa"/>
          </w:tcPr>
          <w:p w14:paraId="701A9753" w14:textId="77777777" w:rsidR="00E72353" w:rsidRPr="00680661" w:rsidRDefault="00E72353" w:rsidP="001E07A3">
            <w:pPr>
              <w:jc w:val="center"/>
              <w:rPr>
                <w:sz w:val="20"/>
                <w:szCs w:val="20"/>
              </w:rPr>
            </w:pPr>
            <w:r w:rsidRPr="00680661">
              <w:rPr>
                <w:sz w:val="20"/>
                <w:szCs w:val="20"/>
              </w:rPr>
              <w:t>23.95%</w:t>
            </w:r>
          </w:p>
        </w:tc>
        <w:tc>
          <w:tcPr>
            <w:tcW w:w="3378" w:type="dxa"/>
          </w:tcPr>
          <w:p w14:paraId="472C32C7" w14:textId="77777777" w:rsidR="00E72353" w:rsidRPr="00680661" w:rsidRDefault="00E72353" w:rsidP="001E07A3">
            <w:pPr>
              <w:jc w:val="center"/>
              <w:rPr>
                <w:sz w:val="20"/>
                <w:szCs w:val="20"/>
              </w:rPr>
            </w:pPr>
            <w:r w:rsidRPr="00680661">
              <w:rPr>
                <w:sz w:val="20"/>
                <w:szCs w:val="20"/>
              </w:rPr>
              <w:t>78.80%</w:t>
            </w:r>
          </w:p>
        </w:tc>
        <w:tc>
          <w:tcPr>
            <w:tcW w:w="992" w:type="dxa"/>
          </w:tcPr>
          <w:p w14:paraId="05A4DE3A" w14:textId="77777777" w:rsidR="00E72353" w:rsidRPr="00680661" w:rsidRDefault="00E72353" w:rsidP="001E07A3">
            <w:pPr>
              <w:jc w:val="center"/>
              <w:rPr>
                <w:sz w:val="20"/>
                <w:szCs w:val="20"/>
              </w:rPr>
            </w:pPr>
            <w:r w:rsidRPr="00680661">
              <w:rPr>
                <w:sz w:val="20"/>
                <w:szCs w:val="20"/>
              </w:rPr>
              <w:t>1.2526</w:t>
            </w:r>
          </w:p>
        </w:tc>
        <w:tc>
          <w:tcPr>
            <w:tcW w:w="1276" w:type="dxa"/>
          </w:tcPr>
          <w:p w14:paraId="20EE1A0F" w14:textId="77777777" w:rsidR="00E72353" w:rsidRPr="00680661" w:rsidRDefault="00E72353" w:rsidP="001E07A3">
            <w:pPr>
              <w:jc w:val="center"/>
              <w:rPr>
                <w:sz w:val="20"/>
                <w:szCs w:val="20"/>
              </w:rPr>
            </w:pPr>
            <w:r w:rsidRPr="00680661">
              <w:rPr>
                <w:sz w:val="20"/>
                <w:szCs w:val="20"/>
              </w:rPr>
              <w:t>0.1979</w:t>
            </w:r>
          </w:p>
        </w:tc>
      </w:tr>
      <w:tr w:rsidR="00E72353" w:rsidRPr="00680661" w14:paraId="4E6F569F" w14:textId="77777777" w:rsidTr="001E07A3">
        <w:tc>
          <w:tcPr>
            <w:tcW w:w="1569" w:type="dxa"/>
          </w:tcPr>
          <w:p w14:paraId="33E7D02A" w14:textId="77777777" w:rsidR="00E72353" w:rsidRPr="00680661" w:rsidRDefault="00E72353" w:rsidP="001E07A3">
            <w:pPr>
              <w:rPr>
                <w:sz w:val="20"/>
                <w:szCs w:val="20"/>
              </w:rPr>
            </w:pPr>
            <w:r w:rsidRPr="00680661">
              <w:rPr>
                <w:sz w:val="20"/>
                <w:szCs w:val="20"/>
              </w:rPr>
              <w:t>&gt;=450</w:t>
            </w:r>
          </w:p>
        </w:tc>
        <w:tc>
          <w:tcPr>
            <w:tcW w:w="1336" w:type="dxa"/>
          </w:tcPr>
          <w:p w14:paraId="5F29AA4E" w14:textId="77777777" w:rsidR="00E72353" w:rsidRPr="00680661" w:rsidRDefault="00E72353" w:rsidP="001E07A3">
            <w:pPr>
              <w:jc w:val="center"/>
              <w:rPr>
                <w:sz w:val="20"/>
                <w:szCs w:val="20"/>
              </w:rPr>
            </w:pPr>
            <w:r w:rsidRPr="00680661">
              <w:rPr>
                <w:sz w:val="20"/>
                <w:szCs w:val="20"/>
              </w:rPr>
              <w:t>84.85%</w:t>
            </w:r>
          </w:p>
        </w:tc>
        <w:tc>
          <w:tcPr>
            <w:tcW w:w="1230" w:type="dxa"/>
          </w:tcPr>
          <w:p w14:paraId="5C776460" w14:textId="77777777" w:rsidR="00E72353" w:rsidRPr="00680661" w:rsidRDefault="00E72353" w:rsidP="001E07A3">
            <w:pPr>
              <w:jc w:val="center"/>
              <w:rPr>
                <w:sz w:val="20"/>
                <w:szCs w:val="20"/>
              </w:rPr>
            </w:pPr>
            <w:r w:rsidRPr="00680661">
              <w:rPr>
                <w:sz w:val="20"/>
                <w:szCs w:val="20"/>
              </w:rPr>
              <w:t>52.72%</w:t>
            </w:r>
          </w:p>
        </w:tc>
        <w:tc>
          <w:tcPr>
            <w:tcW w:w="3378" w:type="dxa"/>
          </w:tcPr>
          <w:p w14:paraId="6B52A23F" w14:textId="77777777" w:rsidR="00E72353" w:rsidRPr="00680661" w:rsidRDefault="00E72353" w:rsidP="001E07A3">
            <w:pPr>
              <w:jc w:val="center"/>
              <w:rPr>
                <w:sz w:val="20"/>
                <w:szCs w:val="20"/>
              </w:rPr>
            </w:pPr>
            <w:r w:rsidRPr="00680661">
              <w:rPr>
                <w:sz w:val="20"/>
                <w:szCs w:val="20"/>
              </w:rPr>
              <w:t>77.44%</w:t>
            </w:r>
          </w:p>
        </w:tc>
        <w:tc>
          <w:tcPr>
            <w:tcW w:w="992" w:type="dxa"/>
          </w:tcPr>
          <w:p w14:paraId="5C272FE3" w14:textId="77777777" w:rsidR="00E72353" w:rsidRPr="00680661" w:rsidRDefault="00E72353" w:rsidP="001E07A3">
            <w:pPr>
              <w:jc w:val="center"/>
              <w:rPr>
                <w:sz w:val="20"/>
                <w:szCs w:val="20"/>
              </w:rPr>
            </w:pPr>
            <w:r w:rsidRPr="00680661">
              <w:rPr>
                <w:sz w:val="20"/>
                <w:szCs w:val="20"/>
              </w:rPr>
              <w:t>1.7945</w:t>
            </w:r>
          </w:p>
        </w:tc>
        <w:tc>
          <w:tcPr>
            <w:tcW w:w="1276" w:type="dxa"/>
          </w:tcPr>
          <w:p w14:paraId="666511F8" w14:textId="77777777" w:rsidR="00E72353" w:rsidRPr="00680661" w:rsidRDefault="00E72353" w:rsidP="001E07A3">
            <w:pPr>
              <w:jc w:val="center"/>
              <w:rPr>
                <w:sz w:val="20"/>
                <w:szCs w:val="20"/>
              </w:rPr>
            </w:pPr>
            <w:r w:rsidRPr="00680661">
              <w:rPr>
                <w:sz w:val="20"/>
                <w:szCs w:val="20"/>
              </w:rPr>
              <w:t>0.2874</w:t>
            </w:r>
          </w:p>
        </w:tc>
      </w:tr>
      <w:tr w:rsidR="00E72353" w:rsidRPr="00680661" w14:paraId="5375B655" w14:textId="77777777" w:rsidTr="001E07A3">
        <w:tc>
          <w:tcPr>
            <w:tcW w:w="1569" w:type="dxa"/>
          </w:tcPr>
          <w:p w14:paraId="205AF173" w14:textId="77777777" w:rsidR="00E72353" w:rsidRPr="00680661" w:rsidRDefault="00E72353" w:rsidP="001E07A3">
            <w:pPr>
              <w:rPr>
                <w:sz w:val="20"/>
                <w:szCs w:val="20"/>
              </w:rPr>
            </w:pPr>
            <w:r w:rsidRPr="00680661">
              <w:rPr>
                <w:sz w:val="20"/>
                <w:szCs w:val="20"/>
              </w:rPr>
              <w:t>&gt;=484</w:t>
            </w:r>
          </w:p>
        </w:tc>
        <w:tc>
          <w:tcPr>
            <w:tcW w:w="1336" w:type="dxa"/>
          </w:tcPr>
          <w:p w14:paraId="5BED7A87" w14:textId="77777777" w:rsidR="00E72353" w:rsidRPr="00680661" w:rsidRDefault="00E72353" w:rsidP="001E07A3">
            <w:pPr>
              <w:jc w:val="center"/>
              <w:rPr>
                <w:sz w:val="20"/>
                <w:szCs w:val="20"/>
              </w:rPr>
            </w:pPr>
            <w:r w:rsidRPr="00680661">
              <w:rPr>
                <w:sz w:val="20"/>
                <w:szCs w:val="20"/>
              </w:rPr>
              <w:t>72.81%</w:t>
            </w:r>
          </w:p>
        </w:tc>
        <w:tc>
          <w:tcPr>
            <w:tcW w:w="1230" w:type="dxa"/>
          </w:tcPr>
          <w:p w14:paraId="40827E43" w14:textId="77777777" w:rsidR="00E72353" w:rsidRPr="00680661" w:rsidRDefault="00E72353" w:rsidP="001E07A3">
            <w:pPr>
              <w:jc w:val="center"/>
              <w:rPr>
                <w:sz w:val="20"/>
                <w:szCs w:val="20"/>
              </w:rPr>
            </w:pPr>
            <w:r w:rsidRPr="00680661">
              <w:rPr>
                <w:sz w:val="20"/>
                <w:szCs w:val="20"/>
              </w:rPr>
              <w:t>71.98%</w:t>
            </w:r>
          </w:p>
        </w:tc>
        <w:tc>
          <w:tcPr>
            <w:tcW w:w="3378" w:type="dxa"/>
          </w:tcPr>
          <w:p w14:paraId="6932956C" w14:textId="77777777" w:rsidR="00E72353" w:rsidRPr="00680661" w:rsidRDefault="00E72353" w:rsidP="001E07A3">
            <w:pPr>
              <w:jc w:val="center"/>
              <w:rPr>
                <w:sz w:val="20"/>
                <w:szCs w:val="20"/>
              </w:rPr>
            </w:pPr>
            <w:r w:rsidRPr="00680661">
              <w:rPr>
                <w:sz w:val="20"/>
                <w:szCs w:val="20"/>
              </w:rPr>
              <w:t>72.62%</w:t>
            </w:r>
          </w:p>
        </w:tc>
        <w:tc>
          <w:tcPr>
            <w:tcW w:w="992" w:type="dxa"/>
          </w:tcPr>
          <w:p w14:paraId="549B3C35" w14:textId="77777777" w:rsidR="00E72353" w:rsidRPr="00680661" w:rsidRDefault="00E72353" w:rsidP="001E07A3">
            <w:pPr>
              <w:jc w:val="center"/>
              <w:rPr>
                <w:sz w:val="20"/>
                <w:szCs w:val="20"/>
              </w:rPr>
            </w:pPr>
            <w:r w:rsidRPr="00680661">
              <w:rPr>
                <w:sz w:val="20"/>
                <w:szCs w:val="20"/>
              </w:rPr>
              <w:t>2.5982</w:t>
            </w:r>
          </w:p>
        </w:tc>
        <w:tc>
          <w:tcPr>
            <w:tcW w:w="1276" w:type="dxa"/>
          </w:tcPr>
          <w:p w14:paraId="62618D47" w14:textId="77777777" w:rsidR="00E72353" w:rsidRPr="00680661" w:rsidRDefault="00E72353" w:rsidP="001E07A3">
            <w:pPr>
              <w:jc w:val="center"/>
              <w:rPr>
                <w:sz w:val="20"/>
                <w:szCs w:val="20"/>
              </w:rPr>
            </w:pPr>
            <w:r w:rsidRPr="00680661">
              <w:rPr>
                <w:sz w:val="20"/>
                <w:szCs w:val="20"/>
              </w:rPr>
              <w:t>0.3777</w:t>
            </w:r>
          </w:p>
        </w:tc>
      </w:tr>
      <w:tr w:rsidR="00E72353" w:rsidRPr="00680661" w14:paraId="1E6D3F38" w14:textId="77777777" w:rsidTr="001E07A3">
        <w:tc>
          <w:tcPr>
            <w:tcW w:w="1569" w:type="dxa"/>
          </w:tcPr>
          <w:p w14:paraId="65E0B70A" w14:textId="77777777" w:rsidR="00E72353" w:rsidRPr="00680661" w:rsidRDefault="00E72353" w:rsidP="001E07A3">
            <w:pPr>
              <w:rPr>
                <w:sz w:val="20"/>
                <w:szCs w:val="20"/>
              </w:rPr>
            </w:pPr>
            <w:r w:rsidRPr="00680661">
              <w:rPr>
                <w:sz w:val="20"/>
                <w:szCs w:val="20"/>
              </w:rPr>
              <w:t>&gt;=500</w:t>
            </w:r>
          </w:p>
        </w:tc>
        <w:tc>
          <w:tcPr>
            <w:tcW w:w="1336" w:type="dxa"/>
          </w:tcPr>
          <w:p w14:paraId="78DAE481" w14:textId="77777777" w:rsidR="00E72353" w:rsidRPr="00680661" w:rsidRDefault="00E72353" w:rsidP="001E07A3">
            <w:pPr>
              <w:jc w:val="center"/>
              <w:rPr>
                <w:sz w:val="20"/>
                <w:szCs w:val="20"/>
              </w:rPr>
            </w:pPr>
            <w:r w:rsidRPr="00680661">
              <w:rPr>
                <w:sz w:val="20"/>
                <w:szCs w:val="20"/>
              </w:rPr>
              <w:t>65.37%</w:t>
            </w:r>
          </w:p>
        </w:tc>
        <w:tc>
          <w:tcPr>
            <w:tcW w:w="1230" w:type="dxa"/>
          </w:tcPr>
          <w:p w14:paraId="007D1BF5" w14:textId="77777777" w:rsidR="00E72353" w:rsidRPr="00680661" w:rsidRDefault="00E72353" w:rsidP="001E07A3">
            <w:pPr>
              <w:jc w:val="center"/>
              <w:rPr>
                <w:sz w:val="20"/>
                <w:szCs w:val="20"/>
              </w:rPr>
            </w:pPr>
            <w:r w:rsidRPr="00680661">
              <w:rPr>
                <w:sz w:val="20"/>
                <w:szCs w:val="20"/>
              </w:rPr>
              <w:t>79.63%</w:t>
            </w:r>
          </w:p>
        </w:tc>
        <w:tc>
          <w:tcPr>
            <w:tcW w:w="3378" w:type="dxa"/>
          </w:tcPr>
          <w:p w14:paraId="5AA6397A" w14:textId="77777777" w:rsidR="00E72353" w:rsidRPr="00680661" w:rsidRDefault="00E72353" w:rsidP="001E07A3">
            <w:pPr>
              <w:jc w:val="center"/>
              <w:rPr>
                <w:sz w:val="20"/>
                <w:szCs w:val="20"/>
              </w:rPr>
            </w:pPr>
            <w:r w:rsidRPr="00680661">
              <w:rPr>
                <w:sz w:val="20"/>
                <w:szCs w:val="20"/>
              </w:rPr>
              <w:t>68.66%</w:t>
            </w:r>
          </w:p>
        </w:tc>
        <w:tc>
          <w:tcPr>
            <w:tcW w:w="992" w:type="dxa"/>
          </w:tcPr>
          <w:p w14:paraId="35F7F55C" w14:textId="77777777" w:rsidR="00E72353" w:rsidRPr="00680661" w:rsidRDefault="00E72353" w:rsidP="001E07A3">
            <w:pPr>
              <w:jc w:val="center"/>
              <w:rPr>
                <w:sz w:val="20"/>
                <w:szCs w:val="20"/>
              </w:rPr>
            </w:pPr>
            <w:r w:rsidRPr="00680661">
              <w:rPr>
                <w:sz w:val="20"/>
                <w:szCs w:val="20"/>
              </w:rPr>
              <w:t>3.2091</w:t>
            </w:r>
          </w:p>
        </w:tc>
        <w:tc>
          <w:tcPr>
            <w:tcW w:w="1276" w:type="dxa"/>
          </w:tcPr>
          <w:p w14:paraId="048C88EB" w14:textId="77777777" w:rsidR="00E72353" w:rsidRPr="00680661" w:rsidRDefault="00E72353" w:rsidP="001E07A3">
            <w:pPr>
              <w:jc w:val="center"/>
              <w:rPr>
                <w:sz w:val="20"/>
                <w:szCs w:val="20"/>
              </w:rPr>
            </w:pPr>
            <w:r w:rsidRPr="00680661">
              <w:rPr>
                <w:sz w:val="20"/>
                <w:szCs w:val="20"/>
              </w:rPr>
              <w:t>0.4349</w:t>
            </w:r>
          </w:p>
        </w:tc>
      </w:tr>
      <w:tr w:rsidR="00E72353" w:rsidRPr="00680661" w14:paraId="5F34603E" w14:textId="77777777" w:rsidTr="001E07A3">
        <w:tc>
          <w:tcPr>
            <w:tcW w:w="1569" w:type="dxa"/>
          </w:tcPr>
          <w:p w14:paraId="601F0263" w14:textId="77777777" w:rsidR="00E72353" w:rsidRPr="00680661" w:rsidRDefault="00E72353" w:rsidP="001E07A3">
            <w:pPr>
              <w:rPr>
                <w:sz w:val="20"/>
                <w:szCs w:val="20"/>
              </w:rPr>
            </w:pPr>
            <w:r w:rsidRPr="00680661">
              <w:rPr>
                <w:sz w:val="20"/>
                <w:szCs w:val="20"/>
              </w:rPr>
              <w:t>&gt;=550</w:t>
            </w:r>
          </w:p>
        </w:tc>
        <w:tc>
          <w:tcPr>
            <w:tcW w:w="1336" w:type="dxa"/>
          </w:tcPr>
          <w:p w14:paraId="20AB6EE7" w14:textId="77777777" w:rsidR="00E72353" w:rsidRPr="00680661" w:rsidRDefault="00E72353" w:rsidP="001E07A3">
            <w:pPr>
              <w:jc w:val="center"/>
              <w:rPr>
                <w:sz w:val="20"/>
                <w:szCs w:val="20"/>
              </w:rPr>
            </w:pPr>
            <w:r w:rsidRPr="00680661">
              <w:rPr>
                <w:sz w:val="20"/>
                <w:szCs w:val="20"/>
              </w:rPr>
              <w:t>32.11%</w:t>
            </w:r>
          </w:p>
        </w:tc>
        <w:tc>
          <w:tcPr>
            <w:tcW w:w="1230" w:type="dxa"/>
          </w:tcPr>
          <w:p w14:paraId="6BCA4CB6" w14:textId="77777777" w:rsidR="00E72353" w:rsidRPr="00680661" w:rsidRDefault="00E72353" w:rsidP="001E07A3">
            <w:pPr>
              <w:jc w:val="center"/>
              <w:rPr>
                <w:sz w:val="20"/>
                <w:szCs w:val="20"/>
              </w:rPr>
            </w:pPr>
            <w:r w:rsidRPr="00680661">
              <w:rPr>
                <w:sz w:val="20"/>
                <w:szCs w:val="20"/>
              </w:rPr>
              <w:t>93.33%</w:t>
            </w:r>
          </w:p>
        </w:tc>
        <w:tc>
          <w:tcPr>
            <w:tcW w:w="3378" w:type="dxa"/>
          </w:tcPr>
          <w:p w14:paraId="4AEDD62E" w14:textId="77777777" w:rsidR="00E72353" w:rsidRPr="00680661" w:rsidRDefault="00E72353" w:rsidP="001E07A3">
            <w:pPr>
              <w:jc w:val="center"/>
              <w:rPr>
                <w:sz w:val="20"/>
                <w:szCs w:val="20"/>
              </w:rPr>
            </w:pPr>
            <w:r w:rsidRPr="00680661">
              <w:rPr>
                <w:sz w:val="20"/>
                <w:szCs w:val="20"/>
              </w:rPr>
              <w:t>46.24%</w:t>
            </w:r>
          </w:p>
        </w:tc>
        <w:tc>
          <w:tcPr>
            <w:tcW w:w="992" w:type="dxa"/>
          </w:tcPr>
          <w:p w14:paraId="213E8A7D" w14:textId="77777777" w:rsidR="00E72353" w:rsidRPr="00680661" w:rsidRDefault="00E72353" w:rsidP="001E07A3">
            <w:pPr>
              <w:jc w:val="center"/>
              <w:rPr>
                <w:sz w:val="20"/>
                <w:szCs w:val="20"/>
              </w:rPr>
            </w:pPr>
            <w:r w:rsidRPr="00680661">
              <w:rPr>
                <w:sz w:val="20"/>
                <w:szCs w:val="20"/>
              </w:rPr>
              <w:t>4.8167</w:t>
            </w:r>
          </w:p>
        </w:tc>
        <w:tc>
          <w:tcPr>
            <w:tcW w:w="1276" w:type="dxa"/>
          </w:tcPr>
          <w:p w14:paraId="7753A6D6" w14:textId="77777777" w:rsidR="00E72353" w:rsidRPr="00680661" w:rsidRDefault="00E72353" w:rsidP="001E07A3">
            <w:pPr>
              <w:jc w:val="center"/>
              <w:rPr>
                <w:sz w:val="20"/>
                <w:szCs w:val="20"/>
              </w:rPr>
            </w:pPr>
            <w:r w:rsidRPr="00680661">
              <w:rPr>
                <w:sz w:val="20"/>
                <w:szCs w:val="20"/>
              </w:rPr>
              <w:t>0.7274</w:t>
            </w:r>
          </w:p>
        </w:tc>
      </w:tr>
      <w:tr w:rsidR="00E72353" w:rsidRPr="00680661" w14:paraId="426CDCD8" w14:textId="77777777" w:rsidTr="001E07A3">
        <w:tc>
          <w:tcPr>
            <w:tcW w:w="1569" w:type="dxa"/>
            <w:tcBorders>
              <w:bottom w:val="single" w:sz="4" w:space="0" w:color="auto"/>
            </w:tcBorders>
          </w:tcPr>
          <w:p w14:paraId="775D1824" w14:textId="77777777" w:rsidR="00E72353" w:rsidRPr="00680661" w:rsidRDefault="00E72353" w:rsidP="001E07A3">
            <w:pPr>
              <w:rPr>
                <w:sz w:val="20"/>
                <w:szCs w:val="20"/>
              </w:rPr>
            </w:pPr>
            <w:r w:rsidRPr="00680661">
              <w:rPr>
                <w:sz w:val="20"/>
                <w:szCs w:val="20"/>
              </w:rPr>
              <w:t>&gt;=600</w:t>
            </w:r>
          </w:p>
        </w:tc>
        <w:tc>
          <w:tcPr>
            <w:tcW w:w="1336" w:type="dxa"/>
            <w:tcBorders>
              <w:bottom w:val="single" w:sz="4" w:space="0" w:color="auto"/>
            </w:tcBorders>
          </w:tcPr>
          <w:p w14:paraId="49741351" w14:textId="77777777" w:rsidR="00E72353" w:rsidRPr="00680661" w:rsidRDefault="00E72353" w:rsidP="001E07A3">
            <w:pPr>
              <w:jc w:val="center"/>
              <w:rPr>
                <w:sz w:val="20"/>
                <w:szCs w:val="20"/>
              </w:rPr>
            </w:pPr>
            <w:r w:rsidRPr="00680661">
              <w:rPr>
                <w:sz w:val="20"/>
                <w:szCs w:val="20"/>
              </w:rPr>
              <w:t>4.56%</w:t>
            </w:r>
          </w:p>
        </w:tc>
        <w:tc>
          <w:tcPr>
            <w:tcW w:w="1230" w:type="dxa"/>
            <w:tcBorders>
              <w:bottom w:val="single" w:sz="4" w:space="0" w:color="auto"/>
            </w:tcBorders>
          </w:tcPr>
          <w:p w14:paraId="0515D62F" w14:textId="77777777" w:rsidR="00E72353" w:rsidRPr="00680661" w:rsidRDefault="00E72353" w:rsidP="001E07A3">
            <w:pPr>
              <w:jc w:val="center"/>
              <w:rPr>
                <w:sz w:val="20"/>
                <w:szCs w:val="20"/>
              </w:rPr>
            </w:pPr>
            <w:r w:rsidRPr="00680661">
              <w:rPr>
                <w:sz w:val="20"/>
                <w:szCs w:val="20"/>
              </w:rPr>
              <w:t>99.01%</w:t>
            </w:r>
          </w:p>
        </w:tc>
        <w:tc>
          <w:tcPr>
            <w:tcW w:w="3378" w:type="dxa"/>
            <w:tcBorders>
              <w:bottom w:val="single" w:sz="4" w:space="0" w:color="auto"/>
            </w:tcBorders>
          </w:tcPr>
          <w:p w14:paraId="31C66EB0" w14:textId="77777777" w:rsidR="00E72353" w:rsidRPr="00680661" w:rsidRDefault="00E72353" w:rsidP="001E07A3">
            <w:pPr>
              <w:jc w:val="center"/>
              <w:rPr>
                <w:sz w:val="20"/>
                <w:szCs w:val="20"/>
              </w:rPr>
            </w:pPr>
            <w:r w:rsidRPr="00680661">
              <w:rPr>
                <w:sz w:val="20"/>
                <w:szCs w:val="20"/>
              </w:rPr>
              <w:t>26.35%</w:t>
            </w:r>
          </w:p>
        </w:tc>
        <w:tc>
          <w:tcPr>
            <w:tcW w:w="992" w:type="dxa"/>
            <w:tcBorders>
              <w:bottom w:val="single" w:sz="4" w:space="0" w:color="auto"/>
            </w:tcBorders>
          </w:tcPr>
          <w:p w14:paraId="249136D2" w14:textId="77777777" w:rsidR="00E72353" w:rsidRPr="00680661" w:rsidRDefault="00E72353" w:rsidP="001E07A3">
            <w:pPr>
              <w:jc w:val="center"/>
              <w:rPr>
                <w:sz w:val="20"/>
                <w:szCs w:val="20"/>
              </w:rPr>
            </w:pPr>
            <w:r w:rsidRPr="00680661">
              <w:rPr>
                <w:sz w:val="20"/>
                <w:szCs w:val="20"/>
              </w:rPr>
              <w:t>4.6125</w:t>
            </w:r>
          </w:p>
        </w:tc>
        <w:tc>
          <w:tcPr>
            <w:tcW w:w="1276" w:type="dxa"/>
            <w:tcBorders>
              <w:bottom w:val="single" w:sz="4" w:space="0" w:color="auto"/>
            </w:tcBorders>
          </w:tcPr>
          <w:p w14:paraId="71F0EACE" w14:textId="77777777" w:rsidR="00E72353" w:rsidRPr="00680661" w:rsidRDefault="00E72353" w:rsidP="001E07A3">
            <w:pPr>
              <w:jc w:val="center"/>
              <w:rPr>
                <w:sz w:val="20"/>
                <w:szCs w:val="20"/>
              </w:rPr>
            </w:pPr>
            <w:r w:rsidRPr="00680661">
              <w:rPr>
                <w:sz w:val="20"/>
                <w:szCs w:val="20"/>
              </w:rPr>
              <w:t>0.9640</w:t>
            </w:r>
          </w:p>
        </w:tc>
      </w:tr>
    </w:tbl>
    <w:p w14:paraId="6561159F" w14:textId="77777777" w:rsidR="00E72353" w:rsidRPr="00680661" w:rsidRDefault="00E72353" w:rsidP="00481706">
      <w:pPr>
        <w:pStyle w:val="Caption"/>
      </w:pPr>
      <w:bookmarkStart w:id="2" w:name="_Ref125122601"/>
      <w:r w:rsidRPr="00680661">
        <w:t>Table</w:t>
      </w:r>
      <w:bookmarkEnd w:id="2"/>
      <w:r w:rsidR="004201BF">
        <w:t xml:space="preserve"> S1</w:t>
      </w:r>
      <w:r w:rsidRPr="00680661">
        <w:t xml:space="preserve">. The ability of the MSRA to “screen out” candidates at high risk of failing the CASC at first attempt, for different example hypothetical cut-scores. Note these metrics were produced from an analysis of imputed dataset number ‘1’. </w:t>
      </w:r>
    </w:p>
    <w:p w14:paraId="588755B8" w14:textId="77777777" w:rsidR="00D854BE" w:rsidRDefault="00D854BE" w:rsidP="0080160E">
      <w:pPr>
        <w:pStyle w:val="Standard"/>
        <w:suppressLineNumbers/>
        <w:spacing w:before="120" w:after="120" w:line="360" w:lineRule="auto"/>
        <w:rPr>
          <w:bCs/>
          <w:lang w:val="en-GB"/>
        </w:rPr>
      </w:pPr>
    </w:p>
    <w:p w14:paraId="5AF04F54" w14:textId="77777777" w:rsidR="0080160E" w:rsidRPr="007127AD" w:rsidRDefault="0080160E" w:rsidP="0080160E">
      <w:pPr>
        <w:pStyle w:val="Standard"/>
        <w:suppressLineNumbers/>
        <w:spacing w:before="120" w:after="120" w:line="360" w:lineRule="auto"/>
        <w:rPr>
          <w:bCs/>
          <w:lang w:val="en-GB"/>
        </w:rPr>
      </w:pPr>
      <w:r w:rsidRPr="007127AD">
        <w:rPr>
          <w:bCs/>
          <w:lang w:val="en-GB"/>
        </w:rPr>
        <w:t>However, it is important to appreciate what the absolute numbers of passes and fails at first CASC attempt are likely to be if the MSRA was used as a screening test for this purpose. Therefore a confusion matrix (two by two contingency table) was created from the imputed outcomes. For those without observed CASC attempts a “pass” was imputed where the predicted probability of passing the examination at first attempt was estimated to be equal to or exceed 0.5 (i.e. the average pass (1) or fails (0) in the 10 imputed datasets averaged 0.5 or more). Likewise, if this was estimated to be less than 0.5 an overall fail (0) was imputed. The resulting confusion matrix is shown in Table</w:t>
      </w:r>
      <w:r w:rsidR="00C17782">
        <w:rPr>
          <w:bCs/>
          <w:lang w:val="en-GB"/>
        </w:rPr>
        <w:t xml:space="preserve"> S2</w:t>
      </w:r>
      <w:r w:rsidRPr="007127AD">
        <w:rPr>
          <w:bCs/>
          <w:lang w:val="en-GB"/>
        </w:rPr>
        <w:t xml:space="preserve">. </w:t>
      </w:r>
    </w:p>
    <w:p w14:paraId="50204166" w14:textId="77777777" w:rsidR="0080160E" w:rsidRPr="007127AD" w:rsidRDefault="0080160E" w:rsidP="0080160E">
      <w:pPr>
        <w:pStyle w:val="Standard"/>
        <w:suppressLineNumbers/>
        <w:spacing w:before="120" w:after="120" w:line="360" w:lineRule="auto"/>
        <w:rPr>
          <w:bCs/>
          <w:lang w:val="en-GB"/>
        </w:rPr>
      </w:pPr>
      <w:r w:rsidRPr="007127AD">
        <w:rPr>
          <w:bCs/>
          <w:lang w:val="en-GB"/>
        </w:rPr>
        <w:t xml:space="preserve">As can be seen from Table </w:t>
      </w:r>
      <w:r w:rsidR="00C17782">
        <w:rPr>
          <w:bCs/>
          <w:lang w:val="en-GB"/>
        </w:rPr>
        <w:t>S2</w:t>
      </w:r>
      <w:r w:rsidRPr="007127AD">
        <w:rPr>
          <w:bCs/>
          <w:lang w:val="en-GB"/>
        </w:rPr>
        <w:t>, the overall accuracy of this MSR</w:t>
      </w:r>
      <w:r>
        <w:rPr>
          <w:bCs/>
          <w:lang w:val="en-GB"/>
        </w:rPr>
        <w:t>A</w:t>
      </w:r>
      <w:r w:rsidRPr="007127AD">
        <w:rPr>
          <w:bCs/>
          <w:lang w:val="en-GB"/>
        </w:rPr>
        <w:t xml:space="preserve"> cut-off is </w:t>
      </w:r>
      <w:r>
        <w:rPr>
          <w:bCs/>
          <w:lang w:val="en-GB"/>
        </w:rPr>
        <w:t>74</w:t>
      </w:r>
      <w:r w:rsidRPr="007127AD">
        <w:rPr>
          <w:bCs/>
          <w:lang w:val="en-GB"/>
        </w:rPr>
        <w:t xml:space="preserve">% </w:t>
      </w:r>
      <w:r>
        <w:rPr>
          <w:bCs/>
          <w:lang w:val="en-GB"/>
        </w:rPr>
        <w:t xml:space="preserve">with 2,600 </w:t>
      </w:r>
      <w:r w:rsidRPr="007127AD">
        <w:rPr>
          <w:bCs/>
          <w:lang w:val="en-GB"/>
        </w:rPr>
        <w:t xml:space="preserve">of applicants correctly classified. The positive predictive value (PPV) is </w:t>
      </w:r>
      <w:r>
        <w:rPr>
          <w:bCs/>
          <w:lang w:val="en-GB"/>
        </w:rPr>
        <w:t>96% (2,095/2,180)</w:t>
      </w:r>
      <w:r w:rsidRPr="007127AD">
        <w:rPr>
          <w:bCs/>
          <w:lang w:val="en-GB"/>
        </w:rPr>
        <w:t xml:space="preserve">. That is, of those predicted to pass at first attempt </w:t>
      </w:r>
      <w:r>
        <w:rPr>
          <w:bCs/>
          <w:lang w:val="en-GB"/>
        </w:rPr>
        <w:t xml:space="preserve">96% </w:t>
      </w:r>
      <w:r w:rsidRPr="007127AD">
        <w:rPr>
          <w:bCs/>
          <w:lang w:val="en-GB"/>
        </w:rPr>
        <w:t xml:space="preserve">actually do so. The negative predictive value (NPV) is </w:t>
      </w:r>
      <w:r>
        <w:rPr>
          <w:bCs/>
          <w:lang w:val="en-GB"/>
        </w:rPr>
        <w:t>less impressive at 38%</w:t>
      </w:r>
      <w:r w:rsidRPr="007127AD">
        <w:rPr>
          <w:bCs/>
          <w:lang w:val="en-GB"/>
        </w:rPr>
        <w:t>, with this being the proportion of applicants predicted to fail the CASC at first attempt actually doing so.</w:t>
      </w:r>
    </w:p>
    <w:p w14:paraId="0079D7E0" w14:textId="77777777" w:rsidR="0080160E" w:rsidRPr="00680661" w:rsidRDefault="0080160E" w:rsidP="0080160E">
      <w:pPr>
        <w:pStyle w:val="Standard"/>
        <w:rPr>
          <w:rFonts w:ascii="Courier New" w:hAnsi="Courier New" w:cs="Courier New"/>
          <w:b/>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2086"/>
        <w:gridCol w:w="1950"/>
        <w:gridCol w:w="1322"/>
      </w:tblGrid>
      <w:tr w:rsidR="0080160E" w:rsidRPr="00680661" w14:paraId="2425F60F" w14:textId="77777777" w:rsidTr="001E07A3">
        <w:tc>
          <w:tcPr>
            <w:tcW w:w="4395" w:type="dxa"/>
            <w:tcBorders>
              <w:top w:val="single" w:sz="4" w:space="0" w:color="auto"/>
              <w:bottom w:val="single" w:sz="4" w:space="0" w:color="auto"/>
            </w:tcBorders>
            <w:shd w:val="clear" w:color="auto" w:fill="F2F2F2" w:themeFill="background1" w:themeFillShade="F2"/>
          </w:tcPr>
          <w:p w14:paraId="5D5B5C7A" w14:textId="77777777" w:rsidR="0080160E" w:rsidRDefault="0080160E" w:rsidP="001E07A3">
            <w:pPr>
              <w:pStyle w:val="Standard"/>
              <w:rPr>
                <w:b/>
                <w:bCs/>
                <w:lang w:val="en-GB"/>
              </w:rPr>
            </w:pPr>
            <w:r w:rsidRPr="00680661">
              <w:rPr>
                <w:b/>
                <w:bCs/>
                <w:lang w:val="en-GB"/>
              </w:rPr>
              <w:t>Predict</w:t>
            </w:r>
            <w:r>
              <w:rPr>
                <w:b/>
                <w:bCs/>
                <w:lang w:val="en-GB"/>
              </w:rPr>
              <w:t xml:space="preserve">ion </w:t>
            </w:r>
          </w:p>
          <w:p w14:paraId="14F7A5B1" w14:textId="77777777" w:rsidR="0080160E" w:rsidRPr="00680661" w:rsidRDefault="0080160E" w:rsidP="001E07A3">
            <w:pPr>
              <w:pStyle w:val="Standard"/>
              <w:rPr>
                <w:b/>
                <w:bCs/>
                <w:lang w:val="en-GB"/>
              </w:rPr>
            </w:pPr>
            <w:r>
              <w:rPr>
                <w:b/>
                <w:bCs/>
                <w:lang w:val="en-GB"/>
              </w:rPr>
              <w:t>(Above MSRA cut-point of 484 points)</w:t>
            </w:r>
          </w:p>
        </w:tc>
        <w:tc>
          <w:tcPr>
            <w:tcW w:w="2130" w:type="dxa"/>
            <w:tcBorders>
              <w:top w:val="single" w:sz="4" w:space="0" w:color="auto"/>
              <w:bottom w:val="single" w:sz="4" w:space="0" w:color="auto"/>
            </w:tcBorders>
            <w:shd w:val="clear" w:color="auto" w:fill="F2F2F2" w:themeFill="background1" w:themeFillShade="F2"/>
          </w:tcPr>
          <w:p w14:paraId="7B9C2F6B" w14:textId="77777777" w:rsidR="0080160E" w:rsidRPr="00680661" w:rsidRDefault="0080160E" w:rsidP="001E07A3">
            <w:pPr>
              <w:pStyle w:val="Standard"/>
              <w:rPr>
                <w:b/>
                <w:bCs/>
                <w:lang w:val="en-GB"/>
              </w:rPr>
            </w:pPr>
            <w:r>
              <w:rPr>
                <w:b/>
                <w:bCs/>
                <w:lang w:val="en-GB"/>
              </w:rPr>
              <w:t>Actual/imputed fail?</w:t>
            </w:r>
          </w:p>
        </w:tc>
        <w:tc>
          <w:tcPr>
            <w:tcW w:w="1950" w:type="dxa"/>
            <w:tcBorders>
              <w:top w:val="single" w:sz="4" w:space="0" w:color="auto"/>
              <w:bottom w:val="single" w:sz="4" w:space="0" w:color="auto"/>
            </w:tcBorders>
            <w:shd w:val="clear" w:color="auto" w:fill="F2F2F2" w:themeFill="background1" w:themeFillShade="F2"/>
          </w:tcPr>
          <w:p w14:paraId="31D41DF3" w14:textId="77777777" w:rsidR="0080160E" w:rsidRPr="00680661" w:rsidRDefault="0080160E" w:rsidP="001E07A3">
            <w:pPr>
              <w:pStyle w:val="Standard"/>
              <w:rPr>
                <w:b/>
                <w:bCs/>
                <w:lang w:val="en-GB"/>
              </w:rPr>
            </w:pPr>
            <w:r>
              <w:rPr>
                <w:b/>
                <w:bCs/>
                <w:lang w:val="en-GB"/>
              </w:rPr>
              <w:t>Actual/imputed pass?</w:t>
            </w:r>
          </w:p>
        </w:tc>
        <w:tc>
          <w:tcPr>
            <w:tcW w:w="1497" w:type="dxa"/>
            <w:tcBorders>
              <w:top w:val="single" w:sz="4" w:space="0" w:color="auto"/>
              <w:bottom w:val="single" w:sz="4" w:space="0" w:color="auto"/>
            </w:tcBorders>
            <w:shd w:val="clear" w:color="auto" w:fill="F2F2F2" w:themeFill="background1" w:themeFillShade="F2"/>
          </w:tcPr>
          <w:p w14:paraId="318DB358" w14:textId="77777777" w:rsidR="0080160E" w:rsidRPr="00680661" w:rsidRDefault="0080160E" w:rsidP="001E07A3">
            <w:pPr>
              <w:pStyle w:val="Standard"/>
              <w:rPr>
                <w:b/>
                <w:bCs/>
                <w:lang w:val="en-GB"/>
              </w:rPr>
            </w:pPr>
            <w:r>
              <w:rPr>
                <w:b/>
                <w:bCs/>
                <w:lang w:val="en-GB"/>
              </w:rPr>
              <w:t>Total</w:t>
            </w:r>
          </w:p>
        </w:tc>
      </w:tr>
      <w:tr w:rsidR="0080160E" w:rsidRPr="00680661" w14:paraId="4E083B0B" w14:textId="77777777" w:rsidTr="001E07A3">
        <w:tc>
          <w:tcPr>
            <w:tcW w:w="4395" w:type="dxa"/>
            <w:tcBorders>
              <w:top w:val="single" w:sz="4" w:space="0" w:color="auto"/>
            </w:tcBorders>
            <w:shd w:val="clear" w:color="auto" w:fill="auto"/>
            <w:vAlign w:val="bottom"/>
          </w:tcPr>
          <w:p w14:paraId="5F5D750A" w14:textId="77777777" w:rsidR="0080160E" w:rsidRPr="00680661" w:rsidRDefault="0080160E" w:rsidP="001E07A3">
            <w:pPr>
              <w:rPr>
                <w:color w:val="000000"/>
                <w:sz w:val="22"/>
                <w:szCs w:val="22"/>
              </w:rPr>
            </w:pPr>
            <w:r>
              <w:rPr>
                <w:bCs/>
                <w:sz w:val="22"/>
                <w:szCs w:val="22"/>
              </w:rPr>
              <w:t>No- predicted to fail CASC at 1</w:t>
            </w:r>
            <w:r w:rsidRPr="00D43841">
              <w:rPr>
                <w:bCs/>
                <w:sz w:val="22"/>
                <w:szCs w:val="22"/>
                <w:vertAlign w:val="superscript"/>
              </w:rPr>
              <w:t>st</w:t>
            </w:r>
            <w:r>
              <w:rPr>
                <w:bCs/>
                <w:sz w:val="22"/>
                <w:szCs w:val="22"/>
              </w:rPr>
              <w:t xml:space="preserve"> attempt</w:t>
            </w:r>
          </w:p>
        </w:tc>
        <w:tc>
          <w:tcPr>
            <w:tcW w:w="2130" w:type="dxa"/>
            <w:tcBorders>
              <w:top w:val="single" w:sz="4" w:space="0" w:color="auto"/>
            </w:tcBorders>
          </w:tcPr>
          <w:p w14:paraId="1F5FE770" w14:textId="77777777" w:rsidR="0080160E" w:rsidRPr="00680661" w:rsidRDefault="0080160E" w:rsidP="001E07A3">
            <w:pPr>
              <w:pStyle w:val="Standard"/>
              <w:rPr>
                <w:bCs/>
                <w:sz w:val="20"/>
                <w:szCs w:val="20"/>
                <w:lang w:val="en-GB"/>
              </w:rPr>
            </w:pPr>
            <w:r>
              <w:rPr>
                <w:bCs/>
                <w:sz w:val="20"/>
                <w:szCs w:val="20"/>
                <w:lang w:val="en-GB"/>
              </w:rPr>
              <w:t>505</w:t>
            </w:r>
          </w:p>
        </w:tc>
        <w:tc>
          <w:tcPr>
            <w:tcW w:w="1950" w:type="dxa"/>
            <w:tcBorders>
              <w:top w:val="single" w:sz="4" w:space="0" w:color="auto"/>
            </w:tcBorders>
          </w:tcPr>
          <w:p w14:paraId="3D3E6F42" w14:textId="77777777" w:rsidR="0080160E" w:rsidRPr="00680661" w:rsidRDefault="0080160E" w:rsidP="001E07A3">
            <w:pPr>
              <w:pStyle w:val="Standard"/>
              <w:rPr>
                <w:bCs/>
                <w:sz w:val="20"/>
                <w:szCs w:val="20"/>
                <w:lang w:val="en-GB"/>
              </w:rPr>
            </w:pPr>
            <w:r>
              <w:rPr>
                <w:bCs/>
                <w:sz w:val="20"/>
                <w:szCs w:val="20"/>
                <w:lang w:val="en-GB"/>
              </w:rPr>
              <w:t>830</w:t>
            </w:r>
          </w:p>
        </w:tc>
        <w:tc>
          <w:tcPr>
            <w:tcW w:w="1497" w:type="dxa"/>
            <w:tcBorders>
              <w:top w:val="single" w:sz="4" w:space="0" w:color="auto"/>
            </w:tcBorders>
          </w:tcPr>
          <w:p w14:paraId="1F3EF9F7" w14:textId="77777777" w:rsidR="0080160E" w:rsidRPr="00680661" w:rsidRDefault="0080160E" w:rsidP="001E07A3">
            <w:pPr>
              <w:pStyle w:val="Standard"/>
              <w:rPr>
                <w:bCs/>
                <w:sz w:val="20"/>
                <w:szCs w:val="20"/>
                <w:lang w:val="en-GB"/>
              </w:rPr>
            </w:pPr>
            <w:r>
              <w:rPr>
                <w:bCs/>
                <w:sz w:val="20"/>
                <w:szCs w:val="20"/>
                <w:lang w:val="en-GB"/>
              </w:rPr>
              <w:t>1,330</w:t>
            </w:r>
          </w:p>
        </w:tc>
      </w:tr>
      <w:tr w:rsidR="0080160E" w:rsidRPr="00680661" w14:paraId="1B874D4A" w14:textId="77777777" w:rsidTr="001E07A3">
        <w:tc>
          <w:tcPr>
            <w:tcW w:w="4395" w:type="dxa"/>
            <w:tcBorders>
              <w:bottom w:val="single" w:sz="4" w:space="0" w:color="auto"/>
            </w:tcBorders>
            <w:shd w:val="clear" w:color="auto" w:fill="auto"/>
            <w:vAlign w:val="bottom"/>
          </w:tcPr>
          <w:p w14:paraId="2CCDE552" w14:textId="77777777" w:rsidR="0080160E" w:rsidRPr="00680661" w:rsidRDefault="0080160E" w:rsidP="001E07A3">
            <w:pPr>
              <w:rPr>
                <w:color w:val="000000"/>
                <w:sz w:val="22"/>
                <w:szCs w:val="22"/>
              </w:rPr>
            </w:pPr>
            <w:r>
              <w:rPr>
                <w:bCs/>
                <w:sz w:val="22"/>
                <w:szCs w:val="22"/>
              </w:rPr>
              <w:lastRenderedPageBreak/>
              <w:t>Yes- predicted to pass CASC at 1</w:t>
            </w:r>
            <w:r w:rsidRPr="00D43841">
              <w:rPr>
                <w:bCs/>
                <w:sz w:val="22"/>
                <w:szCs w:val="22"/>
                <w:vertAlign w:val="superscript"/>
              </w:rPr>
              <w:t>st</w:t>
            </w:r>
            <w:r>
              <w:rPr>
                <w:bCs/>
                <w:sz w:val="22"/>
                <w:szCs w:val="22"/>
              </w:rPr>
              <w:t xml:space="preserve"> attempt</w:t>
            </w:r>
          </w:p>
        </w:tc>
        <w:tc>
          <w:tcPr>
            <w:tcW w:w="2130" w:type="dxa"/>
            <w:tcBorders>
              <w:bottom w:val="single" w:sz="4" w:space="0" w:color="auto"/>
            </w:tcBorders>
          </w:tcPr>
          <w:p w14:paraId="71E349D6" w14:textId="77777777" w:rsidR="0080160E" w:rsidRPr="00680661" w:rsidRDefault="0080160E" w:rsidP="001E07A3">
            <w:pPr>
              <w:pStyle w:val="Standard"/>
              <w:rPr>
                <w:bCs/>
                <w:sz w:val="20"/>
                <w:szCs w:val="20"/>
                <w:lang w:val="en-GB"/>
              </w:rPr>
            </w:pPr>
            <w:r>
              <w:rPr>
                <w:bCs/>
                <w:sz w:val="20"/>
                <w:szCs w:val="20"/>
                <w:lang w:val="en-GB"/>
              </w:rPr>
              <w:t>80</w:t>
            </w:r>
          </w:p>
        </w:tc>
        <w:tc>
          <w:tcPr>
            <w:tcW w:w="1950" w:type="dxa"/>
            <w:tcBorders>
              <w:bottom w:val="single" w:sz="4" w:space="0" w:color="auto"/>
            </w:tcBorders>
          </w:tcPr>
          <w:p w14:paraId="379488C9" w14:textId="77777777" w:rsidR="0080160E" w:rsidRPr="00680661" w:rsidRDefault="0080160E" w:rsidP="001E07A3">
            <w:pPr>
              <w:pStyle w:val="Standard"/>
              <w:rPr>
                <w:bCs/>
                <w:sz w:val="20"/>
                <w:szCs w:val="20"/>
                <w:lang w:val="en-GB"/>
              </w:rPr>
            </w:pPr>
            <w:r>
              <w:rPr>
                <w:bCs/>
                <w:sz w:val="20"/>
                <w:szCs w:val="20"/>
                <w:lang w:val="en-GB"/>
              </w:rPr>
              <w:t>2,095</w:t>
            </w:r>
          </w:p>
        </w:tc>
        <w:tc>
          <w:tcPr>
            <w:tcW w:w="1497" w:type="dxa"/>
            <w:tcBorders>
              <w:bottom w:val="single" w:sz="4" w:space="0" w:color="auto"/>
            </w:tcBorders>
          </w:tcPr>
          <w:p w14:paraId="58504C2D" w14:textId="77777777" w:rsidR="0080160E" w:rsidRPr="00680661" w:rsidRDefault="0080160E" w:rsidP="001E07A3">
            <w:pPr>
              <w:pStyle w:val="Standard"/>
              <w:rPr>
                <w:bCs/>
                <w:sz w:val="20"/>
                <w:szCs w:val="20"/>
                <w:lang w:val="en-GB"/>
              </w:rPr>
            </w:pPr>
            <w:r>
              <w:rPr>
                <w:bCs/>
                <w:sz w:val="20"/>
                <w:szCs w:val="20"/>
                <w:lang w:val="en-GB"/>
              </w:rPr>
              <w:t>2,180</w:t>
            </w:r>
          </w:p>
        </w:tc>
      </w:tr>
      <w:tr w:rsidR="0080160E" w:rsidRPr="00680661" w14:paraId="0A4EF2F9" w14:textId="77777777" w:rsidTr="001E07A3">
        <w:tc>
          <w:tcPr>
            <w:tcW w:w="4395" w:type="dxa"/>
            <w:tcBorders>
              <w:top w:val="single" w:sz="4" w:space="0" w:color="auto"/>
              <w:bottom w:val="single" w:sz="4" w:space="0" w:color="auto"/>
            </w:tcBorders>
            <w:shd w:val="clear" w:color="auto" w:fill="auto"/>
            <w:vAlign w:val="bottom"/>
          </w:tcPr>
          <w:p w14:paraId="30ACDBC9" w14:textId="77777777" w:rsidR="0080160E" w:rsidRDefault="0080160E" w:rsidP="001E07A3">
            <w:pPr>
              <w:rPr>
                <w:bCs/>
                <w:sz w:val="22"/>
                <w:szCs w:val="22"/>
              </w:rPr>
            </w:pPr>
            <w:r>
              <w:rPr>
                <w:bCs/>
                <w:sz w:val="22"/>
                <w:szCs w:val="22"/>
              </w:rPr>
              <w:t>Total</w:t>
            </w:r>
          </w:p>
        </w:tc>
        <w:tc>
          <w:tcPr>
            <w:tcW w:w="2130" w:type="dxa"/>
            <w:tcBorders>
              <w:top w:val="single" w:sz="4" w:space="0" w:color="auto"/>
              <w:bottom w:val="single" w:sz="4" w:space="0" w:color="auto"/>
            </w:tcBorders>
          </w:tcPr>
          <w:p w14:paraId="727887EE" w14:textId="77777777" w:rsidR="0080160E" w:rsidRDefault="0080160E" w:rsidP="001E07A3">
            <w:pPr>
              <w:pStyle w:val="Standard"/>
              <w:rPr>
                <w:bCs/>
                <w:sz w:val="20"/>
                <w:szCs w:val="20"/>
                <w:lang w:val="en-GB"/>
              </w:rPr>
            </w:pPr>
            <w:r>
              <w:rPr>
                <w:bCs/>
                <w:sz w:val="20"/>
                <w:szCs w:val="20"/>
                <w:lang w:val="en-GB"/>
              </w:rPr>
              <w:t>585</w:t>
            </w:r>
          </w:p>
        </w:tc>
        <w:tc>
          <w:tcPr>
            <w:tcW w:w="1950" w:type="dxa"/>
            <w:tcBorders>
              <w:top w:val="single" w:sz="4" w:space="0" w:color="auto"/>
              <w:bottom w:val="single" w:sz="4" w:space="0" w:color="auto"/>
            </w:tcBorders>
          </w:tcPr>
          <w:p w14:paraId="1503B478" w14:textId="77777777" w:rsidR="0080160E" w:rsidRDefault="0080160E" w:rsidP="001E07A3">
            <w:pPr>
              <w:pStyle w:val="Standard"/>
              <w:rPr>
                <w:bCs/>
                <w:sz w:val="20"/>
                <w:szCs w:val="20"/>
                <w:lang w:val="en-GB"/>
              </w:rPr>
            </w:pPr>
            <w:r>
              <w:rPr>
                <w:bCs/>
                <w:sz w:val="20"/>
                <w:szCs w:val="20"/>
                <w:lang w:val="en-GB"/>
              </w:rPr>
              <w:t>2,925</w:t>
            </w:r>
          </w:p>
        </w:tc>
        <w:tc>
          <w:tcPr>
            <w:tcW w:w="1497" w:type="dxa"/>
            <w:tcBorders>
              <w:top w:val="single" w:sz="4" w:space="0" w:color="auto"/>
              <w:bottom w:val="single" w:sz="4" w:space="0" w:color="auto"/>
            </w:tcBorders>
          </w:tcPr>
          <w:p w14:paraId="4A2F0E93" w14:textId="77777777" w:rsidR="0080160E" w:rsidRDefault="0080160E" w:rsidP="001E07A3">
            <w:pPr>
              <w:pStyle w:val="Standard"/>
              <w:rPr>
                <w:bCs/>
                <w:sz w:val="20"/>
                <w:szCs w:val="20"/>
                <w:lang w:val="en-GB"/>
              </w:rPr>
            </w:pPr>
            <w:r>
              <w:rPr>
                <w:bCs/>
                <w:sz w:val="20"/>
                <w:szCs w:val="20"/>
                <w:lang w:val="en-GB"/>
              </w:rPr>
              <w:t>3,510</w:t>
            </w:r>
          </w:p>
        </w:tc>
      </w:tr>
    </w:tbl>
    <w:p w14:paraId="11CBFE92" w14:textId="77777777" w:rsidR="0080160E" w:rsidRPr="00D43841" w:rsidRDefault="0080160E" w:rsidP="0080160E">
      <w:pPr>
        <w:pStyle w:val="Standard"/>
        <w:suppressLineNumbers/>
        <w:spacing w:before="120" w:after="120" w:line="360" w:lineRule="auto"/>
        <w:rPr>
          <w:bCs/>
          <w:lang w:val="en-GB"/>
        </w:rPr>
      </w:pPr>
      <w:r w:rsidRPr="00D43841">
        <w:rPr>
          <w:bCs/>
          <w:lang w:val="en-GB"/>
        </w:rPr>
        <w:t xml:space="preserve">Table </w:t>
      </w:r>
      <w:r w:rsidR="004201BF">
        <w:rPr>
          <w:bCs/>
          <w:lang w:val="en-GB"/>
        </w:rPr>
        <w:t>S2</w:t>
      </w:r>
      <w:r w:rsidRPr="00D43841">
        <w:rPr>
          <w:bCs/>
          <w:lang w:val="en-GB"/>
        </w:rPr>
        <w:t>. A confusion matrix depicting the performance of the MSRA as a screening test to predict the likelihood of passing the CASC at first attempt. The estimates were derived from the imputed data (M=10, N=3,510)</w:t>
      </w:r>
    </w:p>
    <w:p w14:paraId="59F1DEC9" w14:textId="77777777" w:rsidR="00595410" w:rsidRDefault="00595410" w:rsidP="00440CD0"/>
    <w:p w14:paraId="2EFCA441" w14:textId="77777777" w:rsidR="008A5A87" w:rsidRPr="00680661" w:rsidRDefault="00A637A3" w:rsidP="008A5A87">
      <w:pPr>
        <w:pStyle w:val="Standard"/>
        <w:spacing w:line="360" w:lineRule="auto"/>
        <w:rPr>
          <w:lang w:val="en-GB"/>
        </w:rPr>
      </w:pPr>
      <w:r>
        <w:rPr>
          <w:lang w:val="en-GB"/>
        </w:rPr>
        <w:t>Th</w:t>
      </w:r>
      <w:r w:rsidR="008A5A87" w:rsidRPr="00680661">
        <w:rPr>
          <w:lang w:val="en-GB"/>
        </w:rPr>
        <w:t xml:space="preserve">e authors of </w:t>
      </w:r>
      <w:r>
        <w:rPr>
          <w:lang w:val="en-GB"/>
        </w:rPr>
        <w:t xml:space="preserve">a similar study in recruitment to General Practice training </w:t>
      </w:r>
      <w:r w:rsidR="008A5A87" w:rsidRPr="00680661">
        <w:rPr>
          <w:lang w:val="en-GB"/>
        </w:rPr>
        <w:t>suggested that the optimum cut-off for the MSRA would be around 500, given this ROC</w:t>
      </w:r>
      <w:r>
        <w:rPr>
          <w:lang w:val="en-GB"/>
        </w:rPr>
        <w:t xml:space="preserve"> (4)</w:t>
      </w:r>
      <w:r w:rsidR="008A5A87" w:rsidRPr="00680661">
        <w:rPr>
          <w:lang w:val="en-GB"/>
        </w:rPr>
        <w:t>. This would also be true for psychiatry applicants, if one considers a reasonable trade-off between sensitivity and specificity (</w:t>
      </w:r>
      <w:r w:rsidR="008A5A87" w:rsidRPr="00577237">
        <w:rPr>
          <w:lang w:val="en-GB"/>
        </w:rPr>
        <w:t>see Supplementary Material; Figure S4 and Table S1).</w:t>
      </w:r>
      <w:r w:rsidR="008A5A87" w:rsidRPr="00680661">
        <w:rPr>
          <w:lang w:val="en-GB"/>
        </w:rPr>
        <w:t xml:space="preserve"> However, given the costs and benefits of having vacant </w:t>
      </w:r>
      <w:r w:rsidR="008A5A87">
        <w:rPr>
          <w:lang w:val="en-GB"/>
        </w:rPr>
        <w:t>c</w:t>
      </w:r>
      <w:r w:rsidR="008A5A87" w:rsidRPr="00680661">
        <w:rPr>
          <w:lang w:val="en-GB"/>
        </w:rPr>
        <w:t xml:space="preserve">onsultant (or other) psychiatric posts, versus core trainees failing to complete training etc selectors may wish to optimise for specificity rather than sensitivity. Thus, the issue of an optimum cut-off score, or indeed entire selection system is a complex one, as previously highlighted in relation to recruitment to GP training schemes </w:t>
      </w:r>
      <w:r w:rsidRPr="00A637A3">
        <w:rPr>
          <w:lang w:val="en-GB"/>
        </w:rPr>
        <w:t>(5).</w:t>
      </w:r>
      <w:r w:rsidR="008A5A87">
        <w:rPr>
          <w:lang w:val="en-GB"/>
        </w:rPr>
        <w:t xml:space="preserve"> Certainly, the results shown in our confusion </w:t>
      </w:r>
      <w:r w:rsidR="008A5A87" w:rsidRPr="00577237">
        <w:rPr>
          <w:lang w:val="en-GB"/>
        </w:rPr>
        <w:t>matrix (Table S2) illustrate what the relatively high PPV and low NPV of the</w:t>
      </w:r>
      <w:r w:rsidR="008A5A87">
        <w:rPr>
          <w:lang w:val="en-GB"/>
        </w:rPr>
        <w:t xml:space="preserve"> MSRA as a screening test for passing the CASC at first attempt may mean in absolute numbers. That is, of those 1,300 or so applicants scoring less than the hypothetical MSRA cut-off, more than half would still be likely to pass the CASC at first attempt. Moreover, it may be that many of the applicants failing the CASC would pass at second, or third attempt. Consequently, using the MSRA as a sole threshold criteria for admission to core psychiatry training may be undesirable, given it is a medical specialty that has significant workforce shortages. Moreover, it may also be useful to take a ‘pareto-optimal’ approach to selection, in order to use the various selection measures to model the more and less desirable combinations of trade-offs between fill rates and likelihood of passing licensure exams in a timely </w:t>
      </w:r>
      <w:r w:rsidR="008A5A87" w:rsidRPr="00A637A3">
        <w:rPr>
          <w:lang w:val="en-GB"/>
        </w:rPr>
        <w:t xml:space="preserve">way </w:t>
      </w:r>
      <w:r w:rsidR="008A5A87" w:rsidRPr="00A637A3">
        <w:rPr>
          <w:noProof/>
          <w:lang w:val="en-GB"/>
        </w:rPr>
        <w:t>(</w:t>
      </w:r>
      <w:r w:rsidR="00703374">
        <w:rPr>
          <w:noProof/>
          <w:lang w:val="en-GB"/>
        </w:rPr>
        <w:t>6</w:t>
      </w:r>
      <w:r w:rsidR="008A5A87" w:rsidRPr="00A637A3">
        <w:rPr>
          <w:noProof/>
          <w:lang w:val="en-GB"/>
        </w:rPr>
        <w:t>)</w:t>
      </w:r>
      <w:r w:rsidR="008A5A87" w:rsidRPr="00A637A3">
        <w:rPr>
          <w:lang w:val="en-GB"/>
        </w:rPr>
        <w:t>.</w:t>
      </w:r>
      <w:r w:rsidR="008A5A87">
        <w:rPr>
          <w:lang w:val="en-GB"/>
        </w:rPr>
        <w:t xml:space="preserve"> </w:t>
      </w:r>
    </w:p>
    <w:p w14:paraId="2D362649" w14:textId="77777777" w:rsidR="008A5A87" w:rsidRDefault="008A5A87" w:rsidP="00440CD0"/>
    <w:p w14:paraId="11677BBD" w14:textId="77777777" w:rsidR="004201BF" w:rsidRPr="004201BF" w:rsidRDefault="004201BF" w:rsidP="00C750D7">
      <w:pPr>
        <w:spacing w:line="360" w:lineRule="auto"/>
        <w:rPr>
          <w:i/>
        </w:rPr>
      </w:pPr>
      <w:r w:rsidRPr="004201BF">
        <w:rPr>
          <w:i/>
        </w:rPr>
        <w:t xml:space="preserve">Additional results from </w:t>
      </w:r>
      <w:r w:rsidR="00703374">
        <w:rPr>
          <w:i/>
        </w:rPr>
        <w:t>n</w:t>
      </w:r>
      <w:r w:rsidRPr="004201BF">
        <w:rPr>
          <w:i/>
        </w:rPr>
        <w:t xml:space="preserve">on-imputed </w:t>
      </w:r>
      <w:r w:rsidR="00703374">
        <w:rPr>
          <w:i/>
        </w:rPr>
        <w:t>d</w:t>
      </w:r>
      <w:r w:rsidRPr="004201BF">
        <w:rPr>
          <w:i/>
        </w:rPr>
        <w:t>ata</w:t>
      </w:r>
    </w:p>
    <w:p w14:paraId="4A02C47F" w14:textId="77777777" w:rsidR="00AB66E1" w:rsidRDefault="004201BF" w:rsidP="00C750D7">
      <w:pPr>
        <w:spacing w:line="360" w:lineRule="auto"/>
      </w:pPr>
      <w:r>
        <w:t xml:space="preserve">In order to evaluate the extent to which the missing at random (MAR) assumption was upheld, we compared the findings from the non-imputed and imputed data. </w:t>
      </w:r>
      <w:r w:rsidR="00800FB5">
        <w:t xml:space="preserve">In Table S3 we include the results from non-imputed results for the multivariable linear </w:t>
      </w:r>
      <w:r w:rsidR="00800FB5">
        <w:lastRenderedPageBreak/>
        <w:t xml:space="preserve">regression. </w:t>
      </w:r>
      <w:r>
        <w:t xml:space="preserve">As expected, the correlations between the predictors and outcomes of interested tended to be modestly higher in the results from the imputed data. This is to be expected as the approach is designed to counter the apparent attenuation of these relationships that occurs due to ‘restriction of range’ in personnel selection studies. </w:t>
      </w:r>
      <w:r w:rsidR="00800FB5">
        <w:t xml:space="preserve">This occurs as only those selected, or having a work related outcome observed within a study timeframe, will have data relating to the primary outcome of interest. This artificially reduces the observed correlation between a predictor and validity criterion, which, previously, led selectors to erroneously conclude that a selection assessment was invalid. </w:t>
      </w:r>
      <w:r w:rsidR="00E166BC">
        <w:t xml:space="preserve">Note that for the SC scores, the raw </w:t>
      </w:r>
      <w:r w:rsidR="00E166BC" w:rsidRPr="00800FB5">
        <w:rPr>
          <w:color w:val="000000"/>
          <w:sz w:val="20"/>
          <w:szCs w:val="20"/>
        </w:rPr>
        <w:t>β</w:t>
      </w:r>
      <w:r w:rsidR="00E166BC">
        <w:t xml:space="preserve"> coefficient is slightly larger in the non-imputed data, compared to the imputed data. However the reverse is true for the standardised coefficient for the effect of SC score on CASC performance (see Table S3). This apparent paradox is assumed to be due to the metric (distribution) of the predictor and outcome of interest </w:t>
      </w:r>
      <w:r w:rsidR="00800FB5">
        <w:t xml:space="preserve">differing between the </w:t>
      </w:r>
      <w:r w:rsidR="00E166BC">
        <w:t xml:space="preserve">imputed </w:t>
      </w:r>
      <w:r w:rsidR="00800FB5">
        <w:t xml:space="preserve">and non-imputed </w:t>
      </w:r>
      <w:r w:rsidR="00E166BC">
        <w:t>data. Specifically this effect is almost certainly mainly due to the relatively increased variance in the imputed CASC scores, compared to non-imputed</w:t>
      </w:r>
      <w:r w:rsidR="00AB66E1">
        <w:t>.</w:t>
      </w:r>
    </w:p>
    <w:p w14:paraId="673916DF" w14:textId="77777777" w:rsidR="00AB66E1" w:rsidRDefault="00AB66E1" w:rsidP="00C750D7">
      <w:pPr>
        <w:spacing w:line="360" w:lineRule="auto"/>
      </w:pPr>
    </w:p>
    <w:p w14:paraId="142F67F1" w14:textId="77777777" w:rsidR="00A637A3" w:rsidRDefault="00A637A3" w:rsidP="00C750D7">
      <w:pPr>
        <w:spacing w:line="360" w:lineRule="auto"/>
      </w:pPr>
    </w:p>
    <w:p w14:paraId="79B356D9" w14:textId="77777777" w:rsidR="00D854BE" w:rsidRDefault="00D854BE" w:rsidP="00C750D7">
      <w:pPr>
        <w:spacing w:line="360" w:lineRule="auto"/>
      </w:pPr>
    </w:p>
    <w:p w14:paraId="7017BBEA" w14:textId="77777777" w:rsidR="00E166BC" w:rsidRDefault="00E166BC" w:rsidP="00C750D7">
      <w:pPr>
        <w:spacing w:line="360" w:lineRule="auto"/>
      </w:pPr>
      <w:r>
        <w:t xml:space="preserve"> </w:t>
      </w:r>
    </w:p>
    <w:p w14:paraId="5990EE3A" w14:textId="77777777" w:rsidR="00703374" w:rsidRPr="00680661" w:rsidRDefault="00703374" w:rsidP="00C750D7">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1600"/>
        <w:gridCol w:w="883"/>
        <w:gridCol w:w="1502"/>
        <w:gridCol w:w="1345"/>
        <w:gridCol w:w="1250"/>
      </w:tblGrid>
      <w:tr w:rsidR="00E166BC" w:rsidRPr="00680661" w14:paraId="4F487E72" w14:textId="77777777" w:rsidTr="002362F5">
        <w:tc>
          <w:tcPr>
            <w:tcW w:w="2761" w:type="dxa"/>
            <w:tcBorders>
              <w:top w:val="single" w:sz="4" w:space="0" w:color="auto"/>
              <w:bottom w:val="single" w:sz="4" w:space="0" w:color="auto"/>
            </w:tcBorders>
            <w:shd w:val="clear" w:color="auto" w:fill="auto"/>
            <w:vAlign w:val="bottom"/>
          </w:tcPr>
          <w:p w14:paraId="28100867" w14:textId="77777777" w:rsidR="00E166BC" w:rsidRPr="00680661" w:rsidRDefault="00E166BC" w:rsidP="002362F5">
            <w:pPr>
              <w:rPr>
                <w:b/>
                <w:color w:val="000000"/>
                <w:sz w:val="20"/>
                <w:szCs w:val="20"/>
              </w:rPr>
            </w:pPr>
            <w:r w:rsidRPr="00680661">
              <w:rPr>
                <w:b/>
                <w:color w:val="000000"/>
                <w:sz w:val="20"/>
                <w:szCs w:val="20"/>
              </w:rPr>
              <w:t xml:space="preserve">Selection assessment </w:t>
            </w:r>
          </w:p>
        </w:tc>
        <w:tc>
          <w:tcPr>
            <w:tcW w:w="1701" w:type="dxa"/>
            <w:tcBorders>
              <w:top w:val="single" w:sz="4" w:space="0" w:color="auto"/>
              <w:left w:val="nil"/>
              <w:bottom w:val="single" w:sz="4" w:space="0" w:color="auto"/>
            </w:tcBorders>
            <w:shd w:val="clear" w:color="auto" w:fill="auto"/>
            <w:vAlign w:val="bottom"/>
          </w:tcPr>
          <w:p w14:paraId="0A1F2F63" w14:textId="77777777" w:rsidR="00E166BC" w:rsidRPr="00680661" w:rsidRDefault="00E166BC" w:rsidP="002362F5">
            <w:pPr>
              <w:rPr>
                <w:b/>
                <w:color w:val="000000"/>
                <w:sz w:val="20"/>
                <w:szCs w:val="20"/>
              </w:rPr>
            </w:pPr>
            <w:r w:rsidRPr="00680661">
              <w:rPr>
                <w:b/>
                <w:color w:val="000000"/>
                <w:sz w:val="20"/>
                <w:szCs w:val="20"/>
              </w:rPr>
              <w:t>Coefficient (β)</w:t>
            </w:r>
          </w:p>
        </w:tc>
        <w:tc>
          <w:tcPr>
            <w:tcW w:w="897" w:type="dxa"/>
            <w:tcBorders>
              <w:top w:val="single" w:sz="4" w:space="0" w:color="auto"/>
              <w:bottom w:val="single" w:sz="4" w:space="0" w:color="auto"/>
            </w:tcBorders>
            <w:shd w:val="clear" w:color="auto" w:fill="auto"/>
            <w:vAlign w:val="bottom"/>
          </w:tcPr>
          <w:p w14:paraId="6969A5E1" w14:textId="77777777" w:rsidR="00E166BC" w:rsidRPr="00680661" w:rsidRDefault="00E166BC" w:rsidP="002362F5">
            <w:pPr>
              <w:jc w:val="center"/>
              <w:rPr>
                <w:b/>
                <w:color w:val="000000"/>
                <w:sz w:val="20"/>
                <w:szCs w:val="20"/>
              </w:rPr>
            </w:pPr>
            <w:r w:rsidRPr="00680661">
              <w:rPr>
                <w:b/>
                <w:color w:val="000000"/>
                <w:sz w:val="20"/>
                <w:szCs w:val="20"/>
              </w:rPr>
              <w:t>p</w:t>
            </w:r>
          </w:p>
        </w:tc>
        <w:tc>
          <w:tcPr>
            <w:tcW w:w="1723" w:type="dxa"/>
            <w:tcBorders>
              <w:top w:val="single" w:sz="4" w:space="0" w:color="auto"/>
              <w:bottom w:val="single" w:sz="4" w:space="0" w:color="auto"/>
            </w:tcBorders>
            <w:shd w:val="clear" w:color="auto" w:fill="auto"/>
            <w:vAlign w:val="bottom"/>
          </w:tcPr>
          <w:p w14:paraId="150D9C6E" w14:textId="77777777" w:rsidR="00E166BC" w:rsidRPr="00680661" w:rsidRDefault="00E166BC" w:rsidP="002362F5">
            <w:pPr>
              <w:jc w:val="center"/>
              <w:rPr>
                <w:b/>
                <w:color w:val="000000"/>
                <w:sz w:val="20"/>
                <w:szCs w:val="20"/>
              </w:rPr>
            </w:pPr>
            <w:r w:rsidRPr="00680661">
              <w:rPr>
                <w:b/>
                <w:color w:val="000000"/>
                <w:sz w:val="20"/>
                <w:szCs w:val="20"/>
              </w:rPr>
              <w:t>lower 95% CI</w:t>
            </w:r>
          </w:p>
        </w:tc>
        <w:tc>
          <w:tcPr>
            <w:tcW w:w="1511" w:type="dxa"/>
            <w:tcBorders>
              <w:top w:val="single" w:sz="4" w:space="0" w:color="auto"/>
              <w:bottom w:val="single" w:sz="4" w:space="0" w:color="auto"/>
            </w:tcBorders>
            <w:shd w:val="clear" w:color="auto" w:fill="auto"/>
            <w:vAlign w:val="bottom"/>
          </w:tcPr>
          <w:p w14:paraId="4636ECD2" w14:textId="77777777" w:rsidR="00E166BC" w:rsidRPr="00680661" w:rsidRDefault="00E166BC" w:rsidP="002362F5">
            <w:pPr>
              <w:jc w:val="center"/>
              <w:rPr>
                <w:b/>
                <w:color w:val="000000"/>
                <w:sz w:val="20"/>
                <w:szCs w:val="20"/>
              </w:rPr>
            </w:pPr>
            <w:r w:rsidRPr="00680661">
              <w:rPr>
                <w:b/>
                <w:color w:val="000000"/>
                <w:sz w:val="20"/>
                <w:szCs w:val="20"/>
              </w:rPr>
              <w:t>upper 95% CI</w:t>
            </w:r>
          </w:p>
        </w:tc>
        <w:tc>
          <w:tcPr>
            <w:tcW w:w="1379" w:type="dxa"/>
            <w:tcBorders>
              <w:top w:val="single" w:sz="4" w:space="0" w:color="auto"/>
              <w:bottom w:val="single" w:sz="4" w:space="0" w:color="auto"/>
            </w:tcBorders>
          </w:tcPr>
          <w:p w14:paraId="44280B5B" w14:textId="77777777" w:rsidR="00E166BC" w:rsidRPr="00680661" w:rsidRDefault="00E166BC" w:rsidP="002362F5">
            <w:pPr>
              <w:jc w:val="center"/>
              <w:rPr>
                <w:b/>
                <w:color w:val="000000"/>
                <w:sz w:val="20"/>
                <w:szCs w:val="20"/>
              </w:rPr>
            </w:pPr>
            <w:r w:rsidRPr="00680661">
              <w:rPr>
                <w:b/>
                <w:color w:val="000000"/>
                <w:sz w:val="20"/>
                <w:szCs w:val="20"/>
              </w:rPr>
              <w:t>R</w:t>
            </w:r>
            <w:r w:rsidRPr="00680661">
              <w:rPr>
                <w:b/>
                <w:color w:val="000000"/>
                <w:sz w:val="20"/>
                <w:szCs w:val="20"/>
                <w:vertAlign w:val="superscript"/>
              </w:rPr>
              <w:t>2</w:t>
            </w:r>
            <w:r w:rsidRPr="00680661">
              <w:rPr>
                <w:b/>
                <w:color w:val="000000"/>
                <w:sz w:val="20"/>
                <w:szCs w:val="20"/>
              </w:rPr>
              <w:t xml:space="preserve"> for the model </w:t>
            </w:r>
          </w:p>
        </w:tc>
      </w:tr>
      <w:tr w:rsidR="00E166BC" w:rsidRPr="00680661" w14:paraId="5A17FDFC" w14:textId="77777777" w:rsidTr="002362F5">
        <w:tc>
          <w:tcPr>
            <w:tcW w:w="8593" w:type="dxa"/>
            <w:gridSpan w:val="5"/>
            <w:shd w:val="clear" w:color="auto" w:fill="F2F2F2" w:themeFill="background1" w:themeFillShade="F2"/>
            <w:vAlign w:val="bottom"/>
          </w:tcPr>
          <w:p w14:paraId="2B27B3D5" w14:textId="77777777" w:rsidR="00E166BC" w:rsidRPr="00680661" w:rsidRDefault="00E166BC" w:rsidP="002362F5">
            <w:pPr>
              <w:jc w:val="center"/>
              <w:rPr>
                <w:b/>
                <w:color w:val="000000"/>
                <w:sz w:val="20"/>
                <w:szCs w:val="20"/>
              </w:rPr>
            </w:pPr>
            <w:r w:rsidRPr="00680661">
              <w:rPr>
                <w:b/>
                <w:color w:val="000000"/>
                <w:sz w:val="20"/>
                <w:szCs w:val="20"/>
              </w:rPr>
              <w:t>All applicants</w:t>
            </w:r>
          </w:p>
        </w:tc>
        <w:tc>
          <w:tcPr>
            <w:tcW w:w="1379" w:type="dxa"/>
            <w:tcBorders>
              <w:top w:val="single" w:sz="4" w:space="0" w:color="auto"/>
              <w:bottom w:val="single" w:sz="4" w:space="0" w:color="auto"/>
            </w:tcBorders>
            <w:shd w:val="clear" w:color="auto" w:fill="F2F2F2" w:themeFill="background1" w:themeFillShade="F2"/>
          </w:tcPr>
          <w:p w14:paraId="2D2AB2BE" w14:textId="77777777" w:rsidR="00E166BC" w:rsidRPr="00680661" w:rsidRDefault="00E166BC" w:rsidP="002362F5">
            <w:pPr>
              <w:jc w:val="center"/>
              <w:rPr>
                <w:b/>
                <w:color w:val="000000"/>
                <w:sz w:val="20"/>
                <w:szCs w:val="20"/>
              </w:rPr>
            </w:pPr>
          </w:p>
        </w:tc>
      </w:tr>
      <w:tr w:rsidR="00E166BC" w:rsidRPr="00680661" w14:paraId="5C082445" w14:textId="77777777" w:rsidTr="002362F5">
        <w:tc>
          <w:tcPr>
            <w:tcW w:w="2761" w:type="dxa"/>
            <w:tcBorders>
              <w:top w:val="single" w:sz="4" w:space="0" w:color="auto"/>
            </w:tcBorders>
            <w:shd w:val="clear" w:color="auto" w:fill="auto"/>
            <w:vAlign w:val="bottom"/>
          </w:tcPr>
          <w:p w14:paraId="65779A04" w14:textId="77777777" w:rsidR="00E166BC" w:rsidRPr="00680661" w:rsidRDefault="00E166BC" w:rsidP="002362F5">
            <w:pPr>
              <w:rPr>
                <w:color w:val="000000"/>
                <w:sz w:val="20"/>
                <w:szCs w:val="20"/>
              </w:rPr>
            </w:pPr>
            <w:r w:rsidRPr="00680661">
              <w:rPr>
                <w:bCs/>
                <w:sz w:val="20"/>
                <w:szCs w:val="20"/>
              </w:rPr>
              <w:t>Clinical Problem Solving</w:t>
            </w:r>
          </w:p>
        </w:tc>
        <w:tc>
          <w:tcPr>
            <w:tcW w:w="1701" w:type="dxa"/>
            <w:tcBorders>
              <w:top w:val="single" w:sz="4" w:space="0" w:color="auto"/>
              <w:left w:val="nil"/>
            </w:tcBorders>
            <w:shd w:val="clear" w:color="auto" w:fill="auto"/>
            <w:vAlign w:val="bottom"/>
          </w:tcPr>
          <w:p w14:paraId="385C73C1" w14:textId="77777777" w:rsidR="00E166BC" w:rsidRPr="00680661" w:rsidRDefault="00E166BC" w:rsidP="002362F5">
            <w:pPr>
              <w:rPr>
                <w:sz w:val="20"/>
                <w:szCs w:val="20"/>
              </w:rPr>
            </w:pPr>
            <w:r w:rsidRPr="00680661">
              <w:rPr>
                <w:sz w:val="20"/>
                <w:szCs w:val="20"/>
              </w:rPr>
              <w:t>.04 (.20)</w:t>
            </w:r>
          </w:p>
        </w:tc>
        <w:tc>
          <w:tcPr>
            <w:tcW w:w="897" w:type="dxa"/>
            <w:tcBorders>
              <w:top w:val="single" w:sz="4" w:space="0" w:color="auto"/>
            </w:tcBorders>
            <w:shd w:val="clear" w:color="auto" w:fill="auto"/>
            <w:vAlign w:val="bottom"/>
          </w:tcPr>
          <w:p w14:paraId="4DD186F5" w14:textId="77777777" w:rsidR="00E166BC" w:rsidRPr="00680661" w:rsidRDefault="00E166BC" w:rsidP="002362F5">
            <w:pPr>
              <w:jc w:val="center"/>
              <w:rPr>
                <w:color w:val="000000"/>
                <w:sz w:val="20"/>
                <w:szCs w:val="20"/>
              </w:rPr>
            </w:pPr>
            <w:r w:rsidRPr="00680661">
              <w:rPr>
                <w:color w:val="000000"/>
                <w:sz w:val="20"/>
                <w:szCs w:val="20"/>
              </w:rPr>
              <w:t>&lt;0.001</w:t>
            </w:r>
          </w:p>
        </w:tc>
        <w:tc>
          <w:tcPr>
            <w:tcW w:w="1723" w:type="dxa"/>
            <w:tcBorders>
              <w:top w:val="single" w:sz="4" w:space="0" w:color="auto"/>
            </w:tcBorders>
            <w:shd w:val="clear" w:color="auto" w:fill="auto"/>
            <w:vAlign w:val="bottom"/>
          </w:tcPr>
          <w:p w14:paraId="7A3348A8" w14:textId="77777777" w:rsidR="00E166BC" w:rsidRPr="00680661" w:rsidRDefault="00E166BC" w:rsidP="002362F5">
            <w:pPr>
              <w:jc w:val="center"/>
              <w:rPr>
                <w:color w:val="000000"/>
                <w:sz w:val="20"/>
                <w:szCs w:val="20"/>
              </w:rPr>
            </w:pPr>
            <w:r w:rsidRPr="00680661">
              <w:rPr>
                <w:color w:val="000000"/>
                <w:sz w:val="20"/>
                <w:szCs w:val="20"/>
              </w:rPr>
              <w:t>0.02</w:t>
            </w:r>
          </w:p>
        </w:tc>
        <w:tc>
          <w:tcPr>
            <w:tcW w:w="1511" w:type="dxa"/>
            <w:tcBorders>
              <w:top w:val="single" w:sz="4" w:space="0" w:color="auto"/>
            </w:tcBorders>
            <w:shd w:val="clear" w:color="auto" w:fill="auto"/>
            <w:vAlign w:val="bottom"/>
          </w:tcPr>
          <w:p w14:paraId="1C774534" w14:textId="77777777" w:rsidR="00E166BC" w:rsidRPr="00680661" w:rsidRDefault="00E166BC" w:rsidP="002362F5">
            <w:pPr>
              <w:jc w:val="center"/>
              <w:rPr>
                <w:color w:val="000000"/>
                <w:sz w:val="20"/>
                <w:szCs w:val="20"/>
              </w:rPr>
            </w:pPr>
            <w:r w:rsidRPr="00680661">
              <w:rPr>
                <w:color w:val="000000"/>
                <w:sz w:val="20"/>
                <w:szCs w:val="20"/>
              </w:rPr>
              <w:t>0.05</w:t>
            </w:r>
          </w:p>
        </w:tc>
        <w:tc>
          <w:tcPr>
            <w:tcW w:w="1379" w:type="dxa"/>
            <w:vMerge w:val="restart"/>
            <w:tcBorders>
              <w:top w:val="single" w:sz="4" w:space="0" w:color="auto"/>
            </w:tcBorders>
          </w:tcPr>
          <w:p w14:paraId="26A68C39" w14:textId="77777777" w:rsidR="00E166BC" w:rsidRPr="00680661" w:rsidRDefault="00E166BC" w:rsidP="002362F5">
            <w:pPr>
              <w:jc w:val="center"/>
              <w:rPr>
                <w:color w:val="000000"/>
                <w:sz w:val="20"/>
                <w:szCs w:val="20"/>
              </w:rPr>
            </w:pPr>
          </w:p>
          <w:p w14:paraId="5E5E2040" w14:textId="77777777" w:rsidR="00E166BC" w:rsidRPr="00680661" w:rsidRDefault="00E166BC" w:rsidP="002362F5">
            <w:pPr>
              <w:jc w:val="center"/>
              <w:rPr>
                <w:color w:val="000000"/>
                <w:sz w:val="20"/>
                <w:szCs w:val="20"/>
              </w:rPr>
            </w:pPr>
            <w:r w:rsidRPr="00680661">
              <w:rPr>
                <w:color w:val="000000"/>
                <w:sz w:val="20"/>
                <w:szCs w:val="20"/>
              </w:rPr>
              <w:t>0.45</w:t>
            </w:r>
          </w:p>
        </w:tc>
      </w:tr>
      <w:tr w:rsidR="00E166BC" w:rsidRPr="00680661" w14:paraId="2E12595A" w14:textId="77777777" w:rsidTr="002362F5">
        <w:tc>
          <w:tcPr>
            <w:tcW w:w="2761" w:type="dxa"/>
            <w:shd w:val="clear" w:color="auto" w:fill="auto"/>
            <w:vAlign w:val="bottom"/>
          </w:tcPr>
          <w:p w14:paraId="3F644FEC" w14:textId="77777777" w:rsidR="00E166BC" w:rsidRPr="00680661" w:rsidRDefault="00E166BC" w:rsidP="002362F5">
            <w:pPr>
              <w:rPr>
                <w:color w:val="000000"/>
                <w:sz w:val="20"/>
                <w:szCs w:val="20"/>
              </w:rPr>
            </w:pPr>
            <w:r w:rsidRPr="00680661">
              <w:rPr>
                <w:color w:val="000000"/>
                <w:sz w:val="20"/>
                <w:szCs w:val="20"/>
              </w:rPr>
              <w:t>Situational Judgement Test</w:t>
            </w:r>
          </w:p>
        </w:tc>
        <w:tc>
          <w:tcPr>
            <w:tcW w:w="1701" w:type="dxa"/>
            <w:shd w:val="clear" w:color="auto" w:fill="auto"/>
            <w:vAlign w:val="bottom"/>
          </w:tcPr>
          <w:p w14:paraId="065AD6F2" w14:textId="77777777" w:rsidR="00E166BC" w:rsidRPr="00680661" w:rsidRDefault="00E166BC" w:rsidP="002362F5">
            <w:pPr>
              <w:rPr>
                <w:sz w:val="20"/>
                <w:szCs w:val="20"/>
              </w:rPr>
            </w:pPr>
            <w:r w:rsidRPr="00680661">
              <w:rPr>
                <w:sz w:val="20"/>
                <w:szCs w:val="20"/>
              </w:rPr>
              <w:t>.06 (.31)</w:t>
            </w:r>
          </w:p>
        </w:tc>
        <w:tc>
          <w:tcPr>
            <w:tcW w:w="897" w:type="dxa"/>
            <w:shd w:val="clear" w:color="auto" w:fill="auto"/>
            <w:vAlign w:val="bottom"/>
          </w:tcPr>
          <w:p w14:paraId="65F4BCF5" w14:textId="77777777" w:rsidR="00E166BC" w:rsidRPr="00680661" w:rsidRDefault="00E166BC" w:rsidP="002362F5">
            <w:pPr>
              <w:jc w:val="center"/>
              <w:rPr>
                <w:color w:val="000000"/>
                <w:sz w:val="20"/>
                <w:szCs w:val="20"/>
              </w:rPr>
            </w:pPr>
            <w:r w:rsidRPr="00680661">
              <w:rPr>
                <w:color w:val="000000"/>
                <w:sz w:val="20"/>
                <w:szCs w:val="20"/>
              </w:rPr>
              <w:t>&lt;0.001</w:t>
            </w:r>
          </w:p>
        </w:tc>
        <w:tc>
          <w:tcPr>
            <w:tcW w:w="1723" w:type="dxa"/>
            <w:shd w:val="clear" w:color="auto" w:fill="auto"/>
            <w:vAlign w:val="bottom"/>
          </w:tcPr>
          <w:p w14:paraId="7901E1EF" w14:textId="77777777" w:rsidR="00E166BC" w:rsidRPr="00680661" w:rsidRDefault="00E166BC" w:rsidP="002362F5">
            <w:pPr>
              <w:jc w:val="center"/>
              <w:rPr>
                <w:color w:val="000000"/>
                <w:sz w:val="20"/>
                <w:szCs w:val="20"/>
              </w:rPr>
            </w:pPr>
            <w:r w:rsidRPr="00680661">
              <w:rPr>
                <w:color w:val="000000"/>
                <w:sz w:val="20"/>
                <w:szCs w:val="20"/>
              </w:rPr>
              <w:t>0.05</w:t>
            </w:r>
          </w:p>
        </w:tc>
        <w:tc>
          <w:tcPr>
            <w:tcW w:w="1511" w:type="dxa"/>
            <w:shd w:val="clear" w:color="auto" w:fill="auto"/>
            <w:vAlign w:val="bottom"/>
          </w:tcPr>
          <w:p w14:paraId="58459358" w14:textId="77777777" w:rsidR="00E166BC" w:rsidRPr="00680661" w:rsidRDefault="00E166BC" w:rsidP="002362F5">
            <w:pPr>
              <w:jc w:val="center"/>
              <w:rPr>
                <w:color w:val="000000"/>
                <w:sz w:val="20"/>
                <w:szCs w:val="20"/>
              </w:rPr>
            </w:pPr>
            <w:r w:rsidRPr="00680661">
              <w:rPr>
                <w:color w:val="000000"/>
                <w:sz w:val="20"/>
                <w:szCs w:val="20"/>
              </w:rPr>
              <w:t>0.08</w:t>
            </w:r>
          </w:p>
        </w:tc>
        <w:tc>
          <w:tcPr>
            <w:tcW w:w="1379" w:type="dxa"/>
            <w:vMerge/>
          </w:tcPr>
          <w:p w14:paraId="00328B30" w14:textId="77777777" w:rsidR="00E166BC" w:rsidRPr="00680661" w:rsidRDefault="00E166BC" w:rsidP="002362F5">
            <w:pPr>
              <w:jc w:val="center"/>
              <w:rPr>
                <w:color w:val="000000"/>
                <w:sz w:val="20"/>
                <w:szCs w:val="20"/>
              </w:rPr>
            </w:pPr>
          </w:p>
        </w:tc>
      </w:tr>
      <w:tr w:rsidR="00E166BC" w:rsidRPr="00680661" w14:paraId="35A3D5C2" w14:textId="77777777" w:rsidTr="002362F5">
        <w:tc>
          <w:tcPr>
            <w:tcW w:w="2761" w:type="dxa"/>
            <w:shd w:val="clear" w:color="auto" w:fill="auto"/>
            <w:vAlign w:val="bottom"/>
          </w:tcPr>
          <w:p w14:paraId="10FA8BEB" w14:textId="77777777" w:rsidR="00E166BC" w:rsidRPr="00680661" w:rsidRDefault="00E166BC" w:rsidP="002362F5">
            <w:pPr>
              <w:rPr>
                <w:color w:val="000000"/>
                <w:sz w:val="20"/>
                <w:szCs w:val="20"/>
              </w:rPr>
            </w:pPr>
            <w:r w:rsidRPr="00680661">
              <w:rPr>
                <w:color w:val="000000"/>
                <w:sz w:val="20"/>
                <w:szCs w:val="20"/>
              </w:rPr>
              <w:t xml:space="preserve">Selection Centre </w:t>
            </w:r>
          </w:p>
        </w:tc>
        <w:tc>
          <w:tcPr>
            <w:tcW w:w="1701" w:type="dxa"/>
            <w:shd w:val="clear" w:color="auto" w:fill="auto"/>
            <w:vAlign w:val="bottom"/>
          </w:tcPr>
          <w:p w14:paraId="76D67D66" w14:textId="77777777" w:rsidR="00E166BC" w:rsidRPr="00680661" w:rsidRDefault="00E166BC" w:rsidP="002362F5">
            <w:pPr>
              <w:rPr>
                <w:color w:val="000000"/>
                <w:sz w:val="20"/>
                <w:szCs w:val="20"/>
              </w:rPr>
            </w:pPr>
            <w:r w:rsidRPr="00680661">
              <w:rPr>
                <w:color w:val="000000"/>
                <w:sz w:val="20"/>
                <w:szCs w:val="20"/>
              </w:rPr>
              <w:t>.23 (.34)</w:t>
            </w:r>
          </w:p>
        </w:tc>
        <w:tc>
          <w:tcPr>
            <w:tcW w:w="897" w:type="dxa"/>
            <w:tcBorders>
              <w:bottom w:val="single" w:sz="4" w:space="0" w:color="auto"/>
            </w:tcBorders>
            <w:shd w:val="clear" w:color="auto" w:fill="auto"/>
            <w:vAlign w:val="bottom"/>
          </w:tcPr>
          <w:p w14:paraId="1D95B9C1" w14:textId="77777777" w:rsidR="00E166BC" w:rsidRPr="00680661" w:rsidRDefault="00E166BC" w:rsidP="002362F5">
            <w:pPr>
              <w:jc w:val="center"/>
              <w:rPr>
                <w:color w:val="000000"/>
                <w:sz w:val="20"/>
                <w:szCs w:val="20"/>
              </w:rPr>
            </w:pPr>
            <w:r w:rsidRPr="00680661">
              <w:rPr>
                <w:color w:val="000000"/>
                <w:sz w:val="20"/>
                <w:szCs w:val="20"/>
              </w:rPr>
              <w:t>&lt;0.001</w:t>
            </w:r>
          </w:p>
        </w:tc>
        <w:tc>
          <w:tcPr>
            <w:tcW w:w="1723" w:type="dxa"/>
            <w:tcBorders>
              <w:bottom w:val="single" w:sz="4" w:space="0" w:color="auto"/>
            </w:tcBorders>
            <w:shd w:val="clear" w:color="auto" w:fill="auto"/>
            <w:vAlign w:val="bottom"/>
          </w:tcPr>
          <w:p w14:paraId="1403D2CB" w14:textId="77777777" w:rsidR="00E166BC" w:rsidRPr="00680661" w:rsidRDefault="00E166BC" w:rsidP="002362F5">
            <w:pPr>
              <w:jc w:val="center"/>
              <w:rPr>
                <w:color w:val="000000"/>
                <w:sz w:val="20"/>
                <w:szCs w:val="20"/>
              </w:rPr>
            </w:pPr>
            <w:r w:rsidRPr="00680661">
              <w:rPr>
                <w:color w:val="000000"/>
                <w:sz w:val="20"/>
                <w:szCs w:val="20"/>
              </w:rPr>
              <w:t>0.18</w:t>
            </w:r>
          </w:p>
        </w:tc>
        <w:tc>
          <w:tcPr>
            <w:tcW w:w="1511" w:type="dxa"/>
            <w:tcBorders>
              <w:bottom w:val="single" w:sz="4" w:space="0" w:color="auto"/>
            </w:tcBorders>
            <w:shd w:val="clear" w:color="auto" w:fill="auto"/>
            <w:vAlign w:val="bottom"/>
          </w:tcPr>
          <w:p w14:paraId="71BA79A1" w14:textId="77777777" w:rsidR="00E166BC" w:rsidRPr="00680661" w:rsidRDefault="00E166BC" w:rsidP="002362F5">
            <w:pPr>
              <w:jc w:val="center"/>
              <w:rPr>
                <w:color w:val="000000"/>
                <w:sz w:val="20"/>
                <w:szCs w:val="20"/>
              </w:rPr>
            </w:pPr>
            <w:r w:rsidRPr="00680661">
              <w:rPr>
                <w:color w:val="000000"/>
                <w:sz w:val="20"/>
                <w:szCs w:val="20"/>
              </w:rPr>
              <w:t>0.28</w:t>
            </w:r>
          </w:p>
        </w:tc>
        <w:tc>
          <w:tcPr>
            <w:tcW w:w="1379" w:type="dxa"/>
            <w:vMerge/>
            <w:tcBorders>
              <w:bottom w:val="single" w:sz="4" w:space="0" w:color="auto"/>
            </w:tcBorders>
          </w:tcPr>
          <w:p w14:paraId="19D9050F" w14:textId="77777777" w:rsidR="00E166BC" w:rsidRPr="00680661" w:rsidRDefault="00E166BC" w:rsidP="002362F5">
            <w:pPr>
              <w:jc w:val="center"/>
              <w:rPr>
                <w:color w:val="000000"/>
                <w:sz w:val="20"/>
                <w:szCs w:val="20"/>
              </w:rPr>
            </w:pPr>
          </w:p>
        </w:tc>
      </w:tr>
      <w:tr w:rsidR="00E166BC" w:rsidRPr="00680661" w14:paraId="2F58CCEF"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2" w:type="dxa"/>
            <w:gridSpan w:val="6"/>
            <w:tcBorders>
              <w:top w:val="single" w:sz="4" w:space="0" w:color="auto"/>
              <w:left w:val="nil"/>
              <w:bottom w:val="single" w:sz="4" w:space="0" w:color="auto"/>
              <w:right w:val="nil"/>
            </w:tcBorders>
            <w:shd w:val="clear" w:color="auto" w:fill="F2F2F2" w:themeFill="background1" w:themeFillShade="F2"/>
          </w:tcPr>
          <w:p w14:paraId="694C4DFD" w14:textId="77777777" w:rsidR="00E166BC" w:rsidRPr="00680661" w:rsidRDefault="00E166BC" w:rsidP="002362F5">
            <w:pPr>
              <w:jc w:val="center"/>
              <w:rPr>
                <w:b/>
                <w:color w:val="000000"/>
                <w:sz w:val="20"/>
                <w:szCs w:val="20"/>
              </w:rPr>
            </w:pPr>
            <w:r w:rsidRPr="00680661">
              <w:rPr>
                <w:b/>
                <w:color w:val="000000"/>
                <w:sz w:val="20"/>
                <w:szCs w:val="20"/>
              </w:rPr>
              <w:t>Applicants scoring below 484 (hypothetical screening cut-off) on the MSRA</w:t>
            </w:r>
          </w:p>
        </w:tc>
      </w:tr>
      <w:tr w:rsidR="00E166BC" w:rsidRPr="00680661" w14:paraId="49A96027"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tcBorders>
              <w:top w:val="single" w:sz="4" w:space="0" w:color="auto"/>
              <w:left w:val="nil"/>
              <w:bottom w:val="nil"/>
              <w:right w:val="nil"/>
            </w:tcBorders>
          </w:tcPr>
          <w:p w14:paraId="7CBAC77C" w14:textId="77777777" w:rsidR="00E166BC" w:rsidRPr="00680661" w:rsidRDefault="00E166BC" w:rsidP="002362F5">
            <w:pPr>
              <w:rPr>
                <w:color w:val="000000"/>
                <w:sz w:val="20"/>
                <w:szCs w:val="20"/>
              </w:rPr>
            </w:pPr>
            <w:r w:rsidRPr="00680661">
              <w:rPr>
                <w:bCs/>
                <w:sz w:val="20"/>
                <w:szCs w:val="20"/>
              </w:rPr>
              <w:t>Clinical Problem Solving</w:t>
            </w:r>
          </w:p>
        </w:tc>
        <w:tc>
          <w:tcPr>
            <w:tcW w:w="1701" w:type="dxa"/>
            <w:tcBorders>
              <w:top w:val="single" w:sz="4" w:space="0" w:color="auto"/>
              <w:left w:val="nil"/>
              <w:bottom w:val="nil"/>
              <w:right w:val="nil"/>
            </w:tcBorders>
          </w:tcPr>
          <w:p w14:paraId="2483D802" w14:textId="77777777" w:rsidR="00E166BC" w:rsidRPr="00680661" w:rsidRDefault="00E166BC" w:rsidP="002362F5">
            <w:pPr>
              <w:pStyle w:val="Standard"/>
              <w:rPr>
                <w:bCs/>
                <w:sz w:val="20"/>
                <w:szCs w:val="20"/>
                <w:lang w:val="en-GB"/>
              </w:rPr>
            </w:pPr>
            <w:r w:rsidRPr="00680661">
              <w:rPr>
                <w:bCs/>
                <w:sz w:val="20"/>
                <w:szCs w:val="20"/>
                <w:lang w:val="en-GB"/>
              </w:rPr>
              <w:t>0.03 (0.13)</w:t>
            </w:r>
          </w:p>
        </w:tc>
        <w:tc>
          <w:tcPr>
            <w:tcW w:w="897" w:type="dxa"/>
            <w:tcBorders>
              <w:top w:val="single" w:sz="4" w:space="0" w:color="auto"/>
              <w:left w:val="nil"/>
              <w:bottom w:val="nil"/>
              <w:right w:val="nil"/>
            </w:tcBorders>
          </w:tcPr>
          <w:p w14:paraId="71029738" w14:textId="77777777" w:rsidR="00E166BC" w:rsidRPr="00680661" w:rsidRDefault="00E166BC" w:rsidP="002362F5">
            <w:pPr>
              <w:pStyle w:val="Standard"/>
              <w:rPr>
                <w:bCs/>
                <w:sz w:val="20"/>
                <w:szCs w:val="20"/>
                <w:lang w:val="en-GB"/>
              </w:rPr>
            </w:pPr>
            <w:r w:rsidRPr="00680661">
              <w:rPr>
                <w:bCs/>
                <w:sz w:val="20"/>
                <w:szCs w:val="20"/>
                <w:lang w:val="en-GB"/>
              </w:rPr>
              <w:t>&lt;0.001</w:t>
            </w:r>
          </w:p>
        </w:tc>
        <w:tc>
          <w:tcPr>
            <w:tcW w:w="1723" w:type="dxa"/>
            <w:tcBorders>
              <w:top w:val="single" w:sz="4" w:space="0" w:color="auto"/>
              <w:left w:val="nil"/>
              <w:bottom w:val="nil"/>
              <w:right w:val="nil"/>
            </w:tcBorders>
          </w:tcPr>
          <w:p w14:paraId="0B703F06" w14:textId="77777777" w:rsidR="00E166BC" w:rsidRPr="00680661" w:rsidRDefault="00E166BC" w:rsidP="002362F5">
            <w:pPr>
              <w:pStyle w:val="Standard"/>
              <w:jc w:val="center"/>
              <w:rPr>
                <w:bCs/>
                <w:sz w:val="20"/>
                <w:szCs w:val="20"/>
                <w:lang w:val="en-GB"/>
              </w:rPr>
            </w:pPr>
            <w:r w:rsidRPr="00680661">
              <w:rPr>
                <w:bCs/>
                <w:sz w:val="20"/>
                <w:szCs w:val="20"/>
                <w:lang w:val="en-GB"/>
              </w:rPr>
              <w:t>0.01</w:t>
            </w:r>
          </w:p>
        </w:tc>
        <w:tc>
          <w:tcPr>
            <w:tcW w:w="1511" w:type="dxa"/>
            <w:tcBorders>
              <w:top w:val="single" w:sz="4" w:space="0" w:color="auto"/>
              <w:left w:val="nil"/>
              <w:bottom w:val="nil"/>
              <w:right w:val="nil"/>
            </w:tcBorders>
          </w:tcPr>
          <w:p w14:paraId="6C2E906F" w14:textId="77777777" w:rsidR="00E166BC" w:rsidRPr="00680661" w:rsidRDefault="00E166BC" w:rsidP="002362F5">
            <w:pPr>
              <w:pStyle w:val="Standard"/>
              <w:jc w:val="center"/>
              <w:rPr>
                <w:bCs/>
                <w:sz w:val="20"/>
                <w:szCs w:val="20"/>
                <w:lang w:val="en-GB"/>
              </w:rPr>
            </w:pPr>
            <w:r w:rsidRPr="00680661">
              <w:rPr>
                <w:bCs/>
                <w:sz w:val="20"/>
                <w:szCs w:val="20"/>
                <w:lang w:val="en-GB"/>
              </w:rPr>
              <w:t>0.04</w:t>
            </w:r>
          </w:p>
        </w:tc>
        <w:tc>
          <w:tcPr>
            <w:tcW w:w="1379" w:type="dxa"/>
            <w:vMerge w:val="restart"/>
            <w:tcBorders>
              <w:top w:val="single" w:sz="4" w:space="0" w:color="auto"/>
              <w:left w:val="nil"/>
              <w:bottom w:val="nil"/>
              <w:right w:val="nil"/>
            </w:tcBorders>
          </w:tcPr>
          <w:p w14:paraId="5167E88F" w14:textId="77777777" w:rsidR="00E166BC" w:rsidRPr="00680661" w:rsidRDefault="00E166BC" w:rsidP="002362F5">
            <w:pPr>
              <w:pStyle w:val="Standard"/>
              <w:jc w:val="center"/>
              <w:rPr>
                <w:bCs/>
                <w:sz w:val="20"/>
                <w:szCs w:val="20"/>
                <w:lang w:val="en-GB"/>
              </w:rPr>
            </w:pPr>
          </w:p>
          <w:p w14:paraId="1A51A811" w14:textId="77777777" w:rsidR="00E166BC" w:rsidRPr="00680661" w:rsidRDefault="00E166BC" w:rsidP="002362F5">
            <w:pPr>
              <w:pStyle w:val="Standard"/>
              <w:jc w:val="center"/>
              <w:rPr>
                <w:bCs/>
                <w:sz w:val="20"/>
                <w:szCs w:val="20"/>
                <w:lang w:val="en-GB"/>
              </w:rPr>
            </w:pPr>
            <w:r w:rsidRPr="00680661">
              <w:rPr>
                <w:bCs/>
                <w:sz w:val="20"/>
                <w:szCs w:val="20"/>
                <w:lang w:val="en-GB"/>
              </w:rPr>
              <w:t>0.26</w:t>
            </w:r>
          </w:p>
        </w:tc>
      </w:tr>
      <w:tr w:rsidR="00E166BC" w:rsidRPr="00680661" w14:paraId="09F9A74A"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tcBorders>
              <w:top w:val="nil"/>
              <w:left w:val="nil"/>
              <w:bottom w:val="nil"/>
              <w:right w:val="nil"/>
            </w:tcBorders>
          </w:tcPr>
          <w:p w14:paraId="01DA990E" w14:textId="77777777" w:rsidR="00E166BC" w:rsidRPr="00680661" w:rsidRDefault="00E166BC" w:rsidP="002362F5">
            <w:pPr>
              <w:rPr>
                <w:color w:val="000000"/>
                <w:sz w:val="20"/>
                <w:szCs w:val="20"/>
              </w:rPr>
            </w:pPr>
            <w:r w:rsidRPr="00680661">
              <w:rPr>
                <w:color w:val="000000"/>
                <w:sz w:val="20"/>
                <w:szCs w:val="20"/>
              </w:rPr>
              <w:t>Situational Judgement Test</w:t>
            </w:r>
          </w:p>
        </w:tc>
        <w:tc>
          <w:tcPr>
            <w:tcW w:w="1701" w:type="dxa"/>
            <w:tcBorders>
              <w:top w:val="nil"/>
              <w:left w:val="nil"/>
              <w:bottom w:val="nil"/>
              <w:right w:val="nil"/>
            </w:tcBorders>
          </w:tcPr>
          <w:p w14:paraId="3A2E5C3E" w14:textId="77777777" w:rsidR="00E166BC" w:rsidRPr="00680661" w:rsidRDefault="00E166BC" w:rsidP="002362F5">
            <w:pPr>
              <w:pStyle w:val="Standard"/>
              <w:rPr>
                <w:bCs/>
                <w:sz w:val="20"/>
                <w:szCs w:val="20"/>
                <w:lang w:val="en-GB"/>
              </w:rPr>
            </w:pPr>
            <w:r w:rsidRPr="00680661">
              <w:rPr>
                <w:bCs/>
                <w:sz w:val="20"/>
                <w:szCs w:val="20"/>
                <w:lang w:val="en-GB"/>
              </w:rPr>
              <w:t>0.06 (0.24)</w:t>
            </w:r>
          </w:p>
        </w:tc>
        <w:tc>
          <w:tcPr>
            <w:tcW w:w="897" w:type="dxa"/>
            <w:tcBorders>
              <w:top w:val="nil"/>
              <w:left w:val="nil"/>
              <w:bottom w:val="nil"/>
              <w:right w:val="nil"/>
            </w:tcBorders>
          </w:tcPr>
          <w:p w14:paraId="1F958C2C" w14:textId="77777777" w:rsidR="00E166BC" w:rsidRPr="00680661" w:rsidRDefault="00E166BC" w:rsidP="002362F5">
            <w:pPr>
              <w:pStyle w:val="Standard"/>
              <w:rPr>
                <w:bCs/>
                <w:sz w:val="20"/>
                <w:szCs w:val="20"/>
                <w:lang w:val="en-GB"/>
              </w:rPr>
            </w:pPr>
            <w:r w:rsidRPr="00680661">
              <w:rPr>
                <w:bCs/>
                <w:sz w:val="20"/>
                <w:szCs w:val="20"/>
                <w:lang w:val="en-GB"/>
              </w:rPr>
              <w:t>&lt;0.001</w:t>
            </w:r>
          </w:p>
        </w:tc>
        <w:tc>
          <w:tcPr>
            <w:tcW w:w="1723" w:type="dxa"/>
            <w:tcBorders>
              <w:top w:val="nil"/>
              <w:left w:val="nil"/>
              <w:bottom w:val="nil"/>
              <w:right w:val="nil"/>
            </w:tcBorders>
          </w:tcPr>
          <w:p w14:paraId="472F2FB4" w14:textId="77777777" w:rsidR="00E166BC" w:rsidRPr="00680661" w:rsidRDefault="00E166BC" w:rsidP="002362F5">
            <w:pPr>
              <w:pStyle w:val="Standard"/>
              <w:jc w:val="center"/>
              <w:rPr>
                <w:bCs/>
                <w:sz w:val="20"/>
                <w:szCs w:val="20"/>
                <w:lang w:val="en-GB"/>
              </w:rPr>
            </w:pPr>
            <w:r w:rsidRPr="00680661">
              <w:rPr>
                <w:bCs/>
                <w:sz w:val="20"/>
                <w:szCs w:val="20"/>
                <w:lang w:val="en-GB"/>
              </w:rPr>
              <w:t>0.04</w:t>
            </w:r>
          </w:p>
        </w:tc>
        <w:tc>
          <w:tcPr>
            <w:tcW w:w="1511" w:type="dxa"/>
            <w:tcBorders>
              <w:top w:val="nil"/>
              <w:left w:val="nil"/>
              <w:bottom w:val="nil"/>
              <w:right w:val="nil"/>
            </w:tcBorders>
          </w:tcPr>
          <w:p w14:paraId="7845DD4F" w14:textId="77777777" w:rsidR="00E166BC" w:rsidRPr="00680661" w:rsidRDefault="00E166BC" w:rsidP="002362F5">
            <w:pPr>
              <w:pStyle w:val="Standard"/>
              <w:jc w:val="center"/>
              <w:rPr>
                <w:bCs/>
                <w:sz w:val="20"/>
                <w:szCs w:val="20"/>
                <w:lang w:val="en-GB"/>
              </w:rPr>
            </w:pPr>
            <w:r w:rsidRPr="00680661">
              <w:rPr>
                <w:bCs/>
                <w:sz w:val="20"/>
                <w:szCs w:val="20"/>
                <w:lang w:val="en-GB"/>
              </w:rPr>
              <w:t>0.08</w:t>
            </w:r>
          </w:p>
        </w:tc>
        <w:tc>
          <w:tcPr>
            <w:tcW w:w="1379" w:type="dxa"/>
            <w:vMerge/>
            <w:tcBorders>
              <w:top w:val="nil"/>
              <w:left w:val="nil"/>
              <w:bottom w:val="nil"/>
              <w:right w:val="nil"/>
            </w:tcBorders>
          </w:tcPr>
          <w:p w14:paraId="2B48267F" w14:textId="77777777" w:rsidR="00E166BC" w:rsidRPr="00680661" w:rsidRDefault="00E166BC" w:rsidP="002362F5">
            <w:pPr>
              <w:pStyle w:val="Standard"/>
              <w:rPr>
                <w:bCs/>
                <w:sz w:val="20"/>
                <w:szCs w:val="20"/>
                <w:lang w:val="en-GB"/>
              </w:rPr>
            </w:pPr>
          </w:p>
        </w:tc>
      </w:tr>
      <w:tr w:rsidR="00E166BC" w:rsidRPr="00680661" w14:paraId="3C9F67D6"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tcBorders>
              <w:top w:val="nil"/>
              <w:left w:val="nil"/>
              <w:bottom w:val="single" w:sz="4" w:space="0" w:color="auto"/>
              <w:right w:val="nil"/>
            </w:tcBorders>
          </w:tcPr>
          <w:p w14:paraId="49936A7E" w14:textId="77777777" w:rsidR="00E166BC" w:rsidRPr="00680661" w:rsidRDefault="00E166BC" w:rsidP="002362F5">
            <w:pPr>
              <w:rPr>
                <w:color w:val="000000"/>
                <w:sz w:val="20"/>
                <w:szCs w:val="20"/>
              </w:rPr>
            </w:pPr>
            <w:r w:rsidRPr="00680661">
              <w:rPr>
                <w:color w:val="000000"/>
                <w:sz w:val="20"/>
                <w:szCs w:val="20"/>
              </w:rPr>
              <w:t xml:space="preserve">Selection Centre </w:t>
            </w:r>
          </w:p>
        </w:tc>
        <w:tc>
          <w:tcPr>
            <w:tcW w:w="1701" w:type="dxa"/>
            <w:tcBorders>
              <w:top w:val="nil"/>
              <w:left w:val="nil"/>
              <w:bottom w:val="single" w:sz="4" w:space="0" w:color="auto"/>
              <w:right w:val="nil"/>
            </w:tcBorders>
          </w:tcPr>
          <w:p w14:paraId="37694ED9" w14:textId="77777777" w:rsidR="00E166BC" w:rsidRPr="00680661" w:rsidRDefault="00E166BC" w:rsidP="002362F5">
            <w:pPr>
              <w:pStyle w:val="Standard"/>
              <w:rPr>
                <w:bCs/>
                <w:sz w:val="20"/>
                <w:szCs w:val="20"/>
                <w:lang w:val="en-GB"/>
              </w:rPr>
            </w:pPr>
            <w:r w:rsidRPr="00680661">
              <w:rPr>
                <w:bCs/>
                <w:sz w:val="20"/>
                <w:szCs w:val="20"/>
                <w:lang w:val="en-GB"/>
              </w:rPr>
              <w:t>0.25 (0.39)</w:t>
            </w:r>
          </w:p>
        </w:tc>
        <w:tc>
          <w:tcPr>
            <w:tcW w:w="897" w:type="dxa"/>
            <w:tcBorders>
              <w:top w:val="nil"/>
              <w:left w:val="nil"/>
              <w:bottom w:val="single" w:sz="4" w:space="0" w:color="auto"/>
              <w:right w:val="nil"/>
            </w:tcBorders>
          </w:tcPr>
          <w:p w14:paraId="5E02A3F6" w14:textId="77777777" w:rsidR="00E166BC" w:rsidRPr="00680661" w:rsidRDefault="00E166BC" w:rsidP="002362F5">
            <w:pPr>
              <w:pStyle w:val="Standard"/>
              <w:rPr>
                <w:bCs/>
                <w:sz w:val="20"/>
                <w:szCs w:val="20"/>
                <w:lang w:val="en-GB"/>
              </w:rPr>
            </w:pPr>
            <w:r w:rsidRPr="00680661">
              <w:rPr>
                <w:bCs/>
                <w:sz w:val="20"/>
                <w:szCs w:val="20"/>
                <w:lang w:val="en-GB"/>
              </w:rPr>
              <w:t>&lt;0.001</w:t>
            </w:r>
          </w:p>
        </w:tc>
        <w:tc>
          <w:tcPr>
            <w:tcW w:w="1723" w:type="dxa"/>
            <w:tcBorders>
              <w:top w:val="nil"/>
              <w:left w:val="nil"/>
              <w:bottom w:val="single" w:sz="4" w:space="0" w:color="auto"/>
              <w:right w:val="nil"/>
            </w:tcBorders>
          </w:tcPr>
          <w:p w14:paraId="2658F8FF" w14:textId="77777777" w:rsidR="00E166BC" w:rsidRPr="00680661" w:rsidRDefault="00E166BC" w:rsidP="002362F5">
            <w:pPr>
              <w:pStyle w:val="Standard"/>
              <w:jc w:val="center"/>
              <w:rPr>
                <w:bCs/>
                <w:sz w:val="20"/>
                <w:szCs w:val="20"/>
                <w:lang w:val="en-GB"/>
              </w:rPr>
            </w:pPr>
            <w:r w:rsidRPr="00680661">
              <w:rPr>
                <w:bCs/>
                <w:sz w:val="20"/>
                <w:szCs w:val="20"/>
                <w:lang w:val="en-GB"/>
              </w:rPr>
              <w:t>0.19</w:t>
            </w:r>
          </w:p>
        </w:tc>
        <w:tc>
          <w:tcPr>
            <w:tcW w:w="1511" w:type="dxa"/>
            <w:tcBorders>
              <w:top w:val="nil"/>
              <w:left w:val="nil"/>
              <w:bottom w:val="single" w:sz="4" w:space="0" w:color="auto"/>
              <w:right w:val="nil"/>
            </w:tcBorders>
          </w:tcPr>
          <w:p w14:paraId="3E55264E" w14:textId="77777777" w:rsidR="00E166BC" w:rsidRPr="00680661" w:rsidRDefault="00E166BC" w:rsidP="002362F5">
            <w:pPr>
              <w:pStyle w:val="Standard"/>
              <w:jc w:val="center"/>
              <w:rPr>
                <w:bCs/>
                <w:sz w:val="20"/>
                <w:szCs w:val="20"/>
                <w:lang w:val="en-GB"/>
              </w:rPr>
            </w:pPr>
            <w:r w:rsidRPr="00680661">
              <w:rPr>
                <w:bCs/>
                <w:sz w:val="20"/>
                <w:szCs w:val="20"/>
                <w:lang w:val="en-GB"/>
              </w:rPr>
              <w:t>0.31</w:t>
            </w:r>
          </w:p>
        </w:tc>
        <w:tc>
          <w:tcPr>
            <w:tcW w:w="1379" w:type="dxa"/>
            <w:vMerge/>
            <w:tcBorders>
              <w:top w:val="nil"/>
              <w:left w:val="nil"/>
              <w:bottom w:val="single" w:sz="4" w:space="0" w:color="auto"/>
              <w:right w:val="nil"/>
            </w:tcBorders>
          </w:tcPr>
          <w:p w14:paraId="63AB45BE" w14:textId="77777777" w:rsidR="00E166BC" w:rsidRPr="00680661" w:rsidRDefault="00E166BC" w:rsidP="002362F5">
            <w:pPr>
              <w:pStyle w:val="Standard"/>
              <w:rPr>
                <w:bCs/>
                <w:sz w:val="20"/>
                <w:szCs w:val="20"/>
                <w:lang w:val="en-GB"/>
              </w:rPr>
            </w:pPr>
          </w:p>
        </w:tc>
      </w:tr>
      <w:tr w:rsidR="00E166BC" w:rsidRPr="00680661" w14:paraId="432B0A99"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2" w:type="dxa"/>
            <w:gridSpan w:val="6"/>
            <w:tcBorders>
              <w:top w:val="single" w:sz="4" w:space="0" w:color="auto"/>
              <w:left w:val="nil"/>
              <w:bottom w:val="single" w:sz="4" w:space="0" w:color="auto"/>
              <w:right w:val="nil"/>
            </w:tcBorders>
            <w:shd w:val="clear" w:color="auto" w:fill="F2F2F2" w:themeFill="background1" w:themeFillShade="F2"/>
          </w:tcPr>
          <w:p w14:paraId="4A5F401A" w14:textId="77777777" w:rsidR="00E166BC" w:rsidRPr="00680661" w:rsidRDefault="00E166BC" w:rsidP="002362F5">
            <w:pPr>
              <w:jc w:val="center"/>
              <w:rPr>
                <w:color w:val="000000"/>
                <w:sz w:val="20"/>
                <w:szCs w:val="20"/>
              </w:rPr>
            </w:pPr>
            <w:r w:rsidRPr="00680661">
              <w:rPr>
                <w:b/>
                <w:color w:val="000000"/>
                <w:sz w:val="20"/>
                <w:szCs w:val="20"/>
              </w:rPr>
              <w:t>Results from non-imputed data</w:t>
            </w:r>
          </w:p>
        </w:tc>
      </w:tr>
      <w:tr w:rsidR="00E166BC" w:rsidRPr="00680661" w14:paraId="69A774CE"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tcBorders>
              <w:top w:val="single" w:sz="4" w:space="0" w:color="auto"/>
              <w:left w:val="nil"/>
              <w:bottom w:val="nil"/>
              <w:right w:val="nil"/>
            </w:tcBorders>
          </w:tcPr>
          <w:p w14:paraId="654271A9" w14:textId="77777777" w:rsidR="00E166BC" w:rsidRPr="00680661" w:rsidRDefault="00E166BC" w:rsidP="002362F5">
            <w:pPr>
              <w:rPr>
                <w:color w:val="000000"/>
                <w:sz w:val="20"/>
                <w:szCs w:val="20"/>
              </w:rPr>
            </w:pPr>
            <w:r w:rsidRPr="00680661">
              <w:rPr>
                <w:bCs/>
                <w:sz w:val="20"/>
                <w:szCs w:val="20"/>
              </w:rPr>
              <w:t>Clinical Problem Solving</w:t>
            </w:r>
          </w:p>
        </w:tc>
        <w:tc>
          <w:tcPr>
            <w:tcW w:w="1701" w:type="dxa"/>
            <w:tcBorders>
              <w:top w:val="single" w:sz="4" w:space="0" w:color="auto"/>
              <w:left w:val="nil"/>
              <w:bottom w:val="nil"/>
              <w:right w:val="nil"/>
            </w:tcBorders>
          </w:tcPr>
          <w:p w14:paraId="410F57AE" w14:textId="77777777" w:rsidR="00E166BC" w:rsidRPr="00680661" w:rsidRDefault="00E166BC" w:rsidP="002362F5">
            <w:pPr>
              <w:rPr>
                <w:color w:val="000000"/>
                <w:sz w:val="20"/>
                <w:szCs w:val="20"/>
              </w:rPr>
            </w:pPr>
            <w:r w:rsidRPr="00680661">
              <w:rPr>
                <w:color w:val="000000"/>
                <w:sz w:val="20"/>
                <w:szCs w:val="20"/>
              </w:rPr>
              <w:t>0.03 (0.20)</w:t>
            </w:r>
          </w:p>
        </w:tc>
        <w:tc>
          <w:tcPr>
            <w:tcW w:w="897" w:type="dxa"/>
            <w:tcBorders>
              <w:top w:val="single" w:sz="4" w:space="0" w:color="auto"/>
              <w:left w:val="nil"/>
              <w:bottom w:val="nil"/>
              <w:right w:val="nil"/>
            </w:tcBorders>
          </w:tcPr>
          <w:p w14:paraId="04A38EA6" w14:textId="77777777" w:rsidR="00E166BC" w:rsidRPr="00680661" w:rsidRDefault="00E166BC" w:rsidP="002362F5">
            <w:pPr>
              <w:jc w:val="center"/>
              <w:rPr>
                <w:color w:val="000000"/>
                <w:sz w:val="20"/>
                <w:szCs w:val="20"/>
              </w:rPr>
            </w:pPr>
            <w:r w:rsidRPr="00680661">
              <w:rPr>
                <w:color w:val="000000"/>
                <w:sz w:val="20"/>
                <w:szCs w:val="20"/>
              </w:rPr>
              <w:t>&lt;0.001</w:t>
            </w:r>
          </w:p>
        </w:tc>
        <w:tc>
          <w:tcPr>
            <w:tcW w:w="1723" w:type="dxa"/>
            <w:tcBorders>
              <w:top w:val="single" w:sz="4" w:space="0" w:color="auto"/>
              <w:left w:val="nil"/>
              <w:bottom w:val="nil"/>
              <w:right w:val="nil"/>
            </w:tcBorders>
          </w:tcPr>
          <w:p w14:paraId="11A42104" w14:textId="77777777" w:rsidR="00E166BC" w:rsidRPr="00680661" w:rsidRDefault="00E166BC" w:rsidP="002362F5">
            <w:pPr>
              <w:jc w:val="center"/>
              <w:rPr>
                <w:color w:val="000000"/>
                <w:sz w:val="20"/>
                <w:szCs w:val="20"/>
              </w:rPr>
            </w:pPr>
            <w:r w:rsidRPr="00680661">
              <w:rPr>
                <w:color w:val="000000"/>
                <w:sz w:val="20"/>
                <w:szCs w:val="20"/>
              </w:rPr>
              <w:t xml:space="preserve">0.02 </w:t>
            </w:r>
          </w:p>
        </w:tc>
        <w:tc>
          <w:tcPr>
            <w:tcW w:w="1511" w:type="dxa"/>
            <w:tcBorders>
              <w:top w:val="single" w:sz="4" w:space="0" w:color="auto"/>
              <w:left w:val="nil"/>
              <w:bottom w:val="nil"/>
              <w:right w:val="nil"/>
            </w:tcBorders>
          </w:tcPr>
          <w:p w14:paraId="60935E75" w14:textId="77777777" w:rsidR="00E166BC" w:rsidRPr="00680661" w:rsidRDefault="00E166BC" w:rsidP="002362F5">
            <w:pPr>
              <w:jc w:val="center"/>
              <w:rPr>
                <w:color w:val="000000"/>
                <w:sz w:val="20"/>
                <w:szCs w:val="20"/>
              </w:rPr>
            </w:pPr>
            <w:r w:rsidRPr="00680661">
              <w:rPr>
                <w:color w:val="000000"/>
                <w:sz w:val="20"/>
                <w:szCs w:val="20"/>
              </w:rPr>
              <w:t>0.05</w:t>
            </w:r>
          </w:p>
        </w:tc>
        <w:tc>
          <w:tcPr>
            <w:tcW w:w="1379" w:type="dxa"/>
            <w:vMerge w:val="restart"/>
            <w:tcBorders>
              <w:top w:val="single" w:sz="4" w:space="0" w:color="auto"/>
              <w:left w:val="nil"/>
              <w:bottom w:val="nil"/>
              <w:right w:val="nil"/>
            </w:tcBorders>
          </w:tcPr>
          <w:p w14:paraId="109B9DB3" w14:textId="77777777" w:rsidR="00E166BC" w:rsidRPr="00680661" w:rsidRDefault="00E166BC" w:rsidP="002362F5">
            <w:pPr>
              <w:jc w:val="center"/>
              <w:rPr>
                <w:color w:val="000000"/>
                <w:sz w:val="20"/>
                <w:szCs w:val="20"/>
              </w:rPr>
            </w:pPr>
          </w:p>
          <w:p w14:paraId="3CFDA4C9" w14:textId="77777777" w:rsidR="00E166BC" w:rsidRPr="00680661" w:rsidRDefault="00E166BC" w:rsidP="002362F5">
            <w:pPr>
              <w:jc w:val="center"/>
              <w:rPr>
                <w:color w:val="000000"/>
                <w:sz w:val="20"/>
                <w:szCs w:val="20"/>
              </w:rPr>
            </w:pPr>
            <w:r w:rsidRPr="00680661">
              <w:rPr>
                <w:color w:val="000000"/>
                <w:sz w:val="20"/>
                <w:szCs w:val="20"/>
              </w:rPr>
              <w:t>0.34</w:t>
            </w:r>
          </w:p>
        </w:tc>
      </w:tr>
      <w:tr w:rsidR="00E166BC" w:rsidRPr="00680661" w14:paraId="447ECB23"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tcBorders>
              <w:top w:val="nil"/>
              <w:left w:val="nil"/>
              <w:bottom w:val="nil"/>
              <w:right w:val="nil"/>
            </w:tcBorders>
          </w:tcPr>
          <w:p w14:paraId="5838EF1B" w14:textId="77777777" w:rsidR="00E166BC" w:rsidRPr="00680661" w:rsidRDefault="00E166BC" w:rsidP="002362F5">
            <w:pPr>
              <w:rPr>
                <w:color w:val="000000"/>
                <w:sz w:val="20"/>
                <w:szCs w:val="20"/>
              </w:rPr>
            </w:pPr>
            <w:r w:rsidRPr="00680661">
              <w:rPr>
                <w:color w:val="000000"/>
                <w:sz w:val="20"/>
                <w:szCs w:val="20"/>
              </w:rPr>
              <w:t>Situational Judgement Test</w:t>
            </w:r>
          </w:p>
        </w:tc>
        <w:tc>
          <w:tcPr>
            <w:tcW w:w="1701" w:type="dxa"/>
            <w:tcBorders>
              <w:top w:val="nil"/>
              <w:left w:val="nil"/>
              <w:bottom w:val="nil"/>
              <w:right w:val="nil"/>
            </w:tcBorders>
          </w:tcPr>
          <w:p w14:paraId="1B39CAB5" w14:textId="77777777" w:rsidR="00E166BC" w:rsidRPr="00680661" w:rsidRDefault="00E166BC" w:rsidP="002362F5">
            <w:pPr>
              <w:rPr>
                <w:color w:val="000000"/>
                <w:sz w:val="20"/>
                <w:szCs w:val="20"/>
              </w:rPr>
            </w:pPr>
            <w:r w:rsidRPr="00680661">
              <w:rPr>
                <w:color w:val="000000"/>
                <w:sz w:val="20"/>
                <w:szCs w:val="20"/>
              </w:rPr>
              <w:t>0.05 (0.26)</w:t>
            </w:r>
          </w:p>
        </w:tc>
        <w:tc>
          <w:tcPr>
            <w:tcW w:w="897" w:type="dxa"/>
            <w:tcBorders>
              <w:top w:val="nil"/>
              <w:left w:val="nil"/>
              <w:bottom w:val="nil"/>
              <w:right w:val="nil"/>
            </w:tcBorders>
          </w:tcPr>
          <w:p w14:paraId="13224AD0" w14:textId="77777777" w:rsidR="00E166BC" w:rsidRPr="00680661" w:rsidRDefault="00E166BC" w:rsidP="002362F5">
            <w:pPr>
              <w:jc w:val="center"/>
              <w:rPr>
                <w:color w:val="000000"/>
                <w:sz w:val="20"/>
                <w:szCs w:val="20"/>
              </w:rPr>
            </w:pPr>
            <w:r w:rsidRPr="00680661">
              <w:rPr>
                <w:color w:val="000000"/>
                <w:sz w:val="20"/>
                <w:szCs w:val="20"/>
              </w:rPr>
              <w:t>&lt;0.001</w:t>
            </w:r>
          </w:p>
        </w:tc>
        <w:tc>
          <w:tcPr>
            <w:tcW w:w="1723" w:type="dxa"/>
            <w:tcBorders>
              <w:top w:val="nil"/>
              <w:left w:val="nil"/>
              <w:bottom w:val="nil"/>
              <w:right w:val="nil"/>
            </w:tcBorders>
            <w:vAlign w:val="bottom"/>
          </w:tcPr>
          <w:p w14:paraId="259CC4DD" w14:textId="77777777" w:rsidR="00E166BC" w:rsidRPr="00680661" w:rsidRDefault="00E166BC" w:rsidP="002362F5">
            <w:pPr>
              <w:jc w:val="center"/>
              <w:rPr>
                <w:color w:val="000000"/>
                <w:sz w:val="20"/>
                <w:szCs w:val="20"/>
              </w:rPr>
            </w:pPr>
            <w:r w:rsidRPr="00680661">
              <w:rPr>
                <w:sz w:val="20"/>
                <w:szCs w:val="20"/>
              </w:rPr>
              <w:t>0.03</w:t>
            </w:r>
          </w:p>
        </w:tc>
        <w:tc>
          <w:tcPr>
            <w:tcW w:w="1511" w:type="dxa"/>
            <w:tcBorders>
              <w:top w:val="nil"/>
              <w:left w:val="nil"/>
              <w:bottom w:val="nil"/>
              <w:right w:val="nil"/>
            </w:tcBorders>
            <w:vAlign w:val="bottom"/>
          </w:tcPr>
          <w:p w14:paraId="0A3907B6" w14:textId="77777777" w:rsidR="00E166BC" w:rsidRPr="00680661" w:rsidRDefault="00E166BC" w:rsidP="002362F5">
            <w:pPr>
              <w:jc w:val="center"/>
              <w:rPr>
                <w:color w:val="000000"/>
                <w:sz w:val="20"/>
                <w:szCs w:val="20"/>
              </w:rPr>
            </w:pPr>
            <w:r w:rsidRPr="00680661">
              <w:rPr>
                <w:sz w:val="20"/>
                <w:szCs w:val="20"/>
              </w:rPr>
              <w:t>0.06</w:t>
            </w:r>
          </w:p>
        </w:tc>
        <w:tc>
          <w:tcPr>
            <w:tcW w:w="1379" w:type="dxa"/>
            <w:vMerge/>
            <w:tcBorders>
              <w:top w:val="nil"/>
              <w:left w:val="nil"/>
              <w:bottom w:val="nil"/>
              <w:right w:val="nil"/>
            </w:tcBorders>
          </w:tcPr>
          <w:p w14:paraId="48E99826" w14:textId="77777777" w:rsidR="00E166BC" w:rsidRPr="00680661" w:rsidRDefault="00E166BC" w:rsidP="002362F5">
            <w:pPr>
              <w:jc w:val="center"/>
              <w:rPr>
                <w:color w:val="000000"/>
                <w:sz w:val="20"/>
                <w:szCs w:val="20"/>
              </w:rPr>
            </w:pPr>
          </w:p>
        </w:tc>
      </w:tr>
      <w:tr w:rsidR="00E166BC" w:rsidRPr="00680661" w14:paraId="169C1B25" w14:textId="77777777" w:rsidTr="0023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tcBorders>
              <w:top w:val="nil"/>
              <w:left w:val="nil"/>
              <w:bottom w:val="single" w:sz="4" w:space="0" w:color="auto"/>
              <w:right w:val="nil"/>
            </w:tcBorders>
          </w:tcPr>
          <w:p w14:paraId="4F43D5AE" w14:textId="77777777" w:rsidR="00E166BC" w:rsidRPr="00680661" w:rsidRDefault="00E166BC" w:rsidP="002362F5">
            <w:pPr>
              <w:rPr>
                <w:color w:val="000000"/>
                <w:sz w:val="20"/>
                <w:szCs w:val="20"/>
              </w:rPr>
            </w:pPr>
            <w:r w:rsidRPr="00680661">
              <w:rPr>
                <w:color w:val="000000"/>
                <w:sz w:val="20"/>
                <w:szCs w:val="20"/>
              </w:rPr>
              <w:t xml:space="preserve">Selection Centre </w:t>
            </w:r>
          </w:p>
        </w:tc>
        <w:tc>
          <w:tcPr>
            <w:tcW w:w="1701" w:type="dxa"/>
            <w:tcBorders>
              <w:top w:val="nil"/>
              <w:left w:val="nil"/>
              <w:bottom w:val="single" w:sz="4" w:space="0" w:color="auto"/>
              <w:right w:val="nil"/>
            </w:tcBorders>
          </w:tcPr>
          <w:p w14:paraId="7869577D" w14:textId="77777777" w:rsidR="00E166BC" w:rsidRPr="00680661" w:rsidRDefault="00E166BC" w:rsidP="002362F5">
            <w:pPr>
              <w:rPr>
                <w:color w:val="000000"/>
                <w:sz w:val="20"/>
                <w:szCs w:val="20"/>
              </w:rPr>
            </w:pPr>
            <w:r w:rsidRPr="00680661">
              <w:rPr>
                <w:sz w:val="20"/>
                <w:szCs w:val="20"/>
              </w:rPr>
              <w:t xml:space="preserve">0.29 </w:t>
            </w:r>
            <w:r w:rsidRPr="00680661">
              <w:rPr>
                <w:color w:val="000000"/>
                <w:sz w:val="20"/>
                <w:szCs w:val="20"/>
              </w:rPr>
              <w:t>(0.31)</w:t>
            </w:r>
          </w:p>
        </w:tc>
        <w:tc>
          <w:tcPr>
            <w:tcW w:w="897" w:type="dxa"/>
            <w:tcBorders>
              <w:top w:val="nil"/>
              <w:left w:val="nil"/>
              <w:bottom w:val="single" w:sz="4" w:space="0" w:color="auto"/>
              <w:right w:val="nil"/>
            </w:tcBorders>
          </w:tcPr>
          <w:p w14:paraId="7C4E4A19" w14:textId="77777777" w:rsidR="00E166BC" w:rsidRPr="00680661" w:rsidRDefault="00E166BC" w:rsidP="002362F5">
            <w:pPr>
              <w:jc w:val="center"/>
              <w:rPr>
                <w:color w:val="000000"/>
                <w:sz w:val="20"/>
                <w:szCs w:val="20"/>
              </w:rPr>
            </w:pPr>
            <w:r w:rsidRPr="00680661">
              <w:rPr>
                <w:color w:val="000000"/>
                <w:sz w:val="20"/>
                <w:szCs w:val="20"/>
              </w:rPr>
              <w:t>&lt;0.001</w:t>
            </w:r>
          </w:p>
        </w:tc>
        <w:tc>
          <w:tcPr>
            <w:tcW w:w="1723" w:type="dxa"/>
            <w:tcBorders>
              <w:top w:val="nil"/>
              <w:left w:val="nil"/>
              <w:bottom w:val="single" w:sz="4" w:space="0" w:color="auto"/>
              <w:right w:val="nil"/>
            </w:tcBorders>
            <w:vAlign w:val="bottom"/>
          </w:tcPr>
          <w:p w14:paraId="627D8C4D" w14:textId="77777777" w:rsidR="00E166BC" w:rsidRPr="00680661" w:rsidRDefault="00E166BC" w:rsidP="002362F5">
            <w:pPr>
              <w:jc w:val="center"/>
              <w:rPr>
                <w:color w:val="000000"/>
                <w:sz w:val="20"/>
                <w:szCs w:val="20"/>
              </w:rPr>
            </w:pPr>
            <w:r w:rsidRPr="00680661">
              <w:rPr>
                <w:sz w:val="20"/>
                <w:szCs w:val="20"/>
              </w:rPr>
              <w:t>0.23</w:t>
            </w:r>
          </w:p>
        </w:tc>
        <w:tc>
          <w:tcPr>
            <w:tcW w:w="1511" w:type="dxa"/>
            <w:tcBorders>
              <w:top w:val="nil"/>
              <w:left w:val="nil"/>
              <w:bottom w:val="single" w:sz="4" w:space="0" w:color="auto"/>
              <w:right w:val="nil"/>
            </w:tcBorders>
            <w:vAlign w:val="bottom"/>
          </w:tcPr>
          <w:p w14:paraId="057C637B" w14:textId="77777777" w:rsidR="00E166BC" w:rsidRPr="00680661" w:rsidRDefault="00E166BC" w:rsidP="002362F5">
            <w:pPr>
              <w:jc w:val="center"/>
              <w:rPr>
                <w:color w:val="000000"/>
                <w:sz w:val="20"/>
                <w:szCs w:val="20"/>
              </w:rPr>
            </w:pPr>
            <w:r w:rsidRPr="00680661">
              <w:rPr>
                <w:sz w:val="20"/>
                <w:szCs w:val="20"/>
              </w:rPr>
              <w:t>0.35</w:t>
            </w:r>
          </w:p>
        </w:tc>
        <w:tc>
          <w:tcPr>
            <w:tcW w:w="1379" w:type="dxa"/>
            <w:vMerge/>
            <w:tcBorders>
              <w:top w:val="nil"/>
              <w:left w:val="nil"/>
              <w:bottom w:val="single" w:sz="4" w:space="0" w:color="auto"/>
              <w:right w:val="nil"/>
            </w:tcBorders>
          </w:tcPr>
          <w:p w14:paraId="100122AE" w14:textId="77777777" w:rsidR="00E166BC" w:rsidRPr="00680661" w:rsidRDefault="00E166BC" w:rsidP="002362F5">
            <w:pPr>
              <w:jc w:val="center"/>
              <w:rPr>
                <w:color w:val="000000"/>
                <w:sz w:val="20"/>
                <w:szCs w:val="20"/>
              </w:rPr>
            </w:pPr>
          </w:p>
        </w:tc>
      </w:tr>
    </w:tbl>
    <w:p w14:paraId="7DCA1B2D" w14:textId="77777777" w:rsidR="00E166BC" w:rsidRPr="00680661" w:rsidRDefault="00E166BC" w:rsidP="00481706">
      <w:pPr>
        <w:pStyle w:val="Caption"/>
      </w:pPr>
      <w:bookmarkStart w:id="3" w:name="_Ref121911964"/>
      <w:r w:rsidRPr="00680661">
        <w:lastRenderedPageBreak/>
        <w:t xml:space="preserve">Table </w:t>
      </w:r>
      <w:r>
        <w:t>S3</w:t>
      </w:r>
      <w:bookmarkEnd w:id="3"/>
      <w:r>
        <w:t>.</w:t>
      </w:r>
      <w:r w:rsidRPr="00680661">
        <w:t xml:space="preserve"> Results from multivariable linear regression analysis predicting CASC performance at first sitting from the scores from the three selection measures (CPS, SJT and SC) on the multiply imputed study data (m=10). These results are provided for the whole sample and for those achieving relatively low MSRA scores. The last three rows also report the results from analysis of the non-imputed data. </w:t>
      </w:r>
    </w:p>
    <w:p w14:paraId="4D818B27" w14:textId="77777777" w:rsidR="00595410" w:rsidRDefault="004201BF" w:rsidP="00C17782">
      <w:pPr>
        <w:spacing w:line="360" w:lineRule="auto"/>
      </w:pPr>
      <w:r>
        <w:t xml:space="preserve"> </w:t>
      </w:r>
    </w:p>
    <w:p w14:paraId="7DC4301B" w14:textId="77777777" w:rsidR="00595410" w:rsidRDefault="00276A56" w:rsidP="00C17782">
      <w:pPr>
        <w:spacing w:line="360" w:lineRule="auto"/>
      </w:pPr>
      <w:r>
        <w:t>F</w:t>
      </w:r>
      <w:r w:rsidR="00595410" w:rsidRPr="00680661">
        <w:t>or the path analyses</w:t>
      </w:r>
      <w:r w:rsidR="00C750D7">
        <w:t xml:space="preserve">, when using the </w:t>
      </w:r>
      <w:r w:rsidR="00595410" w:rsidRPr="00680661">
        <w:t>non-imputed data</w:t>
      </w:r>
      <w:r w:rsidR="00595410">
        <w:t xml:space="preserve">, </w:t>
      </w:r>
      <w:r w:rsidR="00C750D7">
        <w:t>we</w:t>
      </w:r>
      <w:r w:rsidR="00595410">
        <w:t xml:space="preserve"> applied </w:t>
      </w:r>
      <w:r w:rsidR="00595410" w:rsidRPr="00680661">
        <w:t>“full information maximum likelihood” (FIML) as the estimation approach</w:t>
      </w:r>
      <w:r w:rsidR="00595410">
        <w:t xml:space="preserve"> in Mplus</w:t>
      </w:r>
      <w:r w:rsidR="00595410" w:rsidRPr="00680661">
        <w:t xml:space="preserve">. FIML </w:t>
      </w:r>
      <w:r w:rsidR="00595410">
        <w:t xml:space="preserve">also </w:t>
      </w:r>
      <w:r w:rsidR="00595410" w:rsidRPr="00680661">
        <w:t xml:space="preserve">handles missingness based on the MAR assumption. </w:t>
      </w:r>
      <w:r w:rsidR="00595410">
        <w:t xml:space="preserve">However, this approach excludes a proportion of observations with missing values for </w:t>
      </w:r>
      <w:r w:rsidR="00595410" w:rsidRPr="00C750D7">
        <w:rPr>
          <w:i/>
        </w:rPr>
        <w:t xml:space="preserve">all </w:t>
      </w:r>
      <w:r w:rsidR="00C750D7">
        <w:t xml:space="preserve">dependent </w:t>
      </w:r>
      <w:r w:rsidR="00595410" w:rsidRPr="00680661">
        <w:t>variables</w:t>
      </w:r>
      <w:r w:rsidR="00C750D7">
        <w:t xml:space="preserve"> in the path model. In this case these are the </w:t>
      </w:r>
      <w:r w:rsidR="00C750D7" w:rsidRPr="00C750D7">
        <w:t xml:space="preserve">SC, </w:t>
      </w:r>
      <w:r w:rsidR="00C750D7">
        <w:t>w</w:t>
      </w:r>
      <w:r w:rsidR="00C750D7" w:rsidRPr="00C750D7">
        <w:t>ritten</w:t>
      </w:r>
      <w:r w:rsidR="00C750D7">
        <w:t xml:space="preserve"> examination </w:t>
      </w:r>
      <w:r w:rsidR="00C750D7" w:rsidRPr="00C750D7">
        <w:t xml:space="preserve">and CASC </w:t>
      </w:r>
      <w:r w:rsidR="00C750D7">
        <w:t>scores which were completely missing for 1,495 doctors, representing 43% of the total data</w:t>
      </w:r>
      <w:r w:rsidR="00595410" w:rsidRPr="00680661">
        <w:t xml:space="preserve">. </w:t>
      </w:r>
      <w:r w:rsidR="00595410">
        <w:t>T</w:t>
      </w:r>
      <w:r w:rsidR="00595410" w:rsidRPr="00680661">
        <w:t xml:space="preserve">he results from </w:t>
      </w:r>
      <w:r w:rsidR="00C750D7">
        <w:t xml:space="preserve">the </w:t>
      </w:r>
      <w:r w:rsidR="00595410" w:rsidRPr="00680661">
        <w:t xml:space="preserve">non-imputed datasets </w:t>
      </w:r>
      <w:r w:rsidR="00C750D7">
        <w:t xml:space="preserve">are presented here so they can be </w:t>
      </w:r>
      <w:r w:rsidR="00595410" w:rsidRPr="00680661">
        <w:t>compared as a sensitivity analysis.</w:t>
      </w:r>
    </w:p>
    <w:p w14:paraId="6A766CF3" w14:textId="77777777" w:rsidR="00595410" w:rsidRDefault="00595410" w:rsidP="00440CD0"/>
    <w:p w14:paraId="5C3E8AE8" w14:textId="77777777" w:rsidR="00595410" w:rsidRDefault="00595410" w:rsidP="00440CD0"/>
    <w:p w14:paraId="6663BDF2" w14:textId="77777777" w:rsidR="00731C21" w:rsidRDefault="00731C21" w:rsidP="00440CD0"/>
    <w:p w14:paraId="1B7ADAB0" w14:textId="77777777" w:rsidR="00731C21" w:rsidRDefault="00731C21" w:rsidP="00440CD0"/>
    <w:p w14:paraId="53244962" w14:textId="77777777" w:rsidR="00731C21" w:rsidRDefault="00731C21" w:rsidP="00440CD0"/>
    <w:p w14:paraId="32201E54" w14:textId="77777777" w:rsidR="00731C21" w:rsidRDefault="00731C21" w:rsidP="00440CD0"/>
    <w:p w14:paraId="15383B4F" w14:textId="77777777" w:rsidR="00731C21" w:rsidRDefault="00AB66E1" w:rsidP="00440CD0">
      <w:r>
        <w:rPr>
          <w:noProof/>
          <w:lang w:eastAsia="en-GB"/>
        </w:rPr>
        <w:drawing>
          <wp:inline distT="0" distB="0" distL="0" distR="0" wp14:anchorId="68F33AF9" wp14:editId="562A5F36">
            <wp:extent cx="5182466" cy="214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247" t="25100" r="7427" b="26122"/>
                    <a:stretch/>
                  </pic:blipFill>
                  <pic:spPr bwMode="auto">
                    <a:xfrm>
                      <a:off x="0" y="0"/>
                      <a:ext cx="5206476" cy="2151065"/>
                    </a:xfrm>
                    <a:prstGeom prst="rect">
                      <a:avLst/>
                    </a:prstGeom>
                    <a:ln>
                      <a:noFill/>
                    </a:ln>
                    <a:extLst>
                      <a:ext uri="{53640926-AAD7-44D8-BBD7-CCE9431645EC}">
                        <a14:shadowObscured xmlns:a14="http://schemas.microsoft.com/office/drawing/2010/main"/>
                      </a:ext>
                    </a:extLst>
                  </pic:spPr>
                </pic:pic>
              </a:graphicData>
            </a:graphic>
          </wp:inline>
        </w:drawing>
      </w:r>
    </w:p>
    <w:p w14:paraId="2948016B" w14:textId="255E7831" w:rsidR="00731C21" w:rsidRPr="00680661" w:rsidRDefault="00731C21" w:rsidP="00481706">
      <w:pPr>
        <w:pStyle w:val="Caption"/>
      </w:pPr>
      <w:bookmarkStart w:id="4" w:name="_Ref121846051"/>
      <w:bookmarkStart w:id="5" w:name="_Ref121913003"/>
      <w:r w:rsidRPr="00680661">
        <w:t xml:space="preserve">Figure </w:t>
      </w:r>
      <w:bookmarkEnd w:id="4"/>
      <w:r w:rsidR="00067ECA">
        <w:t>S</w:t>
      </w:r>
      <w:r w:rsidR="007E661B">
        <w:t>6</w:t>
      </w:r>
      <w:r w:rsidRPr="00680661">
        <w:t xml:space="preserve">. </w:t>
      </w:r>
      <w:r w:rsidR="00276A56">
        <w:t>Results from the estimation of a p</w:t>
      </w:r>
      <w:r w:rsidRPr="00680661">
        <w:t>ath model testing the relationship between the predictors and outcome (CASC score) in the non-imputed dataset (N=2,01</w:t>
      </w:r>
      <w:r>
        <w:t>5</w:t>
      </w:r>
      <w:r w:rsidRPr="00680661">
        <w:t>*).</w:t>
      </w:r>
      <w:bookmarkEnd w:id="5"/>
    </w:p>
    <w:p w14:paraId="4A6B36CB" w14:textId="77777777" w:rsidR="00731C21" w:rsidRPr="00680661" w:rsidRDefault="00731C21" w:rsidP="00731C21">
      <w:pPr>
        <w:pStyle w:val="Standard"/>
        <w:rPr>
          <w:sz w:val="20"/>
          <w:szCs w:val="20"/>
          <w:lang w:val="en-GB"/>
        </w:rPr>
      </w:pPr>
      <w:r w:rsidRPr="00680661">
        <w:rPr>
          <w:sz w:val="20"/>
          <w:szCs w:val="20"/>
          <w:lang w:val="en-GB"/>
        </w:rPr>
        <w:lastRenderedPageBreak/>
        <w:t>*Note that all observations were included in the estimation using FIML except those with missing values for all the dependent variables (SC, Written and CASC, n=1,49</w:t>
      </w:r>
      <w:r>
        <w:rPr>
          <w:sz w:val="20"/>
          <w:szCs w:val="20"/>
          <w:lang w:val="en-GB"/>
        </w:rPr>
        <w:t>5</w:t>
      </w:r>
      <w:r w:rsidRPr="00680661">
        <w:rPr>
          <w:sz w:val="20"/>
          <w:szCs w:val="20"/>
          <w:lang w:val="en-GB"/>
        </w:rPr>
        <w:t>).</w:t>
      </w:r>
    </w:p>
    <w:p w14:paraId="0E21EA2F" w14:textId="77777777" w:rsidR="00247064" w:rsidRDefault="00247064" w:rsidP="00440CD0"/>
    <w:p w14:paraId="4621B7C9" w14:textId="77777777" w:rsidR="00276A56" w:rsidRDefault="00276A56" w:rsidP="00C17782">
      <w:pPr>
        <w:spacing w:line="360" w:lineRule="auto"/>
      </w:pPr>
      <w:r>
        <w:t>It can be seen, that, compared to the results from the path model tested in the non-imputed data, the coefficient of the path from the SC to the CASC score is slightly larger in magnitude (</w:t>
      </w:r>
      <w:r w:rsidR="00E22A3E">
        <w:t>0.40 vs 0.33). In contrast the direct effect of MSRA SJT score is slightly smaller (0.29 vs 0.33). However, there is considerable overlap in the confidence intervals for the non-imputed and imputed results, indicating that the differences could still be due to chance alone (e.g. sampling error). For example, the coefficient and confidence intervals for the pathway between the SC and CASC in the non-imputed data is: 0.</w:t>
      </w:r>
      <w:r w:rsidR="00A24AF3">
        <w:t>397</w:t>
      </w:r>
      <w:r w:rsidR="00E22A3E">
        <w:t xml:space="preserve"> (95%</w:t>
      </w:r>
      <w:r w:rsidR="00A24AF3">
        <w:t xml:space="preserve"> </w:t>
      </w:r>
      <w:r w:rsidR="00E22A3E">
        <w:t>CIs</w:t>
      </w:r>
      <w:r w:rsidR="00A24AF3">
        <w:t>:</w:t>
      </w:r>
      <w:r w:rsidR="00E22A3E">
        <w:t xml:space="preserve"> </w:t>
      </w:r>
      <w:r w:rsidR="00A24AF3">
        <w:t>0.323 to 0.471</w:t>
      </w:r>
      <w:r w:rsidR="00E22A3E">
        <w:t xml:space="preserve">). The equivalent values for the model in the imputed </w:t>
      </w:r>
      <w:r w:rsidR="00A24AF3">
        <w:t>data are: 0.3</w:t>
      </w:r>
      <w:r w:rsidR="00C17782">
        <w:t>31</w:t>
      </w:r>
      <w:r w:rsidR="00A24AF3">
        <w:t xml:space="preserve"> (</w:t>
      </w:r>
      <w:r w:rsidR="00C17782">
        <w:t>0.278 to 0.384).</w:t>
      </w:r>
      <w:r w:rsidR="00A24AF3">
        <w:t xml:space="preserve"> </w:t>
      </w:r>
      <w:r w:rsidR="00E22A3E">
        <w:t xml:space="preserve">  </w:t>
      </w:r>
    </w:p>
    <w:p w14:paraId="16946207" w14:textId="77777777" w:rsidR="00B3350D" w:rsidRPr="00680661" w:rsidRDefault="00B3350D" w:rsidP="00B3350D">
      <w:pPr>
        <w:pStyle w:val="Standard"/>
        <w:spacing w:line="360" w:lineRule="auto"/>
        <w:rPr>
          <w:lang w:val="en-GB"/>
        </w:rPr>
      </w:pPr>
      <w:r w:rsidRPr="00680661">
        <w:rPr>
          <w:lang w:val="en-GB"/>
        </w:rPr>
        <w:t xml:space="preserve">Two specific potential mediation paths were </w:t>
      </w:r>
      <w:r>
        <w:rPr>
          <w:lang w:val="en-GB"/>
        </w:rPr>
        <w:t xml:space="preserve">also </w:t>
      </w:r>
      <w:r w:rsidRPr="00680661">
        <w:rPr>
          <w:lang w:val="en-GB"/>
        </w:rPr>
        <w:t>evaluated. Firstly</w:t>
      </w:r>
      <w:r>
        <w:rPr>
          <w:lang w:val="en-GB"/>
        </w:rPr>
        <w:t>,</w:t>
      </w:r>
      <w:r w:rsidRPr="00680661">
        <w:rPr>
          <w:lang w:val="en-GB"/>
        </w:rPr>
        <w:t xml:space="preserve"> the path from the SJT score to CASC, via SC performance. </w:t>
      </w:r>
      <w:r>
        <w:rPr>
          <w:lang w:val="en-GB"/>
        </w:rPr>
        <w:t>For the model with all applicants t</w:t>
      </w:r>
      <w:r w:rsidRPr="00680661">
        <w:rPr>
          <w:lang w:val="en-GB"/>
        </w:rPr>
        <w:t xml:space="preserve">his showed only a modest, though statistically significant effect with a standardised coefficient </w:t>
      </w:r>
      <w:r w:rsidRPr="00E729C2">
        <w:rPr>
          <w:lang w:val="en-GB"/>
        </w:rPr>
        <w:t>of 0.12 and a p value of &lt;0.001.</w:t>
      </w:r>
      <w:r w:rsidRPr="00680661">
        <w:rPr>
          <w:lang w:val="en-GB"/>
        </w:rPr>
        <w:t xml:space="preserve"> This indicates that only the minority of the predictive ability of the SJT is mediated via SC performance. Similarly, it was shown that a modest proportion of the ability of the CPS scores </w:t>
      </w:r>
      <w:r>
        <w:rPr>
          <w:lang w:val="en-GB"/>
        </w:rPr>
        <w:t xml:space="preserve">to predict </w:t>
      </w:r>
      <w:r w:rsidRPr="00680661">
        <w:rPr>
          <w:lang w:val="en-GB"/>
        </w:rPr>
        <w:t>eventual CASC performance was mediated via the average written</w:t>
      </w:r>
      <w:r>
        <w:rPr>
          <w:lang w:val="en-GB"/>
        </w:rPr>
        <w:t xml:space="preserve"> MRCPsych</w:t>
      </w:r>
      <w:r w:rsidRPr="00680661">
        <w:rPr>
          <w:lang w:val="en-GB"/>
        </w:rPr>
        <w:t xml:space="preserve"> examination scores. In this respect the standardised mediational effect estimated in the modified model with the imputed data was 0.15, p&lt;0.001). </w:t>
      </w:r>
      <w:r>
        <w:rPr>
          <w:lang w:val="en-GB"/>
        </w:rPr>
        <w:t xml:space="preserve">For the low scorer model these values were 0.07 (p&lt;0.001) and 0.09 (p&lt;0.001) respectively. This indicated very small, albeit statistically significant mediational effects in these regards. </w:t>
      </w:r>
    </w:p>
    <w:p w14:paraId="55816F5F" w14:textId="77777777" w:rsidR="00276A56" w:rsidRDefault="00276A56" w:rsidP="00440CD0"/>
    <w:p w14:paraId="619A7EA1" w14:textId="77777777" w:rsidR="00247064" w:rsidRPr="00C17782" w:rsidRDefault="00C17782" w:rsidP="00440CD0">
      <w:pPr>
        <w:rPr>
          <w:b/>
        </w:rPr>
      </w:pPr>
      <w:r w:rsidRPr="00C17782">
        <w:rPr>
          <w:b/>
        </w:rPr>
        <w:t>References</w:t>
      </w:r>
    </w:p>
    <w:p w14:paraId="7EF8CEA3" w14:textId="77777777" w:rsidR="00247064" w:rsidRPr="00247064" w:rsidRDefault="00247064" w:rsidP="00247064">
      <w:pPr>
        <w:pStyle w:val="EndNoteBibliography"/>
        <w:spacing w:after="0"/>
      </w:pPr>
      <w:r w:rsidRPr="00247064">
        <w:t>1.</w:t>
      </w:r>
      <w:r w:rsidRPr="00247064">
        <w:tab/>
        <w:t xml:space="preserve">Royal College of Psychiatrists. Preparing for exams London: Royal College of Psychiatrists; 2019 [Available from: </w:t>
      </w:r>
      <w:r w:rsidR="00E51A6C" w:rsidRPr="008A5A87">
        <w:t>https://www.rcpsych.ac.uk/training/exams/preparing-for-exams</w:t>
      </w:r>
      <w:r w:rsidR="00E51A6C">
        <w:t xml:space="preserve"> ]</w:t>
      </w:r>
      <w:r w:rsidRPr="00247064">
        <w:t>.</w:t>
      </w:r>
    </w:p>
    <w:p w14:paraId="2A1C2F7D" w14:textId="77777777" w:rsidR="00247064" w:rsidRPr="00247064" w:rsidRDefault="00247064" w:rsidP="00247064">
      <w:pPr>
        <w:pStyle w:val="EndNoteBibliography"/>
        <w:spacing w:after="0"/>
      </w:pPr>
      <w:r w:rsidRPr="00247064">
        <w:t>2.</w:t>
      </w:r>
      <w:r w:rsidRPr="00247064">
        <w:tab/>
        <w:t xml:space="preserve">Royal College of Psychiatrists. CASC guide for candidates London: Royal College of Psychiatrists; 2019 [Available from: </w:t>
      </w:r>
      <w:r w:rsidR="00E51A6C" w:rsidRPr="008A5A87">
        <w:t>https://www.rcpsych.ac.uk/training/exams/preparing-for-exams/casc-guide-for-trainees</w:t>
      </w:r>
      <w:r w:rsidR="00E51A6C">
        <w:t xml:space="preserve"> ]</w:t>
      </w:r>
      <w:r w:rsidRPr="00247064">
        <w:t>.</w:t>
      </w:r>
    </w:p>
    <w:p w14:paraId="16569405" w14:textId="77777777" w:rsidR="00A637A3" w:rsidRDefault="00247064" w:rsidP="00247064">
      <w:pPr>
        <w:pStyle w:val="EndNoteBibliography"/>
      </w:pPr>
      <w:r w:rsidRPr="00247064">
        <w:t>3.</w:t>
      </w:r>
      <w:r w:rsidRPr="00247064">
        <w:tab/>
        <w:t xml:space="preserve">Kramer A, Muijtjens A, Jansen K, Dusman H, Tan L, van der Vleuten C. Comparison of a rational and an empirical standard setting procedure for an OSCE. Objective structured clinical examinations. </w:t>
      </w:r>
      <w:r w:rsidRPr="00A637A3">
        <w:rPr>
          <w:i/>
        </w:rPr>
        <w:t xml:space="preserve">Medical </w:t>
      </w:r>
      <w:r w:rsidR="00E51A6C" w:rsidRPr="00A637A3">
        <w:rPr>
          <w:i/>
        </w:rPr>
        <w:t>E</w:t>
      </w:r>
      <w:r w:rsidRPr="00A637A3">
        <w:rPr>
          <w:i/>
        </w:rPr>
        <w:t>ducation</w:t>
      </w:r>
      <w:r w:rsidRPr="00247064">
        <w:t>. 2003;37(2):132-9.</w:t>
      </w:r>
      <w:r w:rsidR="00A637A3">
        <w:t xml:space="preserve">4. </w:t>
      </w:r>
    </w:p>
    <w:p w14:paraId="127953D8" w14:textId="1238CDC8" w:rsidR="00A637A3" w:rsidRDefault="00A637A3" w:rsidP="00A637A3">
      <w:pPr>
        <w:pStyle w:val="EndNoteBibliography"/>
      </w:pPr>
      <w:r>
        <w:lastRenderedPageBreak/>
        <w:t>4.        Botan V, Williams N, Law GR, Siriwardena AN. How is performance at selection to general practice related to performance at the endpoint of GP training?: University of Lincoln; 2022.</w:t>
      </w:r>
    </w:p>
    <w:p w14:paraId="539238A5" w14:textId="77777777" w:rsidR="00A637A3" w:rsidRDefault="00A637A3" w:rsidP="00A637A3">
      <w:pPr>
        <w:pStyle w:val="EndNoteBibliography"/>
      </w:pPr>
      <w:r>
        <w:t xml:space="preserve">5.        </w:t>
      </w:r>
      <w:r w:rsidRPr="00A637A3">
        <w:t xml:space="preserve">Taylor C, McManus I, Davison I. Would changing the selection process for GP trainees stem the workforce crisis? A cohort study using multiple-imputation and simulation. </w:t>
      </w:r>
      <w:r w:rsidRPr="00B45437">
        <w:rPr>
          <w:i/>
        </w:rPr>
        <w:t xml:space="preserve">BMC </w:t>
      </w:r>
      <w:r w:rsidR="00B45437" w:rsidRPr="00B45437">
        <w:rPr>
          <w:i/>
        </w:rPr>
        <w:t>M</w:t>
      </w:r>
      <w:r w:rsidRPr="00B45437">
        <w:rPr>
          <w:i/>
        </w:rPr>
        <w:t xml:space="preserve">edical </w:t>
      </w:r>
      <w:r w:rsidR="00B45437" w:rsidRPr="00B45437">
        <w:rPr>
          <w:i/>
        </w:rPr>
        <w:t>E</w:t>
      </w:r>
      <w:r w:rsidRPr="00B45437">
        <w:rPr>
          <w:i/>
        </w:rPr>
        <w:t>ducation</w:t>
      </w:r>
      <w:r w:rsidRPr="00A637A3">
        <w:t>. 2018;18(1):1-7.</w:t>
      </w:r>
    </w:p>
    <w:p w14:paraId="2B93EE1B" w14:textId="77777777" w:rsidR="00A637A3" w:rsidRDefault="00A637A3" w:rsidP="00A637A3">
      <w:pPr>
        <w:pStyle w:val="EndNoteBibliography"/>
      </w:pPr>
      <w:r>
        <w:t xml:space="preserve">6.         Lievens F, Sackett PR, De Corte W. Weighting admission scores to balance predictiveness-diversity: The Pareto-optimization approach. </w:t>
      </w:r>
      <w:r w:rsidRPr="00A637A3">
        <w:rPr>
          <w:i/>
        </w:rPr>
        <w:t>Medical Education</w:t>
      </w:r>
      <w:r>
        <w:t>. 2022;56(2):151-8.</w:t>
      </w:r>
    </w:p>
    <w:sectPr w:rsidR="00A6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061B"/>
    <w:multiLevelType w:val="hybridMultilevel"/>
    <w:tmpl w:val="142C4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472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9vzsapf9aaegewe0bvzsvysxasp092rsse&quot;&gt;pat512@york.ac.uk&lt;record-ids&gt;&lt;item&gt;1922&lt;/item&gt;&lt;/record-ids&gt;&lt;/item&gt;&lt;/Libraries&gt;"/>
  </w:docVars>
  <w:rsids>
    <w:rsidRoot w:val="00440CD0"/>
    <w:rsid w:val="00067ECA"/>
    <w:rsid w:val="000749AF"/>
    <w:rsid w:val="0010723B"/>
    <w:rsid w:val="00247064"/>
    <w:rsid w:val="00276A56"/>
    <w:rsid w:val="002B0F36"/>
    <w:rsid w:val="002B7206"/>
    <w:rsid w:val="003E091C"/>
    <w:rsid w:val="003F2583"/>
    <w:rsid w:val="004201BF"/>
    <w:rsid w:val="00440CD0"/>
    <w:rsid w:val="00481706"/>
    <w:rsid w:val="00595410"/>
    <w:rsid w:val="005D2AE8"/>
    <w:rsid w:val="00687994"/>
    <w:rsid w:val="006E5E13"/>
    <w:rsid w:val="00703374"/>
    <w:rsid w:val="00731C21"/>
    <w:rsid w:val="007E661B"/>
    <w:rsid w:val="00800FB5"/>
    <w:rsid w:val="0080160E"/>
    <w:rsid w:val="008A5A87"/>
    <w:rsid w:val="009974E0"/>
    <w:rsid w:val="00A24AF3"/>
    <w:rsid w:val="00A46525"/>
    <w:rsid w:val="00A637A3"/>
    <w:rsid w:val="00AB66E1"/>
    <w:rsid w:val="00B3350D"/>
    <w:rsid w:val="00B45437"/>
    <w:rsid w:val="00B95830"/>
    <w:rsid w:val="00BA135E"/>
    <w:rsid w:val="00C03CCD"/>
    <w:rsid w:val="00C17782"/>
    <w:rsid w:val="00C417A9"/>
    <w:rsid w:val="00C750D7"/>
    <w:rsid w:val="00CF3B62"/>
    <w:rsid w:val="00CF58AF"/>
    <w:rsid w:val="00D23DDF"/>
    <w:rsid w:val="00D854BE"/>
    <w:rsid w:val="00E166BC"/>
    <w:rsid w:val="00E22A3E"/>
    <w:rsid w:val="00E43107"/>
    <w:rsid w:val="00E51A6C"/>
    <w:rsid w:val="00E72353"/>
    <w:rsid w:val="00EA0230"/>
    <w:rsid w:val="00F42A60"/>
    <w:rsid w:val="00F7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C793"/>
  <w15:chartTrackingRefBased/>
  <w15:docId w15:val="{1BFA9EC4-7259-466E-AC34-EE21463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E72353"/>
    <w:pPr>
      <w:suppressAutoHyphens/>
      <w:autoSpaceDN w:val="0"/>
      <w:spacing w:after="0" w:line="240" w:lineRule="auto"/>
      <w:textAlignment w:val="baseline"/>
    </w:pPr>
    <w:rPr>
      <w:rFonts w:eastAsia="NSimSun"/>
      <w:lang w:val="en-US" w:eastAsia="zh-CN" w:bidi="hi-IN"/>
    </w:rPr>
  </w:style>
  <w:style w:type="paragraph" w:styleId="Caption">
    <w:name w:val="caption"/>
    <w:basedOn w:val="Standard"/>
    <w:autoRedefine/>
    <w:rsid w:val="00481706"/>
    <w:pPr>
      <w:suppressLineNumbers/>
      <w:spacing w:before="120" w:after="120" w:line="360" w:lineRule="auto"/>
    </w:pPr>
    <w:rPr>
      <w:iCs/>
      <w:lang w:val="en-GB"/>
    </w:rPr>
  </w:style>
  <w:style w:type="character" w:customStyle="1" w:styleId="StandardChar">
    <w:name w:val="Standard Char"/>
    <w:basedOn w:val="DefaultParagraphFont"/>
    <w:link w:val="Standard"/>
    <w:rsid w:val="00E72353"/>
    <w:rPr>
      <w:rFonts w:eastAsia="NSimSun"/>
      <w:lang w:val="en-US" w:eastAsia="zh-CN" w:bidi="hi-IN"/>
    </w:rPr>
  </w:style>
  <w:style w:type="table" w:styleId="TableGrid">
    <w:name w:val="Table Grid"/>
    <w:basedOn w:val="TableNormal"/>
    <w:uiPriority w:val="39"/>
    <w:rsid w:val="00E72353"/>
    <w:pPr>
      <w:suppressAutoHyphens/>
      <w:autoSpaceDN w:val="0"/>
      <w:spacing w:after="0" w:line="240" w:lineRule="auto"/>
      <w:textAlignment w:val="baseline"/>
    </w:pPr>
    <w:rPr>
      <w:rFonts w:eastAsia="NSimSun"/>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72353"/>
    <w:rPr>
      <w:b/>
      <w:bCs/>
      <w:i/>
      <w:iCs/>
      <w:spacing w:val="5"/>
    </w:rPr>
  </w:style>
  <w:style w:type="paragraph" w:styleId="ListParagraph">
    <w:name w:val="List Paragraph"/>
    <w:basedOn w:val="Normal"/>
    <w:uiPriority w:val="34"/>
    <w:qFormat/>
    <w:rsid w:val="00247064"/>
    <w:pPr>
      <w:ind w:left="720"/>
      <w:contextualSpacing/>
    </w:pPr>
  </w:style>
  <w:style w:type="paragraph" w:customStyle="1" w:styleId="EndNoteBibliographyTitle">
    <w:name w:val="EndNote Bibliography Title"/>
    <w:basedOn w:val="Normal"/>
    <w:link w:val="EndNoteBibliographyTitleChar"/>
    <w:rsid w:val="00247064"/>
    <w:pPr>
      <w:spacing w:after="0"/>
      <w:jc w:val="center"/>
    </w:pPr>
    <w:rPr>
      <w:noProof/>
      <w:lang w:val="en-US"/>
    </w:rPr>
  </w:style>
  <w:style w:type="character" w:customStyle="1" w:styleId="EndNoteBibliographyTitleChar">
    <w:name w:val="EndNote Bibliography Title Char"/>
    <w:basedOn w:val="StandardChar"/>
    <w:link w:val="EndNoteBibliographyTitle"/>
    <w:rsid w:val="00247064"/>
    <w:rPr>
      <w:rFonts w:eastAsia="NSimSun"/>
      <w:noProof/>
      <w:lang w:val="en-US" w:eastAsia="zh-CN" w:bidi="hi-IN"/>
    </w:rPr>
  </w:style>
  <w:style w:type="paragraph" w:customStyle="1" w:styleId="EndNoteBibliography">
    <w:name w:val="EndNote Bibliography"/>
    <w:basedOn w:val="Normal"/>
    <w:link w:val="EndNoteBibliographyChar"/>
    <w:rsid w:val="00247064"/>
    <w:pPr>
      <w:spacing w:line="240" w:lineRule="auto"/>
    </w:pPr>
    <w:rPr>
      <w:noProof/>
      <w:lang w:val="en-US"/>
    </w:rPr>
  </w:style>
  <w:style w:type="character" w:customStyle="1" w:styleId="EndNoteBibliographyChar">
    <w:name w:val="EndNote Bibliography Char"/>
    <w:basedOn w:val="StandardChar"/>
    <w:link w:val="EndNoteBibliography"/>
    <w:rsid w:val="00247064"/>
    <w:rPr>
      <w:rFonts w:eastAsia="NSimSun"/>
      <w:noProof/>
      <w:lang w:val="en-US" w:eastAsia="zh-CN" w:bidi="hi-IN"/>
    </w:rPr>
  </w:style>
  <w:style w:type="character" w:styleId="Hyperlink">
    <w:name w:val="Hyperlink"/>
    <w:basedOn w:val="DefaultParagraphFont"/>
    <w:uiPriority w:val="99"/>
    <w:unhideWhenUsed/>
    <w:rsid w:val="00247064"/>
    <w:rPr>
      <w:color w:val="0563C1" w:themeColor="hyperlink"/>
      <w:u w:val="single"/>
    </w:rPr>
  </w:style>
  <w:style w:type="character" w:customStyle="1" w:styleId="UnresolvedMention1">
    <w:name w:val="Unresolved Mention1"/>
    <w:basedOn w:val="DefaultParagraphFont"/>
    <w:uiPriority w:val="99"/>
    <w:semiHidden/>
    <w:unhideWhenUsed/>
    <w:rsid w:val="00E51A6C"/>
    <w:rPr>
      <w:color w:val="605E5C"/>
      <w:shd w:val="clear" w:color="auto" w:fill="E1DFDD"/>
    </w:rPr>
  </w:style>
  <w:style w:type="paragraph" w:styleId="Revision">
    <w:name w:val="Revision"/>
    <w:hidden/>
    <w:uiPriority w:val="99"/>
    <w:semiHidden/>
    <w:rsid w:val="00D23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AF8B-9F0B-45EA-81F8-5211EE6A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Tiffin</dc:creator>
  <cp:keywords/>
  <dc:description/>
  <cp:lastModifiedBy>Paul Tiffin</cp:lastModifiedBy>
  <cp:revision>4</cp:revision>
  <dcterms:created xsi:type="dcterms:W3CDTF">2024-01-02T09:03:00Z</dcterms:created>
  <dcterms:modified xsi:type="dcterms:W3CDTF">2024-01-02T19:06:00Z</dcterms:modified>
</cp:coreProperties>
</file>