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01C2A" w14:textId="77777777" w:rsidR="00C37641" w:rsidRPr="00967993" w:rsidRDefault="00C37641" w:rsidP="00967993">
      <w:pPr>
        <w:pStyle w:val="Title"/>
        <w:rPr>
          <w:u w:val="single"/>
        </w:rPr>
      </w:pPr>
      <w:r w:rsidRPr="00967993">
        <w:rPr>
          <w:u w:val="single"/>
        </w:rPr>
        <w:t xml:space="preserve">Supplementary reading </w:t>
      </w:r>
    </w:p>
    <w:p w14:paraId="05558387" w14:textId="77777777" w:rsidR="00C37641" w:rsidRDefault="00C37641" w:rsidP="00967993">
      <w:pPr>
        <w:spacing w:line="360" w:lineRule="auto"/>
        <w:rPr>
          <w:rFonts w:ascii="Arial" w:hAnsi="Arial" w:cs="Arial"/>
          <w:bCs/>
          <w:sz w:val="24"/>
          <w:szCs w:val="24"/>
          <w:shd w:val="clear" w:color="auto" w:fill="FFFFFF"/>
        </w:rPr>
      </w:pPr>
    </w:p>
    <w:p w14:paraId="3CA386B8" w14:textId="01175E98" w:rsidR="00C37641" w:rsidRPr="00463E89" w:rsidRDefault="00C37641" w:rsidP="00967993">
      <w:pPr>
        <w:spacing w:line="360" w:lineRule="auto"/>
        <w:rPr>
          <w:rFonts w:ascii="Arial" w:hAnsi="Arial" w:cs="Arial"/>
          <w:bCs/>
          <w:sz w:val="24"/>
          <w:szCs w:val="24"/>
          <w:u w:val="single"/>
          <w:shd w:val="clear" w:color="auto" w:fill="FFFFFF"/>
        </w:rPr>
      </w:pPr>
      <w:r w:rsidRPr="00C37641">
        <w:rPr>
          <w:rFonts w:ascii="Arial" w:hAnsi="Arial" w:cs="Arial"/>
          <w:bCs/>
          <w:sz w:val="24"/>
          <w:szCs w:val="24"/>
          <w:u w:val="single"/>
          <w:shd w:val="clear" w:color="auto" w:fill="FFFFFF"/>
        </w:rPr>
        <w:t xml:space="preserve">The medicolegal </w:t>
      </w:r>
      <w:r w:rsidR="00896262">
        <w:rPr>
          <w:rFonts w:ascii="Arial" w:hAnsi="Arial" w:cs="Arial"/>
          <w:bCs/>
          <w:sz w:val="24"/>
          <w:szCs w:val="24"/>
          <w:u w:val="single"/>
          <w:shd w:val="clear" w:color="auto" w:fill="FFFFFF"/>
        </w:rPr>
        <w:t xml:space="preserve">expert and the </w:t>
      </w:r>
      <w:r w:rsidRPr="00C37641">
        <w:rPr>
          <w:rFonts w:ascii="Arial" w:hAnsi="Arial" w:cs="Arial"/>
          <w:bCs/>
          <w:sz w:val="24"/>
          <w:szCs w:val="24"/>
          <w:u w:val="single"/>
          <w:shd w:val="clear" w:color="auto" w:fill="FFFFFF"/>
        </w:rPr>
        <w:t xml:space="preserve">consultation </w:t>
      </w:r>
    </w:p>
    <w:tbl>
      <w:tblPr>
        <w:tblStyle w:val="TableGrid"/>
        <w:tblW w:w="0" w:type="auto"/>
        <w:tblInd w:w="0" w:type="dxa"/>
        <w:tblLook w:val="04A0" w:firstRow="1" w:lastRow="0" w:firstColumn="1" w:lastColumn="0" w:noHBand="0" w:noVBand="1"/>
      </w:tblPr>
      <w:tblGrid>
        <w:gridCol w:w="3681"/>
        <w:gridCol w:w="5335"/>
      </w:tblGrid>
      <w:tr w:rsidR="007749EA" w14:paraId="4312C271" w14:textId="77777777" w:rsidTr="00463E89">
        <w:tc>
          <w:tcPr>
            <w:tcW w:w="3681" w:type="dxa"/>
            <w:vAlign w:val="center"/>
          </w:tcPr>
          <w:p w14:paraId="68740EEB" w14:textId="77777777" w:rsidR="007749EA" w:rsidRDefault="007749EA" w:rsidP="00967993">
            <w:pPr>
              <w:spacing w:line="360" w:lineRule="auto"/>
              <w:rPr>
                <w:rFonts w:ascii="Arial" w:hAnsi="Arial" w:cs="Arial"/>
                <w:bCs/>
                <w:sz w:val="24"/>
                <w:szCs w:val="24"/>
                <w:shd w:val="clear" w:color="auto" w:fill="FFFFFF"/>
              </w:rPr>
            </w:pPr>
            <w:r>
              <w:rPr>
                <w:rFonts w:ascii="Arial" w:hAnsi="Arial" w:cs="Arial"/>
                <w:bCs/>
                <w:sz w:val="24"/>
                <w:szCs w:val="24"/>
                <w:shd w:val="clear" w:color="auto" w:fill="FFFFFF"/>
              </w:rPr>
              <w:t>Medicolegal expertise</w:t>
            </w:r>
          </w:p>
        </w:tc>
        <w:tc>
          <w:tcPr>
            <w:tcW w:w="5335" w:type="dxa"/>
            <w:vAlign w:val="center"/>
          </w:tcPr>
          <w:p w14:paraId="476D318D" w14:textId="77777777" w:rsidR="007749EA" w:rsidRPr="00D6767D" w:rsidRDefault="007749EA" w:rsidP="00967993">
            <w:pPr>
              <w:spacing w:line="360" w:lineRule="auto"/>
              <w:rPr>
                <w:rFonts w:ascii="Arial" w:hAnsi="Arial" w:cs="Arial"/>
                <w:i/>
                <w:iCs/>
                <w:sz w:val="24"/>
                <w:szCs w:val="24"/>
              </w:rPr>
            </w:pPr>
            <w:r w:rsidRPr="00D6767D">
              <w:rPr>
                <w:rFonts w:ascii="Arial" w:hAnsi="Arial" w:cs="Arial"/>
                <w:i/>
                <w:iCs/>
                <w:sz w:val="24"/>
                <w:szCs w:val="24"/>
              </w:rPr>
              <w:t>Director of Public Prosecutions v IG</w:t>
            </w:r>
            <w:r w:rsidRPr="00D6767D">
              <w:rPr>
                <w:rFonts w:ascii="Arial" w:hAnsi="Arial" w:cs="Arial"/>
                <w:sz w:val="24"/>
                <w:szCs w:val="24"/>
              </w:rPr>
              <w:t xml:space="preserve"> [2021] IECA 91</w:t>
            </w:r>
          </w:p>
        </w:tc>
      </w:tr>
      <w:tr w:rsidR="00896262" w14:paraId="7FAC24B4" w14:textId="77777777" w:rsidTr="00463E89">
        <w:tc>
          <w:tcPr>
            <w:tcW w:w="3681" w:type="dxa"/>
            <w:vAlign w:val="center"/>
          </w:tcPr>
          <w:p w14:paraId="41BA492F" w14:textId="77777777" w:rsidR="00896262" w:rsidRDefault="007749EA" w:rsidP="00967993">
            <w:pPr>
              <w:spacing w:line="360" w:lineRule="auto"/>
              <w:rPr>
                <w:rFonts w:ascii="Arial" w:hAnsi="Arial" w:cs="Arial"/>
                <w:bCs/>
                <w:sz w:val="24"/>
                <w:szCs w:val="24"/>
                <w:shd w:val="clear" w:color="auto" w:fill="FFFFFF"/>
              </w:rPr>
            </w:pPr>
            <w:r>
              <w:rPr>
                <w:rFonts w:ascii="Arial" w:hAnsi="Arial" w:cs="Arial"/>
                <w:bCs/>
                <w:sz w:val="24"/>
                <w:szCs w:val="24"/>
                <w:shd w:val="clear" w:color="auto" w:fill="FFFFFF"/>
              </w:rPr>
              <w:t xml:space="preserve">The role of the psychiatrist </w:t>
            </w:r>
          </w:p>
        </w:tc>
        <w:tc>
          <w:tcPr>
            <w:tcW w:w="5335" w:type="dxa"/>
            <w:vAlign w:val="center"/>
          </w:tcPr>
          <w:p w14:paraId="22966BA4" w14:textId="77777777" w:rsidR="00896262" w:rsidRPr="00DE5DE4" w:rsidRDefault="00896262" w:rsidP="00967993">
            <w:pPr>
              <w:spacing w:line="360" w:lineRule="auto"/>
              <w:rPr>
                <w:rFonts w:ascii="Arial" w:hAnsi="Arial" w:cs="Arial"/>
                <w:i/>
                <w:iCs/>
                <w:sz w:val="24"/>
                <w:szCs w:val="24"/>
                <w:lang w:eastAsia="en-GB"/>
              </w:rPr>
            </w:pPr>
            <w:r w:rsidRPr="00D6767D">
              <w:rPr>
                <w:rFonts w:ascii="Arial" w:hAnsi="Arial" w:cs="Arial"/>
                <w:i/>
                <w:iCs/>
                <w:sz w:val="24"/>
                <w:szCs w:val="24"/>
              </w:rPr>
              <w:t>Director of Public Prosecutions v Abdi</w:t>
            </w:r>
            <w:r w:rsidRPr="00D6767D">
              <w:rPr>
                <w:rFonts w:ascii="Arial" w:hAnsi="Arial" w:cs="Arial"/>
                <w:sz w:val="24"/>
                <w:szCs w:val="24"/>
              </w:rPr>
              <w:t xml:space="preserve"> [2022] IESC 24</w:t>
            </w:r>
          </w:p>
        </w:tc>
      </w:tr>
      <w:tr w:rsidR="00463E89" w14:paraId="1C71463A" w14:textId="77777777" w:rsidTr="00463E89">
        <w:tc>
          <w:tcPr>
            <w:tcW w:w="3681" w:type="dxa"/>
            <w:vAlign w:val="center"/>
          </w:tcPr>
          <w:p w14:paraId="0A08FB17" w14:textId="77777777" w:rsidR="00463E89" w:rsidRDefault="00463E89" w:rsidP="00967993">
            <w:pPr>
              <w:spacing w:line="360" w:lineRule="auto"/>
              <w:rPr>
                <w:rFonts w:ascii="Arial" w:hAnsi="Arial" w:cs="Arial"/>
                <w:bCs/>
                <w:sz w:val="24"/>
                <w:szCs w:val="24"/>
                <w:shd w:val="clear" w:color="auto" w:fill="FFFFFF"/>
              </w:rPr>
            </w:pPr>
            <w:r>
              <w:rPr>
                <w:rFonts w:ascii="Arial" w:hAnsi="Arial" w:cs="Arial"/>
                <w:bCs/>
                <w:sz w:val="24"/>
                <w:szCs w:val="24"/>
                <w:shd w:val="clear" w:color="auto" w:fill="FFFFFF"/>
              </w:rPr>
              <w:t>Reading the medical records before the consultation</w:t>
            </w:r>
          </w:p>
        </w:tc>
        <w:tc>
          <w:tcPr>
            <w:tcW w:w="5335" w:type="dxa"/>
            <w:vAlign w:val="center"/>
          </w:tcPr>
          <w:p w14:paraId="159551D6" w14:textId="77777777" w:rsidR="00463E89" w:rsidRDefault="00463E89" w:rsidP="00967993">
            <w:pPr>
              <w:spacing w:line="360" w:lineRule="auto"/>
              <w:rPr>
                <w:rFonts w:ascii="Arial" w:hAnsi="Arial" w:cs="Arial"/>
                <w:bCs/>
                <w:sz w:val="24"/>
                <w:szCs w:val="24"/>
                <w:shd w:val="clear" w:color="auto" w:fill="FFFFFF"/>
              </w:rPr>
            </w:pPr>
            <w:r w:rsidRPr="00DE5DE4">
              <w:rPr>
                <w:rFonts w:ascii="Arial" w:hAnsi="Arial" w:cs="Arial"/>
                <w:i/>
                <w:iCs/>
                <w:sz w:val="24"/>
                <w:szCs w:val="24"/>
                <w:lang w:eastAsia="en-GB"/>
              </w:rPr>
              <w:t>Palmer v Mantas</w:t>
            </w:r>
            <w:r w:rsidRPr="00DE5DE4">
              <w:rPr>
                <w:rFonts w:ascii="Arial" w:hAnsi="Arial" w:cs="Arial"/>
                <w:sz w:val="24"/>
                <w:szCs w:val="24"/>
                <w:lang w:eastAsia="en-GB"/>
              </w:rPr>
              <w:t xml:space="preserve"> </w:t>
            </w:r>
            <w:r w:rsidRPr="00DE5DE4">
              <w:rPr>
                <w:rFonts w:ascii="Arial" w:hAnsi="Arial" w:cs="Arial"/>
                <w:sz w:val="24"/>
                <w:szCs w:val="24"/>
              </w:rPr>
              <w:t>[2022] EWHC 90 (QB)</w:t>
            </w:r>
          </w:p>
        </w:tc>
      </w:tr>
    </w:tbl>
    <w:p w14:paraId="409FDD7C" w14:textId="77777777" w:rsidR="00C37641" w:rsidRDefault="00C37641" w:rsidP="00967993">
      <w:pPr>
        <w:spacing w:line="360" w:lineRule="auto"/>
        <w:rPr>
          <w:rFonts w:ascii="Arial" w:hAnsi="Arial" w:cs="Arial"/>
          <w:bCs/>
          <w:sz w:val="24"/>
          <w:szCs w:val="24"/>
          <w:shd w:val="clear" w:color="auto" w:fill="FFFFFF"/>
        </w:rPr>
      </w:pPr>
    </w:p>
    <w:p w14:paraId="5000C3A6" w14:textId="77777777" w:rsidR="00C37641" w:rsidRPr="00C37641" w:rsidRDefault="00C37641" w:rsidP="00967993">
      <w:pPr>
        <w:spacing w:line="360" w:lineRule="auto"/>
        <w:rPr>
          <w:rFonts w:ascii="Arial" w:hAnsi="Arial" w:cs="Arial"/>
          <w:bCs/>
          <w:sz w:val="24"/>
          <w:szCs w:val="24"/>
          <w:u w:val="single"/>
          <w:shd w:val="clear" w:color="auto" w:fill="FFFFFF"/>
        </w:rPr>
      </w:pPr>
      <w:r w:rsidRPr="00C37641">
        <w:rPr>
          <w:rFonts w:ascii="Arial" w:hAnsi="Arial" w:cs="Arial"/>
          <w:bCs/>
          <w:sz w:val="24"/>
          <w:szCs w:val="24"/>
          <w:u w:val="single"/>
          <w:shd w:val="clear" w:color="auto" w:fill="FFFFFF"/>
        </w:rPr>
        <w:t xml:space="preserve">The medicolegal report </w:t>
      </w:r>
    </w:p>
    <w:tbl>
      <w:tblPr>
        <w:tblStyle w:val="TableGrid"/>
        <w:tblW w:w="0" w:type="auto"/>
        <w:tblInd w:w="0" w:type="dxa"/>
        <w:tblLook w:val="04A0" w:firstRow="1" w:lastRow="0" w:firstColumn="1" w:lastColumn="0" w:noHBand="0" w:noVBand="1"/>
      </w:tblPr>
      <w:tblGrid>
        <w:gridCol w:w="3681"/>
        <w:gridCol w:w="5335"/>
      </w:tblGrid>
      <w:tr w:rsidR="00463E89" w14:paraId="2FC05ADF" w14:textId="77777777" w:rsidTr="00463E89">
        <w:tc>
          <w:tcPr>
            <w:tcW w:w="3681" w:type="dxa"/>
            <w:vAlign w:val="center"/>
          </w:tcPr>
          <w:p w14:paraId="485E9CD5" w14:textId="77777777" w:rsidR="00463E89" w:rsidRDefault="007749EA" w:rsidP="007749EA">
            <w:pPr>
              <w:spacing w:line="360" w:lineRule="auto"/>
              <w:rPr>
                <w:rFonts w:ascii="Arial" w:hAnsi="Arial" w:cs="Arial"/>
                <w:bCs/>
                <w:sz w:val="24"/>
                <w:szCs w:val="24"/>
                <w:shd w:val="clear" w:color="auto" w:fill="FFFFFF"/>
              </w:rPr>
            </w:pPr>
            <w:r>
              <w:rPr>
                <w:rFonts w:ascii="Arial" w:hAnsi="Arial" w:cs="Arial"/>
                <w:bCs/>
                <w:sz w:val="24"/>
                <w:szCs w:val="24"/>
                <w:shd w:val="clear" w:color="auto" w:fill="FFFFFF"/>
              </w:rPr>
              <w:t>S</w:t>
            </w:r>
            <w:r w:rsidRPr="007749EA">
              <w:rPr>
                <w:rFonts w:ascii="Arial" w:hAnsi="Arial" w:cs="Arial"/>
                <w:bCs/>
                <w:sz w:val="24"/>
                <w:szCs w:val="24"/>
                <w:shd w:val="clear" w:color="auto" w:fill="FFFFFF"/>
              </w:rPr>
              <w:t xml:space="preserve">ufficient reasoning </w:t>
            </w:r>
            <w:r>
              <w:rPr>
                <w:rFonts w:ascii="Arial" w:hAnsi="Arial" w:cs="Arial"/>
                <w:bCs/>
                <w:sz w:val="24"/>
                <w:szCs w:val="24"/>
                <w:shd w:val="clear" w:color="auto" w:fill="FFFFFF"/>
              </w:rPr>
              <w:t>in expert opinion</w:t>
            </w:r>
          </w:p>
        </w:tc>
        <w:tc>
          <w:tcPr>
            <w:tcW w:w="5335" w:type="dxa"/>
            <w:vAlign w:val="center"/>
          </w:tcPr>
          <w:p w14:paraId="70B375F0" w14:textId="55390A52" w:rsidR="00463E89" w:rsidRDefault="007749EA" w:rsidP="00967993">
            <w:pPr>
              <w:spacing w:line="360" w:lineRule="auto"/>
              <w:rPr>
                <w:rFonts w:ascii="Arial" w:hAnsi="Arial" w:cs="Arial"/>
                <w:bCs/>
                <w:sz w:val="24"/>
                <w:szCs w:val="24"/>
                <w:shd w:val="clear" w:color="auto" w:fill="FFFFFF"/>
              </w:rPr>
            </w:pPr>
            <w:r w:rsidRPr="00D6767D">
              <w:rPr>
                <w:rFonts w:ascii="Arial" w:hAnsi="Arial" w:cs="Arial"/>
                <w:i/>
                <w:iCs/>
                <w:sz w:val="24"/>
                <w:szCs w:val="24"/>
              </w:rPr>
              <w:t>Director of Public Prosecutions v C</w:t>
            </w:r>
            <w:r w:rsidRPr="00D6767D">
              <w:rPr>
                <w:rFonts w:ascii="Arial" w:hAnsi="Arial" w:cs="Arial"/>
                <w:sz w:val="24"/>
                <w:szCs w:val="24"/>
              </w:rPr>
              <w:t xml:space="preserve"> [2021] IESC 74</w:t>
            </w:r>
          </w:p>
        </w:tc>
      </w:tr>
      <w:tr w:rsidR="007749EA" w14:paraId="683CAF8E" w14:textId="77777777" w:rsidTr="00463E89">
        <w:tc>
          <w:tcPr>
            <w:tcW w:w="3681" w:type="dxa"/>
            <w:vAlign w:val="center"/>
          </w:tcPr>
          <w:p w14:paraId="016AD909" w14:textId="77777777" w:rsidR="007749EA" w:rsidRDefault="007749EA" w:rsidP="007749EA">
            <w:pPr>
              <w:spacing w:line="360" w:lineRule="auto"/>
              <w:rPr>
                <w:rFonts w:ascii="Arial" w:hAnsi="Arial" w:cs="Arial"/>
                <w:bCs/>
                <w:sz w:val="24"/>
                <w:szCs w:val="24"/>
                <w:shd w:val="clear" w:color="auto" w:fill="FFFFFF"/>
              </w:rPr>
            </w:pPr>
            <w:r>
              <w:rPr>
                <w:rFonts w:ascii="Arial" w:hAnsi="Arial" w:cs="Arial"/>
                <w:sz w:val="24"/>
                <w:szCs w:val="24"/>
                <w:shd w:val="clear" w:color="auto" w:fill="FFFFFF"/>
              </w:rPr>
              <w:t>L</w:t>
            </w:r>
            <w:r w:rsidRPr="00C37641">
              <w:rPr>
                <w:rFonts w:ascii="Arial" w:hAnsi="Arial" w:cs="Arial"/>
                <w:sz w:val="24"/>
                <w:szCs w:val="24"/>
                <w:shd w:val="clear" w:color="auto" w:fill="FFFFFF"/>
              </w:rPr>
              <w:t>earning disability “within” or “outside BPS Guidance”</w:t>
            </w:r>
          </w:p>
        </w:tc>
        <w:tc>
          <w:tcPr>
            <w:tcW w:w="5335" w:type="dxa"/>
            <w:vAlign w:val="center"/>
          </w:tcPr>
          <w:p w14:paraId="7B14CE56" w14:textId="77777777" w:rsidR="007749EA" w:rsidRDefault="007749EA" w:rsidP="007749EA">
            <w:pPr>
              <w:spacing w:line="360" w:lineRule="auto"/>
              <w:rPr>
                <w:rFonts w:ascii="Arial" w:hAnsi="Arial" w:cs="Arial"/>
                <w:bCs/>
                <w:sz w:val="24"/>
                <w:szCs w:val="24"/>
                <w:shd w:val="clear" w:color="auto" w:fill="FFFFFF"/>
              </w:rPr>
            </w:pPr>
            <w:r w:rsidRPr="00DE5DE4">
              <w:rPr>
                <w:rFonts w:ascii="Arial" w:hAnsi="Arial" w:cs="Arial"/>
                <w:i/>
                <w:iCs/>
                <w:sz w:val="24"/>
                <w:szCs w:val="24"/>
              </w:rPr>
              <w:t>TW v Middlesbrough Council</w:t>
            </w:r>
            <w:r w:rsidRPr="00DE5DE4">
              <w:rPr>
                <w:rFonts w:ascii="Arial" w:hAnsi="Arial" w:cs="Arial"/>
                <w:sz w:val="24"/>
                <w:szCs w:val="24"/>
              </w:rPr>
              <w:t xml:space="preserve"> [2023] EWCOP 30</w:t>
            </w:r>
          </w:p>
        </w:tc>
      </w:tr>
      <w:tr w:rsidR="007749EA" w14:paraId="127CAD1E" w14:textId="77777777" w:rsidTr="00463E89">
        <w:tc>
          <w:tcPr>
            <w:tcW w:w="3681" w:type="dxa"/>
            <w:vAlign w:val="center"/>
          </w:tcPr>
          <w:p w14:paraId="7B27B8C4" w14:textId="77777777" w:rsidR="007749EA" w:rsidRDefault="007749EA" w:rsidP="007749EA">
            <w:pPr>
              <w:spacing w:line="360" w:lineRule="auto"/>
              <w:rPr>
                <w:rFonts w:ascii="Arial" w:hAnsi="Arial" w:cs="Arial"/>
                <w:bCs/>
                <w:sz w:val="24"/>
                <w:szCs w:val="24"/>
                <w:shd w:val="clear" w:color="auto" w:fill="FFFFFF"/>
              </w:rPr>
            </w:pPr>
            <w:r>
              <w:rPr>
                <w:rFonts w:ascii="Arial" w:hAnsi="Arial" w:cs="Arial"/>
                <w:sz w:val="24"/>
                <w:szCs w:val="24"/>
                <w:shd w:val="clear" w:color="auto" w:fill="FFFFFF"/>
              </w:rPr>
              <w:t>Language</w:t>
            </w:r>
          </w:p>
        </w:tc>
        <w:tc>
          <w:tcPr>
            <w:tcW w:w="5335" w:type="dxa"/>
            <w:vAlign w:val="center"/>
          </w:tcPr>
          <w:p w14:paraId="3DE843C5" w14:textId="77777777" w:rsidR="007749EA" w:rsidRDefault="007749EA" w:rsidP="007749EA">
            <w:pPr>
              <w:spacing w:line="360" w:lineRule="auto"/>
              <w:rPr>
                <w:rFonts w:ascii="Arial" w:hAnsi="Arial" w:cs="Arial"/>
                <w:bCs/>
                <w:sz w:val="24"/>
                <w:szCs w:val="24"/>
                <w:shd w:val="clear" w:color="auto" w:fill="FFFFFF"/>
              </w:rPr>
            </w:pPr>
            <w:r w:rsidRPr="00DE5DE4">
              <w:rPr>
                <w:rFonts w:ascii="Arial" w:hAnsi="Arial" w:cs="Arial"/>
                <w:i/>
                <w:iCs/>
                <w:sz w:val="24"/>
                <w:szCs w:val="24"/>
              </w:rPr>
              <w:t xml:space="preserve">Donovan v Grainmarket Asset Management LLP </w:t>
            </w:r>
            <w:r w:rsidRPr="00DE5DE4">
              <w:rPr>
                <w:rFonts w:ascii="Arial" w:hAnsi="Arial" w:cs="Arial"/>
                <w:sz w:val="24"/>
                <w:szCs w:val="24"/>
                <w:shd w:val="clear" w:color="auto" w:fill="FFFFFF"/>
              </w:rPr>
              <w:t>[2020] EWHC 17 (Comm)</w:t>
            </w:r>
          </w:p>
        </w:tc>
      </w:tr>
      <w:tr w:rsidR="007749EA" w14:paraId="3FDF327D" w14:textId="77777777" w:rsidTr="00463E89">
        <w:tc>
          <w:tcPr>
            <w:tcW w:w="3681" w:type="dxa"/>
            <w:vAlign w:val="center"/>
          </w:tcPr>
          <w:p w14:paraId="540A157D" w14:textId="77777777" w:rsidR="007749EA" w:rsidRDefault="007749EA" w:rsidP="007749EA">
            <w:pPr>
              <w:spacing w:line="360" w:lineRule="auto"/>
              <w:rPr>
                <w:rFonts w:ascii="Arial" w:hAnsi="Arial" w:cs="Arial"/>
                <w:bCs/>
                <w:sz w:val="24"/>
                <w:szCs w:val="24"/>
                <w:shd w:val="clear" w:color="auto" w:fill="FFFFFF"/>
              </w:rPr>
            </w:pPr>
            <w:r>
              <w:rPr>
                <w:rFonts w:ascii="Arial" w:hAnsi="Arial" w:cs="Arial"/>
                <w:sz w:val="24"/>
                <w:szCs w:val="24"/>
                <w:shd w:val="clear" w:color="auto" w:fill="FFFFFF"/>
              </w:rPr>
              <w:t>G</w:t>
            </w:r>
            <w:r w:rsidRPr="00463E89">
              <w:rPr>
                <w:rFonts w:ascii="Arial" w:hAnsi="Arial" w:cs="Arial"/>
                <w:sz w:val="24"/>
                <w:szCs w:val="24"/>
                <w:shd w:val="clear" w:color="auto" w:fill="FFFFFF"/>
              </w:rPr>
              <w:t>lossary of medical terms</w:t>
            </w:r>
          </w:p>
        </w:tc>
        <w:tc>
          <w:tcPr>
            <w:tcW w:w="5335" w:type="dxa"/>
            <w:vAlign w:val="center"/>
          </w:tcPr>
          <w:p w14:paraId="21E74217" w14:textId="77777777" w:rsidR="007749EA" w:rsidRDefault="007749EA" w:rsidP="007749EA">
            <w:pPr>
              <w:spacing w:line="360" w:lineRule="auto"/>
              <w:rPr>
                <w:rFonts w:ascii="Arial" w:hAnsi="Arial" w:cs="Arial"/>
                <w:bCs/>
                <w:sz w:val="24"/>
                <w:szCs w:val="24"/>
                <w:shd w:val="clear" w:color="auto" w:fill="FFFFFF"/>
              </w:rPr>
            </w:pPr>
            <w:r w:rsidRPr="00DE5DE4">
              <w:rPr>
                <w:rFonts w:ascii="Arial" w:hAnsi="Arial" w:cs="Arial"/>
                <w:bCs/>
                <w:i/>
                <w:iCs/>
                <w:sz w:val="24"/>
                <w:szCs w:val="24"/>
              </w:rPr>
              <w:t>SC (a child, suing by her mother and litigation friend, Ac) v University Hospital Southampton NHS Foundation Trust</w:t>
            </w:r>
            <w:r w:rsidRPr="00DE5DE4">
              <w:rPr>
                <w:rFonts w:ascii="Arial" w:hAnsi="Arial" w:cs="Arial"/>
                <w:bCs/>
                <w:sz w:val="24"/>
                <w:szCs w:val="24"/>
              </w:rPr>
              <w:t xml:space="preserve"> </w:t>
            </w:r>
            <w:r w:rsidRPr="00DE5DE4">
              <w:rPr>
                <w:rFonts w:ascii="Arial" w:hAnsi="Arial" w:cs="Arial"/>
                <w:bCs/>
                <w:sz w:val="24"/>
                <w:szCs w:val="24"/>
                <w:shd w:val="clear" w:color="auto" w:fill="FFFFFF"/>
              </w:rPr>
              <w:t>[2020] EWHC 1610 (QB)</w:t>
            </w:r>
          </w:p>
        </w:tc>
      </w:tr>
      <w:tr w:rsidR="007749EA" w14:paraId="54304566" w14:textId="77777777" w:rsidTr="00463E89">
        <w:tc>
          <w:tcPr>
            <w:tcW w:w="3681" w:type="dxa"/>
            <w:vAlign w:val="center"/>
          </w:tcPr>
          <w:p w14:paraId="70A0BFD9" w14:textId="77777777" w:rsidR="007749EA" w:rsidRDefault="007749EA" w:rsidP="007749EA">
            <w:pPr>
              <w:spacing w:line="360" w:lineRule="auto"/>
              <w:rPr>
                <w:rFonts w:ascii="Arial" w:hAnsi="Arial" w:cs="Arial"/>
                <w:bCs/>
                <w:sz w:val="24"/>
                <w:szCs w:val="24"/>
                <w:shd w:val="clear" w:color="auto" w:fill="FFFFFF"/>
              </w:rPr>
            </w:pPr>
            <w:r>
              <w:rPr>
                <w:rFonts w:ascii="Arial" w:hAnsi="Arial" w:cs="Arial"/>
                <w:sz w:val="24"/>
                <w:szCs w:val="24"/>
                <w:shd w:val="clear" w:color="auto" w:fill="FFFFFF"/>
              </w:rPr>
              <w:t>Social media evidence</w:t>
            </w:r>
          </w:p>
        </w:tc>
        <w:tc>
          <w:tcPr>
            <w:tcW w:w="5335" w:type="dxa"/>
            <w:vAlign w:val="center"/>
          </w:tcPr>
          <w:p w14:paraId="61ECCAE3" w14:textId="77777777" w:rsidR="007749EA" w:rsidRDefault="007749EA" w:rsidP="007749EA">
            <w:pPr>
              <w:spacing w:line="360" w:lineRule="auto"/>
              <w:rPr>
                <w:rFonts w:ascii="Arial" w:hAnsi="Arial" w:cs="Arial"/>
                <w:bCs/>
                <w:sz w:val="24"/>
                <w:szCs w:val="24"/>
                <w:shd w:val="clear" w:color="auto" w:fill="FFFFFF"/>
              </w:rPr>
            </w:pPr>
            <w:r w:rsidRPr="00DE5DE4">
              <w:rPr>
                <w:rFonts w:ascii="Arial" w:hAnsi="Arial" w:cs="Arial"/>
                <w:i/>
                <w:iCs/>
                <w:sz w:val="24"/>
                <w:szCs w:val="24"/>
                <w:lang w:eastAsia="en-GB"/>
              </w:rPr>
              <w:t>Palmer v Mantas</w:t>
            </w:r>
            <w:r w:rsidRPr="00DE5DE4">
              <w:rPr>
                <w:rFonts w:ascii="Arial" w:hAnsi="Arial" w:cs="Arial"/>
                <w:sz w:val="24"/>
                <w:szCs w:val="24"/>
                <w:lang w:eastAsia="en-GB"/>
              </w:rPr>
              <w:t xml:space="preserve"> </w:t>
            </w:r>
            <w:r w:rsidRPr="00DE5DE4">
              <w:rPr>
                <w:rFonts w:ascii="Arial" w:hAnsi="Arial" w:cs="Arial"/>
                <w:sz w:val="24"/>
                <w:szCs w:val="24"/>
              </w:rPr>
              <w:t>[2022] EWHC 90 (QB)</w:t>
            </w:r>
          </w:p>
        </w:tc>
      </w:tr>
      <w:tr w:rsidR="007749EA" w14:paraId="5AD1BA5D" w14:textId="77777777" w:rsidTr="00463E89">
        <w:tc>
          <w:tcPr>
            <w:tcW w:w="3681" w:type="dxa"/>
            <w:vAlign w:val="center"/>
          </w:tcPr>
          <w:p w14:paraId="09116579" w14:textId="77777777" w:rsidR="007749EA" w:rsidRDefault="007749EA" w:rsidP="007749EA">
            <w:pPr>
              <w:spacing w:line="360" w:lineRule="auto"/>
              <w:rPr>
                <w:rFonts w:ascii="Arial" w:hAnsi="Arial" w:cs="Arial"/>
                <w:bCs/>
                <w:sz w:val="24"/>
                <w:szCs w:val="24"/>
                <w:shd w:val="clear" w:color="auto" w:fill="FFFFFF"/>
              </w:rPr>
            </w:pPr>
            <w:bookmarkStart w:id="0" w:name="_GoBack"/>
            <w:bookmarkEnd w:id="0"/>
            <w:r>
              <w:rPr>
                <w:rFonts w:ascii="Arial" w:hAnsi="Arial" w:cs="Arial"/>
                <w:bCs/>
                <w:sz w:val="24"/>
                <w:szCs w:val="24"/>
                <w:shd w:val="clear" w:color="auto" w:fill="FFFFFF"/>
              </w:rPr>
              <w:t>D</w:t>
            </w:r>
            <w:r w:rsidRPr="00C37641">
              <w:rPr>
                <w:rFonts w:ascii="Arial" w:hAnsi="Arial" w:cs="Arial"/>
                <w:bCs/>
                <w:sz w:val="24"/>
                <w:szCs w:val="24"/>
                <w:shd w:val="clear" w:color="auto" w:fill="FFFFFF"/>
              </w:rPr>
              <w:t>raft Particulars of Claim</w:t>
            </w:r>
            <w:r>
              <w:rPr>
                <w:rFonts w:ascii="Arial" w:hAnsi="Arial" w:cs="Arial"/>
                <w:bCs/>
                <w:sz w:val="24"/>
                <w:szCs w:val="24"/>
                <w:shd w:val="clear" w:color="auto" w:fill="FFFFFF"/>
              </w:rPr>
              <w:t xml:space="preserve"> in clinical negligence cases</w:t>
            </w:r>
          </w:p>
        </w:tc>
        <w:tc>
          <w:tcPr>
            <w:tcW w:w="5335" w:type="dxa"/>
            <w:vAlign w:val="center"/>
          </w:tcPr>
          <w:p w14:paraId="7B6E8ADA" w14:textId="77777777" w:rsidR="007749EA" w:rsidRDefault="007749EA" w:rsidP="007749EA">
            <w:pPr>
              <w:spacing w:line="360" w:lineRule="auto"/>
              <w:rPr>
                <w:rFonts w:ascii="Arial" w:hAnsi="Arial" w:cs="Arial"/>
                <w:bCs/>
                <w:sz w:val="24"/>
                <w:szCs w:val="24"/>
                <w:shd w:val="clear" w:color="auto" w:fill="FFFFFF"/>
              </w:rPr>
            </w:pPr>
            <w:r w:rsidRPr="00DE5DE4">
              <w:rPr>
                <w:rStyle w:val="cosearchterm"/>
                <w:rFonts w:ascii="Arial" w:hAnsi="Arial" w:cs="Arial"/>
                <w:i/>
                <w:iCs/>
                <w:sz w:val="24"/>
                <w:szCs w:val="24"/>
                <w:bdr w:val="none" w:sz="0" w:space="0" w:color="auto" w:frame="1"/>
              </w:rPr>
              <w:t>Magee</w:t>
            </w:r>
            <w:r w:rsidRPr="00DE5DE4">
              <w:rPr>
                <w:rFonts w:ascii="Arial" w:hAnsi="Arial" w:cs="Arial"/>
                <w:i/>
                <w:iCs/>
                <w:sz w:val="24"/>
                <w:szCs w:val="24"/>
              </w:rPr>
              <w:t xml:space="preserve"> v </w:t>
            </w:r>
            <w:r w:rsidRPr="00DE5DE4">
              <w:rPr>
                <w:rStyle w:val="cosearchterm"/>
                <w:rFonts w:ascii="Arial" w:hAnsi="Arial" w:cs="Arial"/>
                <w:i/>
                <w:iCs/>
                <w:sz w:val="24"/>
                <w:szCs w:val="24"/>
                <w:bdr w:val="none" w:sz="0" w:space="0" w:color="auto" w:frame="1"/>
              </w:rPr>
              <w:t>Willmott</w:t>
            </w:r>
            <w:r w:rsidRPr="00DE5DE4">
              <w:rPr>
                <w:rStyle w:val="cosearchterm"/>
                <w:rFonts w:ascii="Arial" w:hAnsi="Arial" w:cs="Arial"/>
                <w:sz w:val="24"/>
                <w:szCs w:val="24"/>
                <w:bdr w:val="none" w:sz="0" w:space="0" w:color="auto" w:frame="1"/>
              </w:rPr>
              <w:t xml:space="preserve"> </w:t>
            </w:r>
            <w:r w:rsidRPr="00DE5DE4">
              <w:rPr>
                <w:rFonts w:ascii="Arial" w:hAnsi="Arial" w:cs="Arial"/>
                <w:sz w:val="24"/>
                <w:szCs w:val="24"/>
                <w:shd w:val="clear" w:color="auto" w:fill="FFFFFF"/>
              </w:rPr>
              <w:t>[2020] EWHC 1378 (QB)</w:t>
            </w:r>
          </w:p>
        </w:tc>
      </w:tr>
      <w:tr w:rsidR="007749EA" w14:paraId="0EB7A974" w14:textId="77777777" w:rsidTr="00463E89">
        <w:tc>
          <w:tcPr>
            <w:tcW w:w="3681" w:type="dxa"/>
            <w:vAlign w:val="center"/>
          </w:tcPr>
          <w:p w14:paraId="3AE774A7" w14:textId="77777777" w:rsidR="007749EA" w:rsidRDefault="007749EA" w:rsidP="007749EA">
            <w:pPr>
              <w:spacing w:line="360" w:lineRule="auto"/>
              <w:rPr>
                <w:rFonts w:ascii="Arial" w:hAnsi="Arial" w:cs="Arial"/>
                <w:sz w:val="24"/>
                <w:szCs w:val="24"/>
                <w:shd w:val="clear" w:color="auto" w:fill="FFFFFF"/>
              </w:rPr>
            </w:pPr>
            <w:r>
              <w:rPr>
                <w:rFonts w:ascii="Arial" w:hAnsi="Arial" w:cs="Arial"/>
                <w:bCs/>
                <w:sz w:val="24"/>
                <w:szCs w:val="24"/>
                <w:shd w:val="clear" w:color="auto" w:fill="FFFFFF"/>
              </w:rPr>
              <w:t>Expert declarations in Scotland</w:t>
            </w:r>
          </w:p>
        </w:tc>
        <w:tc>
          <w:tcPr>
            <w:tcW w:w="5335" w:type="dxa"/>
            <w:vAlign w:val="center"/>
          </w:tcPr>
          <w:p w14:paraId="5C72EF9A" w14:textId="77777777" w:rsidR="007749EA" w:rsidRDefault="007749EA" w:rsidP="007749EA">
            <w:pPr>
              <w:spacing w:line="360" w:lineRule="auto"/>
              <w:rPr>
                <w:rFonts w:ascii="Arial" w:hAnsi="Arial" w:cs="Arial"/>
                <w:sz w:val="24"/>
                <w:szCs w:val="24"/>
              </w:rPr>
            </w:pPr>
            <w:r w:rsidRPr="00055FA2">
              <w:rPr>
                <w:rFonts w:ascii="Arial" w:hAnsi="Arial" w:cs="Arial"/>
                <w:sz w:val="24"/>
                <w:szCs w:val="24"/>
              </w:rPr>
              <w:t>Law Society of Scotland's </w:t>
            </w:r>
            <w:r w:rsidRPr="00055FA2">
              <w:rPr>
                <w:rStyle w:val="cosearchterm"/>
                <w:rFonts w:ascii="Arial" w:hAnsi="Arial" w:cs="Arial"/>
                <w:sz w:val="24"/>
                <w:szCs w:val="24"/>
                <w:bdr w:val="none" w:sz="0" w:space="0" w:color="auto" w:frame="1"/>
              </w:rPr>
              <w:t>Expert</w:t>
            </w:r>
            <w:r w:rsidRPr="00055FA2">
              <w:rPr>
                <w:rFonts w:ascii="Arial" w:hAnsi="Arial" w:cs="Arial"/>
                <w:sz w:val="24"/>
                <w:szCs w:val="24"/>
              </w:rPr>
              <w:t xml:space="preserve"> Witness Code of Practice </w:t>
            </w:r>
          </w:p>
          <w:p w14:paraId="405EC4FB" w14:textId="77777777" w:rsidR="007749EA" w:rsidRPr="0012466B" w:rsidRDefault="007749EA" w:rsidP="007749EA">
            <w:pPr>
              <w:rPr>
                <w:rFonts w:ascii="Arial" w:hAnsi="Arial" w:cs="Arial"/>
                <w:sz w:val="24"/>
                <w:szCs w:val="24"/>
              </w:rPr>
            </w:pPr>
            <w:r w:rsidRPr="00055FA2">
              <w:rPr>
                <w:rFonts w:ascii="Arial" w:hAnsi="Arial" w:cs="Arial"/>
                <w:i/>
                <w:iCs/>
                <w:sz w:val="24"/>
                <w:szCs w:val="24"/>
              </w:rPr>
              <w:t>Reactec Limited v Curotec Team Limited</w:t>
            </w:r>
            <w:r w:rsidRPr="00055FA2">
              <w:rPr>
                <w:rFonts w:ascii="Arial" w:hAnsi="Arial" w:cs="Arial"/>
                <w:sz w:val="24"/>
                <w:szCs w:val="24"/>
              </w:rPr>
              <w:t xml:space="preserve"> </w:t>
            </w:r>
            <w:r w:rsidRPr="00055FA2">
              <w:rPr>
                <w:rFonts w:ascii="Arial" w:hAnsi="Arial" w:cs="Arial"/>
                <w:sz w:val="24"/>
                <w:szCs w:val="24"/>
                <w:shd w:val="clear" w:color="auto" w:fill="FFFFFF"/>
              </w:rPr>
              <w:t>[2020]).</w:t>
            </w:r>
          </w:p>
        </w:tc>
      </w:tr>
      <w:tr w:rsidR="007749EA" w14:paraId="0D81BF63" w14:textId="77777777" w:rsidTr="00463E89">
        <w:tc>
          <w:tcPr>
            <w:tcW w:w="3681" w:type="dxa"/>
            <w:vAlign w:val="center"/>
          </w:tcPr>
          <w:p w14:paraId="36EC7991" w14:textId="77777777" w:rsidR="007749EA" w:rsidRDefault="007749EA" w:rsidP="007749EA">
            <w:pPr>
              <w:spacing w:line="360" w:lineRule="auto"/>
              <w:rPr>
                <w:rFonts w:ascii="Arial" w:hAnsi="Arial" w:cs="Arial"/>
                <w:sz w:val="24"/>
                <w:szCs w:val="24"/>
                <w:shd w:val="clear" w:color="auto" w:fill="FFFFFF"/>
              </w:rPr>
            </w:pPr>
            <w:r>
              <w:rPr>
                <w:rFonts w:ascii="Arial" w:hAnsi="Arial" w:cs="Arial"/>
                <w:sz w:val="24"/>
                <w:szCs w:val="24"/>
                <w:shd w:val="clear" w:color="auto" w:fill="FFFFFF"/>
              </w:rPr>
              <w:t xml:space="preserve">Draft defence reports </w:t>
            </w:r>
            <w:r w:rsidRPr="0012466B">
              <w:rPr>
                <w:rFonts w:ascii="Arial" w:hAnsi="Arial" w:cs="Arial"/>
                <w:sz w:val="24"/>
                <w:szCs w:val="24"/>
                <w:shd w:val="clear" w:color="auto" w:fill="FFFFFF"/>
              </w:rPr>
              <w:t>for the criminal jurisdiction</w:t>
            </w:r>
          </w:p>
        </w:tc>
        <w:tc>
          <w:tcPr>
            <w:tcW w:w="5335" w:type="dxa"/>
            <w:vAlign w:val="center"/>
          </w:tcPr>
          <w:p w14:paraId="290092E2" w14:textId="77777777" w:rsidR="007749EA" w:rsidRPr="0012466B" w:rsidRDefault="007749EA" w:rsidP="007749EA">
            <w:pPr>
              <w:rPr>
                <w:rFonts w:ascii="Arial" w:hAnsi="Arial" w:cs="Arial"/>
                <w:sz w:val="24"/>
                <w:szCs w:val="24"/>
              </w:rPr>
            </w:pPr>
            <w:r w:rsidRPr="0012466B">
              <w:rPr>
                <w:rFonts w:ascii="Arial" w:hAnsi="Arial" w:cs="Arial"/>
                <w:sz w:val="24"/>
                <w:szCs w:val="24"/>
              </w:rPr>
              <w:t xml:space="preserve">‘Instructions’ should include this paragraph:  </w:t>
            </w:r>
          </w:p>
          <w:p w14:paraId="160FAE76" w14:textId="77777777" w:rsidR="007749EA" w:rsidRPr="0012466B" w:rsidRDefault="007749EA" w:rsidP="007749EA">
            <w:pPr>
              <w:rPr>
                <w:rFonts w:ascii="Arial" w:hAnsi="Arial" w:cs="Arial"/>
                <w:sz w:val="24"/>
                <w:szCs w:val="24"/>
              </w:rPr>
            </w:pPr>
          </w:p>
          <w:p w14:paraId="72A4ADD8" w14:textId="77777777" w:rsidR="007749EA" w:rsidRPr="0012466B" w:rsidRDefault="007749EA" w:rsidP="007749EA">
            <w:pPr>
              <w:ind w:left="720"/>
              <w:rPr>
                <w:rFonts w:ascii="Arial" w:hAnsi="Arial" w:cs="Arial"/>
                <w:sz w:val="24"/>
                <w:szCs w:val="24"/>
              </w:rPr>
            </w:pPr>
            <w:r w:rsidRPr="0012466B">
              <w:rPr>
                <w:rFonts w:ascii="Arial" w:hAnsi="Arial" w:cs="Arial"/>
                <w:sz w:val="24"/>
                <w:szCs w:val="24"/>
              </w:rPr>
              <w:t xml:space="preserve">I have been instructed to provide </w:t>
            </w:r>
            <w:r w:rsidRPr="0012466B">
              <w:rPr>
                <w:rFonts w:ascii="Arial" w:hAnsi="Arial" w:cs="Arial"/>
                <w:color w:val="000000"/>
                <w:sz w:val="24"/>
                <w:szCs w:val="24"/>
              </w:rPr>
              <w:t xml:space="preserve">an initial expert advice that is, in itself, not a </w:t>
            </w:r>
            <w:r w:rsidRPr="0012466B">
              <w:rPr>
                <w:rFonts w:ascii="Arial" w:hAnsi="Arial" w:cs="Arial"/>
                <w:color w:val="000000"/>
                <w:sz w:val="24"/>
                <w:szCs w:val="24"/>
              </w:rPr>
              <w:lastRenderedPageBreak/>
              <w:t>report. Rather, it is my expert opinion for the use of my instructing solicitors, as the Defendant’s legal advisers, obtained by them from me in connection with the criminal proceedings and for the purposes of those proceedings. As an expert advice, it will not be used for the purposes of disclosure.  It will be protected by litigation privilege (pursuant to section 10(1)(b) of the Police and Criminal Evidence Act 1984).</w:t>
            </w:r>
          </w:p>
          <w:p w14:paraId="32AE3486" w14:textId="77777777" w:rsidR="007749EA" w:rsidRPr="0012466B" w:rsidRDefault="007749EA" w:rsidP="007749EA">
            <w:pPr>
              <w:rPr>
                <w:rFonts w:ascii="Arial" w:hAnsi="Arial" w:cs="Arial"/>
                <w:sz w:val="24"/>
                <w:szCs w:val="24"/>
              </w:rPr>
            </w:pPr>
          </w:p>
          <w:p w14:paraId="6021D8A9" w14:textId="77777777" w:rsidR="007749EA" w:rsidRPr="0012466B" w:rsidRDefault="007749EA" w:rsidP="007749EA">
            <w:pPr>
              <w:rPr>
                <w:rFonts w:ascii="Arial" w:hAnsi="Arial" w:cs="Arial"/>
                <w:b/>
                <w:bCs/>
                <w:sz w:val="24"/>
                <w:szCs w:val="24"/>
              </w:rPr>
            </w:pPr>
            <w:r w:rsidRPr="0012466B">
              <w:rPr>
                <w:rFonts w:ascii="Arial" w:hAnsi="Arial" w:cs="Arial"/>
                <w:sz w:val="24"/>
                <w:szCs w:val="24"/>
              </w:rPr>
              <w:t>Also, on the front page, I change my default wording ‘</w:t>
            </w:r>
            <w:r w:rsidRPr="0012466B">
              <w:rPr>
                <w:rFonts w:ascii="Arial" w:hAnsi="Arial" w:cs="Arial"/>
                <w:b/>
                <w:bCs/>
                <w:sz w:val="24"/>
                <w:szCs w:val="24"/>
              </w:rPr>
              <w:t xml:space="preserve">Report for, and addressed to, the Court, by …’ </w:t>
            </w:r>
            <w:r w:rsidRPr="0012466B">
              <w:rPr>
                <w:rFonts w:ascii="Arial" w:hAnsi="Arial" w:cs="Arial"/>
                <w:sz w:val="24"/>
                <w:szCs w:val="24"/>
              </w:rPr>
              <w:t xml:space="preserve">to read </w:t>
            </w:r>
            <w:r w:rsidRPr="0012466B">
              <w:rPr>
                <w:rFonts w:ascii="Arial" w:hAnsi="Arial" w:cs="Arial"/>
                <w:b/>
                <w:bCs/>
                <w:sz w:val="24"/>
                <w:szCs w:val="24"/>
              </w:rPr>
              <w:t xml:space="preserve">‘Initial expert advice addressed to ****, Solicitors’ </w:t>
            </w:r>
            <w:r w:rsidRPr="0012466B">
              <w:rPr>
                <w:rFonts w:ascii="Arial" w:hAnsi="Arial" w:cs="Arial"/>
                <w:sz w:val="24"/>
                <w:szCs w:val="24"/>
              </w:rPr>
              <w:t xml:space="preserve">and instead of referring to the ‘Status’ of the report as </w:t>
            </w:r>
            <w:r w:rsidRPr="0012466B">
              <w:rPr>
                <w:rFonts w:ascii="Arial" w:hAnsi="Arial" w:cs="Arial"/>
                <w:b/>
                <w:bCs/>
                <w:sz w:val="24"/>
                <w:szCs w:val="24"/>
              </w:rPr>
              <w:t xml:space="preserve">‘Provisional’ </w:t>
            </w:r>
            <w:r w:rsidRPr="0012466B">
              <w:rPr>
                <w:rFonts w:ascii="Arial" w:hAnsi="Arial" w:cs="Arial"/>
                <w:sz w:val="24"/>
                <w:szCs w:val="24"/>
              </w:rPr>
              <w:t xml:space="preserve">or </w:t>
            </w:r>
            <w:r w:rsidRPr="0012466B">
              <w:rPr>
                <w:rFonts w:ascii="Arial" w:hAnsi="Arial" w:cs="Arial"/>
                <w:b/>
                <w:bCs/>
                <w:sz w:val="24"/>
                <w:szCs w:val="24"/>
              </w:rPr>
              <w:t xml:space="preserve">‘Final’ </w:t>
            </w:r>
            <w:r w:rsidRPr="0012466B">
              <w:rPr>
                <w:rFonts w:ascii="Arial" w:hAnsi="Arial" w:cs="Arial"/>
                <w:sz w:val="24"/>
                <w:szCs w:val="24"/>
              </w:rPr>
              <w:t xml:space="preserve">I substitute </w:t>
            </w:r>
            <w:r w:rsidRPr="0012466B">
              <w:rPr>
                <w:rFonts w:ascii="Arial" w:hAnsi="Arial" w:cs="Arial"/>
                <w:b/>
                <w:bCs/>
                <w:sz w:val="24"/>
                <w:szCs w:val="24"/>
              </w:rPr>
              <w:t>‘Legally privileged (PACE, s 10(1)(b))’</w:t>
            </w:r>
            <w:r w:rsidRPr="0012466B">
              <w:rPr>
                <w:rFonts w:ascii="Arial" w:hAnsi="Arial" w:cs="Arial"/>
                <w:sz w:val="24"/>
                <w:szCs w:val="24"/>
              </w:rPr>
              <w:t>; in the header zone I change ‘</w:t>
            </w:r>
            <w:r w:rsidRPr="0012466B">
              <w:rPr>
                <w:rFonts w:ascii="Arial" w:hAnsi="Arial" w:cs="Arial"/>
                <w:b/>
                <w:bCs/>
                <w:sz w:val="24"/>
                <w:szCs w:val="24"/>
              </w:rPr>
              <w:t>Report of ..’</w:t>
            </w:r>
            <w:r w:rsidRPr="0012466B">
              <w:rPr>
                <w:rFonts w:ascii="Arial" w:hAnsi="Arial" w:cs="Arial"/>
                <w:sz w:val="24"/>
                <w:szCs w:val="24"/>
              </w:rPr>
              <w:t xml:space="preserve"> to </w:t>
            </w:r>
            <w:r w:rsidRPr="0012466B">
              <w:rPr>
                <w:rFonts w:ascii="Arial" w:hAnsi="Arial" w:cs="Arial"/>
                <w:b/>
                <w:bCs/>
                <w:sz w:val="24"/>
                <w:szCs w:val="24"/>
              </w:rPr>
              <w:t>‘Initial expert advice by: …’</w:t>
            </w:r>
            <w:r w:rsidRPr="0012466B">
              <w:rPr>
                <w:rFonts w:ascii="Arial" w:hAnsi="Arial" w:cs="Arial"/>
                <w:sz w:val="24"/>
                <w:szCs w:val="24"/>
              </w:rPr>
              <w:t xml:space="preserve"> and I change ‘</w:t>
            </w:r>
            <w:r w:rsidRPr="0012466B">
              <w:rPr>
                <w:rFonts w:ascii="Arial" w:hAnsi="Arial" w:cs="Arial"/>
                <w:b/>
                <w:bCs/>
                <w:sz w:val="24"/>
                <w:szCs w:val="24"/>
              </w:rPr>
              <w:t xml:space="preserve">Prepared for: *** Court’ </w:t>
            </w:r>
            <w:r w:rsidRPr="0012466B">
              <w:rPr>
                <w:rFonts w:ascii="Arial" w:hAnsi="Arial" w:cs="Arial"/>
                <w:sz w:val="24"/>
                <w:szCs w:val="24"/>
              </w:rPr>
              <w:t>to</w:t>
            </w:r>
            <w:r w:rsidRPr="0012466B">
              <w:rPr>
                <w:rFonts w:ascii="Arial" w:hAnsi="Arial" w:cs="Arial"/>
                <w:b/>
                <w:bCs/>
                <w:sz w:val="24"/>
                <w:szCs w:val="24"/>
              </w:rPr>
              <w:t xml:space="preserve"> ‘Prepared under litigation privilege’</w:t>
            </w:r>
            <w:r w:rsidRPr="0012466B">
              <w:rPr>
                <w:rFonts w:ascii="Arial" w:hAnsi="Arial" w:cs="Arial"/>
                <w:sz w:val="24"/>
                <w:szCs w:val="24"/>
              </w:rPr>
              <w:t>; and in the footer zone, I change</w:t>
            </w:r>
            <w:r w:rsidRPr="0012466B">
              <w:rPr>
                <w:rFonts w:ascii="Arial" w:hAnsi="Arial" w:cs="Arial"/>
                <w:b/>
                <w:bCs/>
                <w:sz w:val="24"/>
                <w:szCs w:val="24"/>
              </w:rPr>
              <w:t xml:space="preserve"> ‘Report of Dr XXX concerning’ </w:t>
            </w:r>
            <w:r w:rsidRPr="0012466B">
              <w:rPr>
                <w:rFonts w:ascii="Arial" w:hAnsi="Arial" w:cs="Arial"/>
                <w:sz w:val="24"/>
                <w:szCs w:val="24"/>
              </w:rPr>
              <w:t>to</w:t>
            </w:r>
            <w:r w:rsidRPr="0012466B">
              <w:rPr>
                <w:rFonts w:ascii="Arial" w:hAnsi="Arial" w:cs="Arial"/>
                <w:b/>
                <w:bCs/>
                <w:sz w:val="24"/>
                <w:szCs w:val="24"/>
              </w:rPr>
              <w:t xml:space="preserve"> ‘Initial expert advice of Dr XXX about the case of …’</w:t>
            </w:r>
          </w:p>
        </w:tc>
      </w:tr>
      <w:tr w:rsidR="007749EA" w14:paraId="6249AC89" w14:textId="77777777" w:rsidTr="00463E89">
        <w:tc>
          <w:tcPr>
            <w:tcW w:w="3681" w:type="dxa"/>
            <w:vAlign w:val="center"/>
          </w:tcPr>
          <w:p w14:paraId="4597F355" w14:textId="77777777" w:rsidR="007749EA" w:rsidRDefault="007749EA" w:rsidP="007749EA">
            <w:pPr>
              <w:spacing w:line="360" w:lineRule="auto"/>
              <w:rPr>
                <w:rFonts w:ascii="Arial" w:hAnsi="Arial" w:cs="Arial"/>
                <w:sz w:val="24"/>
                <w:szCs w:val="24"/>
                <w:shd w:val="clear" w:color="auto" w:fill="FFFFFF"/>
              </w:rPr>
            </w:pPr>
            <w:r w:rsidRPr="0012466B">
              <w:rPr>
                <w:rFonts w:ascii="Arial" w:hAnsi="Arial" w:cs="Arial"/>
                <w:sz w:val="24"/>
                <w:szCs w:val="24"/>
                <w:shd w:val="clear" w:color="auto" w:fill="FFFFFF"/>
              </w:rPr>
              <w:lastRenderedPageBreak/>
              <w:t>Declaration for reports in clinical negligence cases in Northern Ireland</w:t>
            </w:r>
          </w:p>
        </w:tc>
        <w:tc>
          <w:tcPr>
            <w:tcW w:w="5335" w:type="dxa"/>
            <w:vAlign w:val="center"/>
          </w:tcPr>
          <w:p w14:paraId="715EF0D2" w14:textId="77777777" w:rsidR="007749EA" w:rsidRDefault="007749EA" w:rsidP="007749EA">
            <w:pPr>
              <w:spacing w:line="360" w:lineRule="auto"/>
              <w:rPr>
                <w:rFonts w:ascii="Arial" w:hAnsi="Arial" w:cs="Arial"/>
                <w:sz w:val="24"/>
                <w:szCs w:val="24"/>
                <w:shd w:val="clear" w:color="auto" w:fill="FFFFFF"/>
              </w:rPr>
            </w:pPr>
            <w:r>
              <w:rPr>
                <w:rFonts w:ascii="Arial" w:hAnsi="Arial" w:cs="Arial"/>
                <w:sz w:val="24"/>
                <w:szCs w:val="24"/>
              </w:rPr>
              <w:t xml:space="preserve">The </w:t>
            </w:r>
            <w:r w:rsidRPr="004E3BDE">
              <w:rPr>
                <w:rFonts w:ascii="Arial" w:hAnsi="Arial" w:cs="Arial"/>
                <w:sz w:val="24"/>
                <w:szCs w:val="24"/>
              </w:rPr>
              <w:t xml:space="preserve">Clinical Negligence Practice Direction from the High </w:t>
            </w:r>
            <w:r>
              <w:rPr>
                <w:rFonts w:ascii="Arial" w:hAnsi="Arial" w:cs="Arial"/>
                <w:sz w:val="24"/>
                <w:szCs w:val="24"/>
              </w:rPr>
              <w:t xml:space="preserve">Court of Northern Ireland, </w:t>
            </w:r>
            <w:r w:rsidRPr="004E3BDE">
              <w:rPr>
                <w:rFonts w:ascii="Arial" w:hAnsi="Arial" w:cs="Arial"/>
                <w:sz w:val="24"/>
                <w:szCs w:val="24"/>
              </w:rPr>
              <w:t>which can be accessed here:- </w:t>
            </w:r>
            <w:hyperlink r:id="rId4" w:history="1">
              <w:r w:rsidRPr="004E3BDE">
                <w:rPr>
                  <w:rStyle w:val="Hyperlink"/>
                  <w:rFonts w:ascii="Arial" w:eastAsiaTheme="majorEastAsia" w:hAnsi="Arial" w:cs="Arial"/>
                  <w:sz w:val="24"/>
                  <w:szCs w:val="24"/>
                </w:rPr>
                <w:t>Practice Direction 02-21.pdf (judiciaryni.uk)</w:t>
              </w:r>
            </w:hyperlink>
            <w:r>
              <w:rPr>
                <w:rStyle w:val="Hyperlink"/>
                <w:rFonts w:ascii="Arial" w:eastAsiaTheme="majorEastAsia" w:hAnsi="Arial" w:cs="Arial"/>
                <w:color w:val="auto"/>
                <w:sz w:val="24"/>
                <w:szCs w:val="24"/>
              </w:rPr>
              <w:t xml:space="preserve"> </w:t>
            </w:r>
            <w:r w:rsidRPr="0012466B">
              <w:rPr>
                <w:rStyle w:val="Hyperlink"/>
                <w:rFonts w:ascii="Arial" w:eastAsiaTheme="majorEastAsia" w:hAnsi="Arial" w:cs="Arial"/>
                <w:color w:val="auto"/>
                <w:sz w:val="24"/>
                <w:szCs w:val="24"/>
                <w:u w:val="none"/>
              </w:rPr>
              <w:t>- s</w:t>
            </w:r>
            <w:r w:rsidRPr="0012466B">
              <w:rPr>
                <w:rFonts w:ascii="Arial" w:hAnsi="Arial" w:cs="Arial"/>
                <w:sz w:val="24"/>
                <w:szCs w:val="24"/>
              </w:rPr>
              <w:t>ee</w:t>
            </w:r>
            <w:r>
              <w:rPr>
                <w:rFonts w:ascii="Arial" w:hAnsi="Arial" w:cs="Arial"/>
                <w:sz w:val="24"/>
                <w:szCs w:val="24"/>
              </w:rPr>
              <w:t xml:space="preserve"> annex A pg 17-19</w:t>
            </w:r>
          </w:p>
        </w:tc>
      </w:tr>
    </w:tbl>
    <w:p w14:paraId="3F6CF489" w14:textId="77777777" w:rsidR="00C37641" w:rsidRPr="00463E89" w:rsidRDefault="00C37641" w:rsidP="00967993">
      <w:pPr>
        <w:spacing w:line="360" w:lineRule="auto"/>
        <w:rPr>
          <w:rFonts w:ascii="Arial" w:hAnsi="Arial" w:cs="Arial"/>
          <w:bCs/>
          <w:sz w:val="24"/>
          <w:szCs w:val="24"/>
          <w:u w:val="single"/>
          <w:shd w:val="clear" w:color="auto" w:fill="FFFFFF"/>
        </w:rPr>
      </w:pPr>
    </w:p>
    <w:p w14:paraId="51EE13C5" w14:textId="77777777" w:rsidR="00C37641" w:rsidRPr="00463E89" w:rsidRDefault="00463E89" w:rsidP="00967993">
      <w:pPr>
        <w:spacing w:line="360" w:lineRule="auto"/>
        <w:rPr>
          <w:rFonts w:ascii="Arial" w:hAnsi="Arial" w:cs="Arial"/>
          <w:bCs/>
          <w:sz w:val="24"/>
          <w:szCs w:val="24"/>
          <w:u w:val="single"/>
          <w:shd w:val="clear" w:color="auto" w:fill="FFFFFF"/>
        </w:rPr>
      </w:pPr>
      <w:r w:rsidRPr="00463E89">
        <w:rPr>
          <w:rFonts w:ascii="Arial" w:hAnsi="Arial" w:cs="Arial"/>
          <w:bCs/>
          <w:sz w:val="24"/>
          <w:szCs w:val="24"/>
          <w:u w:val="single"/>
          <w:shd w:val="clear" w:color="auto" w:fill="FFFFFF"/>
        </w:rPr>
        <w:t>Reports for criminal proceedings and in prison cases</w:t>
      </w:r>
    </w:p>
    <w:tbl>
      <w:tblPr>
        <w:tblStyle w:val="TableGrid"/>
        <w:tblW w:w="0" w:type="auto"/>
        <w:tblInd w:w="0" w:type="dxa"/>
        <w:tblLook w:val="04A0" w:firstRow="1" w:lastRow="0" w:firstColumn="1" w:lastColumn="0" w:noHBand="0" w:noVBand="1"/>
      </w:tblPr>
      <w:tblGrid>
        <w:gridCol w:w="3681"/>
        <w:gridCol w:w="5335"/>
      </w:tblGrid>
      <w:tr w:rsidR="00967993" w14:paraId="43206DF8" w14:textId="77777777" w:rsidTr="00967993">
        <w:tc>
          <w:tcPr>
            <w:tcW w:w="3681" w:type="dxa"/>
            <w:vAlign w:val="center"/>
          </w:tcPr>
          <w:p w14:paraId="35794AE7" w14:textId="77777777" w:rsidR="00967993" w:rsidRDefault="00967993" w:rsidP="00967993">
            <w:pPr>
              <w:spacing w:line="360" w:lineRule="auto"/>
              <w:rPr>
                <w:rFonts w:ascii="Arial" w:hAnsi="Arial" w:cs="Arial"/>
                <w:bCs/>
                <w:sz w:val="24"/>
                <w:szCs w:val="24"/>
                <w:shd w:val="clear" w:color="auto" w:fill="FFFFFF"/>
              </w:rPr>
            </w:pPr>
            <w:r>
              <w:rPr>
                <w:rFonts w:ascii="Arial" w:hAnsi="Arial" w:cs="Arial"/>
                <w:bCs/>
                <w:sz w:val="24"/>
                <w:szCs w:val="24"/>
                <w:shd w:val="clear" w:color="auto" w:fill="FFFFFF"/>
              </w:rPr>
              <w:t>Appealing a diagnosis of ASD</w:t>
            </w:r>
          </w:p>
        </w:tc>
        <w:tc>
          <w:tcPr>
            <w:tcW w:w="5335" w:type="dxa"/>
            <w:vAlign w:val="center"/>
          </w:tcPr>
          <w:p w14:paraId="093B4DB2" w14:textId="77777777" w:rsidR="00967993" w:rsidRDefault="00967993" w:rsidP="00967993">
            <w:pPr>
              <w:spacing w:line="360" w:lineRule="auto"/>
              <w:rPr>
                <w:rFonts w:ascii="Arial" w:hAnsi="Arial" w:cs="Arial"/>
                <w:bCs/>
                <w:sz w:val="24"/>
                <w:szCs w:val="24"/>
                <w:shd w:val="clear" w:color="auto" w:fill="FFFFFF"/>
              </w:rPr>
            </w:pPr>
            <w:r w:rsidRPr="007D3724">
              <w:rPr>
                <w:rFonts w:ascii="Arial" w:hAnsi="Arial" w:cs="Arial"/>
                <w:i/>
                <w:iCs/>
                <w:color w:val="252525"/>
                <w:sz w:val="24"/>
                <w:szCs w:val="24"/>
              </w:rPr>
              <w:t>Roddis v The Queen</w:t>
            </w:r>
            <w:r w:rsidRPr="007D3724">
              <w:rPr>
                <w:rFonts w:ascii="Arial" w:hAnsi="Arial" w:cs="Arial"/>
                <w:color w:val="252525"/>
                <w:sz w:val="24"/>
                <w:szCs w:val="24"/>
              </w:rPr>
              <w:t xml:space="preserve"> </w:t>
            </w:r>
            <w:r w:rsidRPr="007D3724">
              <w:rPr>
                <w:rFonts w:ascii="Arial" w:hAnsi="Arial" w:cs="Arial"/>
                <w:color w:val="212121"/>
                <w:sz w:val="24"/>
                <w:szCs w:val="24"/>
                <w:shd w:val="clear" w:color="auto" w:fill="FFFFFF"/>
              </w:rPr>
              <w:t>[2020] EWCA Crim 396</w:t>
            </w:r>
          </w:p>
        </w:tc>
      </w:tr>
      <w:tr w:rsidR="00967993" w14:paraId="28FE31AD" w14:textId="77777777" w:rsidTr="00967993">
        <w:tc>
          <w:tcPr>
            <w:tcW w:w="3681" w:type="dxa"/>
            <w:vAlign w:val="center"/>
          </w:tcPr>
          <w:p w14:paraId="4E27A7CC" w14:textId="77777777" w:rsidR="00967993" w:rsidRDefault="00967993" w:rsidP="00967993">
            <w:pPr>
              <w:spacing w:line="360" w:lineRule="auto"/>
              <w:rPr>
                <w:rFonts w:ascii="Arial" w:hAnsi="Arial" w:cs="Arial"/>
                <w:bCs/>
                <w:sz w:val="24"/>
                <w:szCs w:val="24"/>
                <w:shd w:val="clear" w:color="auto" w:fill="FFFFFF"/>
              </w:rPr>
            </w:pPr>
            <w:r>
              <w:rPr>
                <w:rFonts w:ascii="Arial" w:hAnsi="Arial" w:cs="Arial"/>
                <w:bCs/>
                <w:sz w:val="24"/>
                <w:szCs w:val="24"/>
                <w:shd w:val="clear" w:color="auto" w:fill="FFFFFF"/>
              </w:rPr>
              <w:t>Choosing between life imprisonment and a hospital order with restrictions</w:t>
            </w:r>
          </w:p>
        </w:tc>
        <w:tc>
          <w:tcPr>
            <w:tcW w:w="5335" w:type="dxa"/>
            <w:vAlign w:val="center"/>
          </w:tcPr>
          <w:p w14:paraId="625D1BBE" w14:textId="77777777" w:rsidR="00967993" w:rsidRDefault="00967993" w:rsidP="00967993">
            <w:pPr>
              <w:spacing w:line="360" w:lineRule="auto"/>
              <w:rPr>
                <w:rFonts w:ascii="Arial" w:hAnsi="Arial" w:cs="Arial"/>
                <w:bCs/>
                <w:sz w:val="24"/>
                <w:szCs w:val="24"/>
                <w:shd w:val="clear" w:color="auto" w:fill="FFFFFF"/>
              </w:rPr>
            </w:pPr>
            <w:r w:rsidRPr="00967993">
              <w:rPr>
                <w:rFonts w:ascii="Arial" w:hAnsi="Arial" w:cs="Arial"/>
                <w:bCs/>
                <w:i/>
                <w:sz w:val="24"/>
                <w:szCs w:val="24"/>
                <w:shd w:val="clear" w:color="auto" w:fill="FFFFFF"/>
              </w:rPr>
              <w:t xml:space="preserve">R v Crerand </w:t>
            </w:r>
            <w:r w:rsidRPr="00967993">
              <w:rPr>
                <w:rFonts w:ascii="Arial" w:hAnsi="Arial" w:cs="Arial"/>
                <w:bCs/>
                <w:sz w:val="24"/>
                <w:szCs w:val="24"/>
                <w:shd w:val="clear" w:color="auto" w:fill="FFFFFF"/>
              </w:rPr>
              <w:t>(Rev1) [2022] EWCA Crim 962</w:t>
            </w:r>
          </w:p>
        </w:tc>
      </w:tr>
      <w:tr w:rsidR="00896262" w14:paraId="2AA5A7B4" w14:textId="77777777" w:rsidTr="00967993">
        <w:tc>
          <w:tcPr>
            <w:tcW w:w="3681" w:type="dxa"/>
            <w:vAlign w:val="center"/>
          </w:tcPr>
          <w:p w14:paraId="3AC471AB" w14:textId="77777777" w:rsidR="00896262" w:rsidRDefault="00896262" w:rsidP="00967993">
            <w:pPr>
              <w:spacing w:line="360" w:lineRule="auto"/>
              <w:rPr>
                <w:rFonts w:ascii="Arial" w:hAnsi="Arial" w:cs="Arial"/>
                <w:bCs/>
                <w:sz w:val="24"/>
                <w:szCs w:val="24"/>
                <w:shd w:val="clear" w:color="auto" w:fill="FFFFFF"/>
              </w:rPr>
            </w:pPr>
            <w:r>
              <w:rPr>
                <w:rFonts w:ascii="Arial" w:hAnsi="Arial" w:cs="Arial"/>
                <w:bCs/>
                <w:sz w:val="24"/>
                <w:szCs w:val="24"/>
                <w:shd w:val="clear" w:color="auto" w:fill="FFFFFF"/>
              </w:rPr>
              <w:t>S</w:t>
            </w:r>
            <w:r w:rsidRPr="00896262">
              <w:rPr>
                <w:rFonts w:ascii="Arial" w:hAnsi="Arial" w:cs="Arial"/>
                <w:bCs/>
                <w:sz w:val="24"/>
                <w:szCs w:val="24"/>
                <w:shd w:val="clear" w:color="auto" w:fill="FFFFFF"/>
              </w:rPr>
              <w:t>uspension of a custodial sentence</w:t>
            </w:r>
          </w:p>
        </w:tc>
        <w:tc>
          <w:tcPr>
            <w:tcW w:w="5335" w:type="dxa"/>
            <w:vAlign w:val="center"/>
          </w:tcPr>
          <w:p w14:paraId="1D499353" w14:textId="77777777" w:rsidR="00896262" w:rsidRPr="00967993" w:rsidRDefault="00896262" w:rsidP="00967993">
            <w:pPr>
              <w:spacing w:line="360" w:lineRule="auto"/>
              <w:rPr>
                <w:rFonts w:ascii="Arial" w:hAnsi="Arial" w:cs="Arial"/>
                <w:bCs/>
                <w:i/>
                <w:sz w:val="24"/>
                <w:szCs w:val="24"/>
                <w:shd w:val="clear" w:color="auto" w:fill="FFFFFF"/>
              </w:rPr>
            </w:pPr>
            <w:r w:rsidRPr="00D6767D">
              <w:rPr>
                <w:rFonts w:ascii="Arial" w:hAnsi="Arial" w:cs="Arial"/>
                <w:i/>
                <w:iCs/>
                <w:sz w:val="24"/>
                <w:szCs w:val="24"/>
              </w:rPr>
              <w:t>Director of Public Prosecutions v RT</w:t>
            </w:r>
            <w:r w:rsidRPr="00D6767D">
              <w:rPr>
                <w:rFonts w:ascii="Arial" w:hAnsi="Arial" w:cs="Arial"/>
                <w:sz w:val="24"/>
                <w:szCs w:val="24"/>
              </w:rPr>
              <w:t xml:space="preserve"> </w:t>
            </w:r>
            <w:bookmarkStart w:id="1" w:name="_Hlk161962853"/>
            <w:r w:rsidRPr="00D6767D">
              <w:rPr>
                <w:rFonts w:ascii="Arial" w:hAnsi="Arial" w:cs="Arial"/>
                <w:sz w:val="24"/>
                <w:szCs w:val="24"/>
              </w:rPr>
              <w:t xml:space="preserve">[2021] </w:t>
            </w:r>
            <w:bookmarkEnd w:id="1"/>
            <w:r w:rsidRPr="00D6767D">
              <w:rPr>
                <w:rFonts w:ascii="Arial" w:hAnsi="Arial" w:cs="Arial"/>
                <w:sz w:val="24"/>
                <w:szCs w:val="24"/>
              </w:rPr>
              <w:t>IECA 344</w:t>
            </w:r>
          </w:p>
        </w:tc>
      </w:tr>
      <w:tr w:rsidR="00967993" w14:paraId="4E13476B" w14:textId="77777777" w:rsidTr="00967993">
        <w:tc>
          <w:tcPr>
            <w:tcW w:w="3681" w:type="dxa"/>
            <w:vAlign w:val="center"/>
          </w:tcPr>
          <w:p w14:paraId="301F61FC" w14:textId="77777777" w:rsidR="00967993" w:rsidRDefault="00967993" w:rsidP="00967993">
            <w:pPr>
              <w:spacing w:line="360" w:lineRule="auto"/>
              <w:rPr>
                <w:rFonts w:ascii="Arial" w:hAnsi="Arial" w:cs="Arial"/>
                <w:bCs/>
                <w:sz w:val="24"/>
                <w:szCs w:val="24"/>
                <w:shd w:val="clear" w:color="auto" w:fill="FFFFFF"/>
              </w:rPr>
            </w:pPr>
            <w:r>
              <w:rPr>
                <w:rFonts w:ascii="Arial" w:hAnsi="Arial" w:cs="Arial"/>
                <w:bCs/>
                <w:sz w:val="24"/>
                <w:szCs w:val="24"/>
                <w:shd w:val="clear" w:color="auto" w:fill="FFFFFF"/>
              </w:rPr>
              <w:t>Casual analysis</w:t>
            </w:r>
          </w:p>
        </w:tc>
        <w:tc>
          <w:tcPr>
            <w:tcW w:w="5335" w:type="dxa"/>
            <w:vAlign w:val="center"/>
          </w:tcPr>
          <w:p w14:paraId="3EFEBFDD" w14:textId="77777777" w:rsidR="00967993" w:rsidRDefault="00967993" w:rsidP="00967993">
            <w:pPr>
              <w:spacing w:line="360" w:lineRule="auto"/>
              <w:rPr>
                <w:rFonts w:ascii="Arial" w:hAnsi="Arial" w:cs="Arial"/>
                <w:bCs/>
                <w:sz w:val="24"/>
                <w:szCs w:val="24"/>
                <w:shd w:val="clear" w:color="auto" w:fill="FFFFFF"/>
              </w:rPr>
            </w:pPr>
            <w:r w:rsidRPr="00967993">
              <w:rPr>
                <w:rFonts w:ascii="Arial" w:hAnsi="Arial" w:cs="Arial"/>
                <w:bCs/>
                <w:i/>
                <w:iCs/>
                <w:color w:val="000000"/>
                <w:sz w:val="24"/>
                <w:szCs w:val="24"/>
              </w:rPr>
              <w:t>CNZ v Royal Bath Hospitals NHS Foundation Trust</w:t>
            </w:r>
            <w:r w:rsidRPr="00967993">
              <w:rPr>
                <w:rFonts w:ascii="Arial" w:hAnsi="Arial" w:cs="Arial"/>
                <w:bCs/>
                <w:color w:val="000000"/>
                <w:sz w:val="24"/>
                <w:szCs w:val="24"/>
              </w:rPr>
              <w:t xml:space="preserve"> [2023] EWHC 19 (KB)</w:t>
            </w:r>
          </w:p>
        </w:tc>
      </w:tr>
      <w:tr w:rsidR="00967993" w14:paraId="4C8E51C7" w14:textId="77777777" w:rsidTr="00967993">
        <w:tc>
          <w:tcPr>
            <w:tcW w:w="3681" w:type="dxa"/>
            <w:vAlign w:val="center"/>
          </w:tcPr>
          <w:p w14:paraId="54A7AE4F" w14:textId="77777777" w:rsidR="00967993" w:rsidRDefault="00967993" w:rsidP="00967993">
            <w:pPr>
              <w:spacing w:line="360" w:lineRule="auto"/>
              <w:rPr>
                <w:rFonts w:ascii="Arial" w:hAnsi="Arial" w:cs="Arial"/>
                <w:bCs/>
                <w:sz w:val="24"/>
                <w:szCs w:val="24"/>
                <w:shd w:val="clear" w:color="auto" w:fill="FFFFFF"/>
              </w:rPr>
            </w:pPr>
            <w:r w:rsidRPr="00967993">
              <w:rPr>
                <w:rFonts w:ascii="Arial" w:hAnsi="Arial" w:cs="Arial"/>
                <w:bCs/>
                <w:sz w:val="24"/>
                <w:szCs w:val="24"/>
                <w:shd w:val="clear" w:color="auto" w:fill="FFFFFF"/>
              </w:rPr>
              <w:lastRenderedPageBreak/>
              <w:t>Risk assessment</w:t>
            </w:r>
          </w:p>
        </w:tc>
        <w:tc>
          <w:tcPr>
            <w:tcW w:w="5335" w:type="dxa"/>
            <w:vAlign w:val="center"/>
          </w:tcPr>
          <w:p w14:paraId="3FD6EFC1" w14:textId="77777777" w:rsidR="00967993" w:rsidRDefault="00967993" w:rsidP="00967993">
            <w:pPr>
              <w:spacing w:line="360" w:lineRule="auto"/>
              <w:rPr>
                <w:rFonts w:ascii="Arial" w:hAnsi="Arial" w:cs="Arial"/>
                <w:sz w:val="24"/>
                <w:szCs w:val="24"/>
              </w:rPr>
            </w:pPr>
            <w:r w:rsidRPr="00DE5DE4">
              <w:rPr>
                <w:rFonts w:ascii="Arial" w:hAnsi="Arial" w:cs="Arial"/>
                <w:i/>
                <w:iCs/>
                <w:sz w:val="24"/>
                <w:szCs w:val="24"/>
              </w:rPr>
              <w:t>Baybasin, R (On the Application Of) v Secretary of State for Justice</w:t>
            </w:r>
            <w:r w:rsidRPr="00DE5DE4">
              <w:rPr>
                <w:rFonts w:ascii="Arial" w:hAnsi="Arial" w:cs="Arial"/>
                <w:sz w:val="24"/>
                <w:szCs w:val="24"/>
              </w:rPr>
              <w:t xml:space="preserve"> [2022] EWHC 2781 (Admin)</w:t>
            </w:r>
          </w:p>
          <w:p w14:paraId="33B89DE6" w14:textId="77777777" w:rsidR="00896262" w:rsidRPr="00896262" w:rsidRDefault="00896262" w:rsidP="00896262">
            <w:pPr>
              <w:spacing w:line="360" w:lineRule="auto"/>
              <w:jc w:val="both"/>
              <w:rPr>
                <w:rFonts w:ascii="Arial" w:hAnsi="Arial" w:cs="Arial"/>
                <w:sz w:val="24"/>
                <w:szCs w:val="24"/>
              </w:rPr>
            </w:pPr>
            <w:r w:rsidRPr="00D6767D">
              <w:rPr>
                <w:rFonts w:ascii="Arial" w:hAnsi="Arial" w:cs="Arial"/>
                <w:i/>
                <w:iCs/>
                <w:sz w:val="24"/>
                <w:szCs w:val="24"/>
                <w:lang w:eastAsia="en-GB"/>
              </w:rPr>
              <w:t>AB v Her Majesty’s Advocate</w:t>
            </w:r>
            <w:r w:rsidRPr="00D6767D">
              <w:rPr>
                <w:rFonts w:ascii="Arial" w:hAnsi="Arial" w:cs="Arial"/>
                <w:sz w:val="24"/>
                <w:szCs w:val="24"/>
                <w:lang w:eastAsia="en-GB"/>
              </w:rPr>
              <w:t xml:space="preserve"> </w:t>
            </w:r>
            <w:r w:rsidRPr="00D6767D">
              <w:rPr>
                <w:rFonts w:ascii="Arial" w:hAnsi="Arial" w:cs="Arial"/>
                <w:sz w:val="24"/>
                <w:szCs w:val="24"/>
              </w:rPr>
              <w:t>[2021] HCJAC 43</w:t>
            </w:r>
          </w:p>
        </w:tc>
      </w:tr>
      <w:tr w:rsidR="00967993" w14:paraId="3A4464BD" w14:textId="77777777" w:rsidTr="00967993">
        <w:tc>
          <w:tcPr>
            <w:tcW w:w="3681" w:type="dxa"/>
            <w:vAlign w:val="center"/>
          </w:tcPr>
          <w:p w14:paraId="0AE4153D" w14:textId="77777777" w:rsidR="00967993" w:rsidRDefault="00967993" w:rsidP="00967993">
            <w:pPr>
              <w:spacing w:line="360" w:lineRule="auto"/>
              <w:rPr>
                <w:rFonts w:ascii="Arial" w:hAnsi="Arial" w:cs="Arial"/>
                <w:bCs/>
                <w:sz w:val="24"/>
                <w:szCs w:val="24"/>
                <w:shd w:val="clear" w:color="auto" w:fill="FFFFFF"/>
              </w:rPr>
            </w:pPr>
            <w:r>
              <w:rPr>
                <w:rFonts w:ascii="Arial" w:hAnsi="Arial" w:cs="Arial"/>
                <w:bCs/>
                <w:sz w:val="24"/>
                <w:szCs w:val="24"/>
                <w:shd w:val="clear" w:color="auto" w:fill="FFFFFF"/>
              </w:rPr>
              <w:t>A</w:t>
            </w:r>
            <w:r w:rsidRPr="00967993">
              <w:rPr>
                <w:rFonts w:ascii="Arial" w:hAnsi="Arial" w:cs="Arial"/>
                <w:bCs/>
                <w:sz w:val="24"/>
                <w:szCs w:val="24"/>
                <w:shd w:val="clear" w:color="auto" w:fill="FFFFFF"/>
              </w:rPr>
              <w:t>ppeal case</w:t>
            </w:r>
            <w:r>
              <w:rPr>
                <w:rFonts w:ascii="Arial" w:hAnsi="Arial" w:cs="Arial"/>
                <w:bCs/>
                <w:sz w:val="24"/>
                <w:szCs w:val="24"/>
                <w:shd w:val="clear" w:color="auto" w:fill="FFFFFF"/>
              </w:rPr>
              <w:t>s</w:t>
            </w:r>
            <w:r w:rsidRPr="00967993">
              <w:rPr>
                <w:rFonts w:ascii="Arial" w:hAnsi="Arial" w:cs="Arial"/>
                <w:bCs/>
                <w:sz w:val="24"/>
                <w:szCs w:val="24"/>
                <w:shd w:val="clear" w:color="auto" w:fill="FFFFFF"/>
              </w:rPr>
              <w:t xml:space="preserve"> where an applicant or appellant has already given evidenc</w:t>
            </w:r>
            <w:r>
              <w:rPr>
                <w:rFonts w:ascii="Arial" w:hAnsi="Arial" w:cs="Arial"/>
                <w:bCs/>
                <w:sz w:val="24"/>
                <w:szCs w:val="24"/>
                <w:shd w:val="clear" w:color="auto" w:fill="FFFFFF"/>
              </w:rPr>
              <w:t>e</w:t>
            </w:r>
          </w:p>
        </w:tc>
        <w:tc>
          <w:tcPr>
            <w:tcW w:w="5335" w:type="dxa"/>
            <w:vAlign w:val="center"/>
          </w:tcPr>
          <w:p w14:paraId="6B0F85BF" w14:textId="77777777" w:rsidR="00967993" w:rsidRDefault="00967993" w:rsidP="00967993">
            <w:pPr>
              <w:spacing w:line="360" w:lineRule="auto"/>
              <w:rPr>
                <w:rFonts w:ascii="Arial" w:hAnsi="Arial" w:cs="Arial"/>
                <w:color w:val="3D3D3D"/>
                <w:sz w:val="24"/>
                <w:szCs w:val="24"/>
              </w:rPr>
            </w:pPr>
            <w:r w:rsidRPr="00967993">
              <w:rPr>
                <w:rFonts w:ascii="Arial" w:hAnsi="Arial" w:cs="Arial"/>
                <w:i/>
                <w:iCs/>
                <w:color w:val="3D3D3D"/>
                <w:sz w:val="24"/>
                <w:szCs w:val="24"/>
              </w:rPr>
              <w:t xml:space="preserve">R v Dunleavy </w:t>
            </w:r>
            <w:r w:rsidRPr="00967993">
              <w:rPr>
                <w:rFonts w:ascii="Arial" w:hAnsi="Arial" w:cs="Arial"/>
                <w:color w:val="3D3D3D"/>
                <w:sz w:val="24"/>
                <w:szCs w:val="24"/>
              </w:rPr>
              <w:t>[2021] EWCA Crim 39</w:t>
            </w:r>
          </w:p>
          <w:p w14:paraId="4D8AE041" w14:textId="77777777" w:rsidR="00967993" w:rsidRPr="00967993" w:rsidRDefault="00967993" w:rsidP="00967993">
            <w:pPr>
              <w:spacing w:line="360" w:lineRule="auto"/>
              <w:rPr>
                <w:rFonts w:ascii="Arial" w:hAnsi="Arial" w:cs="Arial"/>
                <w:color w:val="3D3D3D"/>
                <w:sz w:val="24"/>
                <w:szCs w:val="24"/>
              </w:rPr>
            </w:pPr>
            <w:r w:rsidRPr="00967993">
              <w:rPr>
                <w:rFonts w:ascii="Arial" w:hAnsi="Arial" w:cs="Arial"/>
                <w:i/>
                <w:iCs/>
                <w:color w:val="3D3D3D"/>
                <w:sz w:val="24"/>
                <w:szCs w:val="24"/>
              </w:rPr>
              <w:t>Gordon v Recommendation to the Secretary of State for Justice</w:t>
            </w:r>
            <w:r w:rsidRPr="00967993">
              <w:rPr>
                <w:rFonts w:ascii="Arial" w:hAnsi="Arial" w:cs="Arial"/>
                <w:color w:val="3D3D3D"/>
                <w:sz w:val="24"/>
                <w:szCs w:val="24"/>
              </w:rPr>
              <w:t xml:space="preserve"> </w:t>
            </w:r>
            <w:r w:rsidRPr="00967993">
              <w:rPr>
                <w:rFonts w:ascii="Arial" w:hAnsi="Arial" w:cs="Arial"/>
                <w:color w:val="3D3D3D"/>
                <w:sz w:val="24"/>
                <w:szCs w:val="24"/>
                <w:shd w:val="clear" w:color="auto" w:fill="FFFFFF"/>
              </w:rPr>
              <w:t>[2021] EWHC 1423 (Admin)</w:t>
            </w:r>
          </w:p>
          <w:p w14:paraId="63C9FECB" w14:textId="77777777" w:rsidR="00967993" w:rsidRDefault="00967993" w:rsidP="00967993">
            <w:pPr>
              <w:spacing w:line="360" w:lineRule="auto"/>
              <w:rPr>
                <w:rFonts w:ascii="Arial" w:hAnsi="Arial" w:cs="Arial"/>
                <w:bCs/>
                <w:sz w:val="24"/>
                <w:szCs w:val="24"/>
                <w:u w:val="single"/>
                <w:shd w:val="clear" w:color="auto" w:fill="FFFFFF"/>
              </w:rPr>
            </w:pPr>
          </w:p>
          <w:p w14:paraId="5740A223" w14:textId="77777777" w:rsidR="00967993" w:rsidRDefault="00967993" w:rsidP="00967993">
            <w:pPr>
              <w:spacing w:line="360" w:lineRule="auto"/>
              <w:rPr>
                <w:rFonts w:ascii="Arial" w:hAnsi="Arial" w:cs="Arial"/>
                <w:bCs/>
                <w:sz w:val="24"/>
                <w:szCs w:val="24"/>
                <w:u w:val="single"/>
                <w:shd w:val="clear" w:color="auto" w:fill="FFFFFF"/>
              </w:rPr>
            </w:pPr>
          </w:p>
          <w:p w14:paraId="6599043C" w14:textId="77777777" w:rsidR="00967993" w:rsidRDefault="00967993" w:rsidP="00967993">
            <w:pPr>
              <w:spacing w:line="360" w:lineRule="auto"/>
              <w:rPr>
                <w:rFonts w:ascii="Arial" w:hAnsi="Arial" w:cs="Arial"/>
                <w:bCs/>
                <w:sz w:val="24"/>
                <w:szCs w:val="24"/>
                <w:shd w:val="clear" w:color="auto" w:fill="FFFFFF"/>
              </w:rPr>
            </w:pPr>
          </w:p>
        </w:tc>
      </w:tr>
    </w:tbl>
    <w:p w14:paraId="6CD9728F" w14:textId="77777777" w:rsidR="00967993" w:rsidRDefault="00967993" w:rsidP="00967993">
      <w:pPr>
        <w:spacing w:line="360" w:lineRule="auto"/>
        <w:jc w:val="both"/>
        <w:rPr>
          <w:rFonts w:ascii="Arial" w:hAnsi="Arial" w:cs="Arial"/>
          <w:color w:val="3D3D3D"/>
          <w:sz w:val="24"/>
          <w:szCs w:val="24"/>
        </w:rPr>
      </w:pPr>
    </w:p>
    <w:p w14:paraId="6D0CD839" w14:textId="77777777" w:rsidR="00967993" w:rsidRDefault="00967993" w:rsidP="00967993">
      <w:pPr>
        <w:spacing w:line="360" w:lineRule="auto"/>
        <w:rPr>
          <w:rFonts w:ascii="Arial" w:hAnsi="Arial" w:cs="Arial"/>
          <w:bCs/>
          <w:sz w:val="24"/>
          <w:szCs w:val="24"/>
          <w:u w:val="single"/>
          <w:shd w:val="clear" w:color="auto" w:fill="FFFFFF"/>
        </w:rPr>
      </w:pPr>
      <w:r w:rsidRPr="00967993">
        <w:rPr>
          <w:rFonts w:ascii="Arial" w:hAnsi="Arial" w:cs="Arial"/>
          <w:bCs/>
          <w:sz w:val="24"/>
          <w:szCs w:val="24"/>
          <w:u w:val="single"/>
          <w:shd w:val="clear" w:color="auto" w:fill="FFFFFF"/>
        </w:rPr>
        <w:t>Personal injury cases</w:t>
      </w:r>
    </w:p>
    <w:tbl>
      <w:tblPr>
        <w:tblStyle w:val="TableGrid"/>
        <w:tblW w:w="0" w:type="auto"/>
        <w:tblInd w:w="0" w:type="dxa"/>
        <w:tblLook w:val="04A0" w:firstRow="1" w:lastRow="0" w:firstColumn="1" w:lastColumn="0" w:noHBand="0" w:noVBand="1"/>
      </w:tblPr>
      <w:tblGrid>
        <w:gridCol w:w="3681"/>
        <w:gridCol w:w="5335"/>
      </w:tblGrid>
      <w:tr w:rsidR="00967993" w14:paraId="7FC01C6F" w14:textId="77777777" w:rsidTr="00967993">
        <w:tc>
          <w:tcPr>
            <w:tcW w:w="3681" w:type="dxa"/>
            <w:vAlign w:val="center"/>
          </w:tcPr>
          <w:p w14:paraId="20D001B6" w14:textId="77777777" w:rsidR="00967993" w:rsidRDefault="00967993" w:rsidP="00967993">
            <w:pPr>
              <w:spacing w:line="360" w:lineRule="auto"/>
              <w:rPr>
                <w:rFonts w:ascii="Arial" w:hAnsi="Arial" w:cs="Arial"/>
                <w:bCs/>
                <w:sz w:val="24"/>
                <w:szCs w:val="24"/>
                <w:shd w:val="clear" w:color="auto" w:fill="FFFFFF"/>
              </w:rPr>
            </w:pPr>
            <w:r w:rsidRPr="00967993">
              <w:rPr>
                <w:rFonts w:ascii="Arial" w:hAnsi="Arial" w:cs="Arial"/>
                <w:bCs/>
                <w:sz w:val="24"/>
                <w:szCs w:val="24"/>
                <w:shd w:val="clear" w:color="auto" w:fill="FFFFFF"/>
              </w:rPr>
              <w:t>Prognosis</w:t>
            </w:r>
          </w:p>
        </w:tc>
        <w:tc>
          <w:tcPr>
            <w:tcW w:w="5335" w:type="dxa"/>
            <w:vAlign w:val="center"/>
          </w:tcPr>
          <w:p w14:paraId="66DE7875" w14:textId="77777777" w:rsidR="00967993" w:rsidRDefault="00967993" w:rsidP="00967993">
            <w:pPr>
              <w:spacing w:line="360" w:lineRule="auto"/>
              <w:rPr>
                <w:rFonts w:ascii="Arial" w:hAnsi="Arial" w:cs="Arial"/>
                <w:bCs/>
                <w:sz w:val="24"/>
                <w:szCs w:val="24"/>
                <w:shd w:val="clear" w:color="auto" w:fill="FFFFFF"/>
              </w:rPr>
            </w:pPr>
            <w:r w:rsidRPr="00320197">
              <w:rPr>
                <w:rFonts w:ascii="Arial" w:hAnsi="Arial" w:cs="Arial"/>
                <w:bCs/>
                <w:i/>
                <w:iCs/>
                <w:color w:val="000000"/>
                <w:sz w:val="24"/>
                <w:szCs w:val="24"/>
              </w:rPr>
              <w:t>Barry v Ministry of Defence</w:t>
            </w:r>
            <w:r w:rsidRPr="00320197">
              <w:rPr>
                <w:rFonts w:ascii="Arial" w:hAnsi="Arial" w:cs="Arial"/>
                <w:bCs/>
                <w:color w:val="000000"/>
                <w:sz w:val="24"/>
                <w:szCs w:val="24"/>
              </w:rPr>
              <w:t xml:space="preserve"> [2023] EWHC 459 (KB)</w:t>
            </w:r>
          </w:p>
        </w:tc>
      </w:tr>
      <w:tr w:rsidR="00967993" w14:paraId="23AF4B73" w14:textId="77777777" w:rsidTr="00967993">
        <w:tc>
          <w:tcPr>
            <w:tcW w:w="3681" w:type="dxa"/>
            <w:vAlign w:val="center"/>
          </w:tcPr>
          <w:p w14:paraId="080FB8CD" w14:textId="77777777" w:rsidR="00967993" w:rsidRDefault="00967993" w:rsidP="00967993">
            <w:pPr>
              <w:spacing w:line="360" w:lineRule="auto"/>
              <w:rPr>
                <w:rFonts w:ascii="Arial" w:hAnsi="Arial" w:cs="Arial"/>
                <w:bCs/>
                <w:sz w:val="24"/>
                <w:szCs w:val="24"/>
                <w:shd w:val="clear" w:color="auto" w:fill="FFFFFF"/>
              </w:rPr>
            </w:pPr>
            <w:r>
              <w:rPr>
                <w:rFonts w:ascii="Arial" w:hAnsi="Arial" w:cs="Arial"/>
                <w:bCs/>
                <w:sz w:val="24"/>
                <w:szCs w:val="24"/>
                <w:shd w:val="clear" w:color="auto" w:fill="FFFFFF"/>
              </w:rPr>
              <w:t>L</w:t>
            </w:r>
            <w:r w:rsidRPr="00967993">
              <w:rPr>
                <w:rFonts w:ascii="Arial" w:hAnsi="Arial" w:cs="Arial"/>
                <w:bCs/>
                <w:sz w:val="24"/>
                <w:szCs w:val="24"/>
                <w:shd w:val="clear" w:color="auto" w:fill="FFFFFF"/>
              </w:rPr>
              <w:t>ife expectancy</w:t>
            </w:r>
          </w:p>
        </w:tc>
        <w:tc>
          <w:tcPr>
            <w:tcW w:w="5335" w:type="dxa"/>
            <w:vAlign w:val="center"/>
          </w:tcPr>
          <w:p w14:paraId="5E31484B" w14:textId="77777777" w:rsidR="00967993" w:rsidRDefault="00967993" w:rsidP="00967993">
            <w:pPr>
              <w:spacing w:line="360" w:lineRule="auto"/>
              <w:rPr>
                <w:rFonts w:ascii="Arial" w:hAnsi="Arial" w:cs="Arial"/>
                <w:bCs/>
                <w:sz w:val="24"/>
                <w:szCs w:val="24"/>
                <w:shd w:val="clear" w:color="auto" w:fill="FFFFFF"/>
              </w:rPr>
            </w:pPr>
            <w:r w:rsidRPr="00320197">
              <w:rPr>
                <w:rFonts w:ascii="Arial" w:hAnsi="Arial" w:cs="Arial"/>
                <w:i/>
                <w:iCs/>
                <w:color w:val="252525"/>
                <w:sz w:val="24"/>
                <w:szCs w:val="24"/>
              </w:rPr>
              <w:t>Toby Chaplin (by his mother and litigation friend, Diane Chaplin) v Ben Pistol</w:t>
            </w:r>
            <w:r w:rsidRPr="00320197">
              <w:rPr>
                <w:rFonts w:ascii="Arial" w:hAnsi="Arial" w:cs="Arial"/>
                <w:color w:val="252525"/>
                <w:sz w:val="24"/>
                <w:szCs w:val="24"/>
              </w:rPr>
              <w:t xml:space="preserve"> </w:t>
            </w:r>
            <w:r w:rsidRPr="00320197">
              <w:rPr>
                <w:rFonts w:ascii="Arial" w:hAnsi="Arial" w:cs="Arial"/>
                <w:color w:val="212121"/>
                <w:sz w:val="24"/>
                <w:szCs w:val="24"/>
                <w:shd w:val="clear" w:color="auto" w:fill="FFFFFF"/>
              </w:rPr>
              <w:t>[2020] EWHC 1543 (QB</w:t>
            </w:r>
            <w:r>
              <w:rPr>
                <w:rFonts w:ascii="Arial" w:hAnsi="Arial" w:cs="Arial"/>
                <w:color w:val="212121"/>
                <w:sz w:val="24"/>
                <w:szCs w:val="24"/>
                <w:shd w:val="clear" w:color="auto" w:fill="FFFFFF"/>
              </w:rPr>
              <w:t>)</w:t>
            </w:r>
          </w:p>
        </w:tc>
      </w:tr>
    </w:tbl>
    <w:p w14:paraId="16EE4B54" w14:textId="77777777" w:rsidR="00967993" w:rsidRDefault="00967993" w:rsidP="00967993">
      <w:pPr>
        <w:spacing w:line="360" w:lineRule="auto"/>
        <w:rPr>
          <w:rFonts w:ascii="Arial" w:hAnsi="Arial" w:cs="Arial"/>
          <w:bCs/>
          <w:sz w:val="24"/>
          <w:szCs w:val="24"/>
          <w:u w:val="single"/>
          <w:shd w:val="clear" w:color="auto" w:fill="FFFFFF"/>
        </w:rPr>
      </w:pPr>
    </w:p>
    <w:p w14:paraId="4ECC931B" w14:textId="77777777" w:rsidR="00C37641" w:rsidRPr="00463E89" w:rsidRDefault="00C37641" w:rsidP="00967993">
      <w:pPr>
        <w:spacing w:line="360" w:lineRule="auto"/>
        <w:rPr>
          <w:rFonts w:ascii="Arial" w:hAnsi="Arial" w:cs="Arial"/>
          <w:bCs/>
          <w:sz w:val="24"/>
          <w:szCs w:val="24"/>
          <w:u w:val="single"/>
          <w:shd w:val="clear" w:color="auto" w:fill="FFFFFF"/>
        </w:rPr>
      </w:pPr>
      <w:r w:rsidRPr="00463E89">
        <w:rPr>
          <w:rFonts w:ascii="Arial" w:hAnsi="Arial" w:cs="Arial"/>
          <w:bCs/>
          <w:sz w:val="24"/>
          <w:szCs w:val="24"/>
          <w:u w:val="single"/>
          <w:shd w:val="clear" w:color="auto" w:fill="FFFFFF"/>
        </w:rPr>
        <w:t>Mental capacity</w:t>
      </w:r>
      <w:r w:rsidR="00967993">
        <w:rPr>
          <w:rFonts w:ascii="Arial" w:hAnsi="Arial" w:cs="Arial"/>
          <w:bCs/>
          <w:sz w:val="24"/>
          <w:szCs w:val="24"/>
          <w:u w:val="single"/>
          <w:shd w:val="clear" w:color="auto" w:fill="FFFFFF"/>
        </w:rPr>
        <w:t xml:space="preserve"> cases</w:t>
      </w:r>
    </w:p>
    <w:tbl>
      <w:tblPr>
        <w:tblStyle w:val="TableGrid"/>
        <w:tblW w:w="0" w:type="auto"/>
        <w:tblInd w:w="0" w:type="dxa"/>
        <w:tblLook w:val="04A0" w:firstRow="1" w:lastRow="0" w:firstColumn="1" w:lastColumn="0" w:noHBand="0" w:noVBand="1"/>
      </w:tblPr>
      <w:tblGrid>
        <w:gridCol w:w="3823"/>
        <w:gridCol w:w="5193"/>
      </w:tblGrid>
      <w:tr w:rsidR="00C37641" w:rsidRPr="006F43C6" w14:paraId="39CAA3EF" w14:textId="77777777" w:rsidTr="0012466B">
        <w:tc>
          <w:tcPr>
            <w:tcW w:w="3823" w:type="dxa"/>
            <w:tcBorders>
              <w:top w:val="single" w:sz="4" w:space="0" w:color="auto"/>
              <w:left w:val="single" w:sz="4" w:space="0" w:color="auto"/>
              <w:bottom w:val="single" w:sz="4" w:space="0" w:color="auto"/>
              <w:right w:val="single" w:sz="4" w:space="0" w:color="auto"/>
            </w:tcBorders>
            <w:vAlign w:val="center"/>
            <w:hideMark/>
          </w:tcPr>
          <w:p w14:paraId="1934587D" w14:textId="77777777" w:rsidR="00C37641" w:rsidRPr="006F43C6" w:rsidRDefault="00C37641" w:rsidP="0012466B">
            <w:pPr>
              <w:spacing w:line="360" w:lineRule="auto"/>
              <w:rPr>
                <w:rFonts w:ascii="Arial" w:hAnsi="Arial" w:cs="Arial"/>
                <w:sz w:val="24"/>
                <w:szCs w:val="24"/>
              </w:rPr>
            </w:pPr>
            <w:r w:rsidRPr="006F43C6">
              <w:rPr>
                <w:rFonts w:ascii="Arial" w:hAnsi="Arial" w:cs="Arial"/>
                <w:sz w:val="24"/>
                <w:szCs w:val="24"/>
              </w:rPr>
              <w:t>Contact</w:t>
            </w:r>
          </w:p>
        </w:tc>
        <w:tc>
          <w:tcPr>
            <w:tcW w:w="5193" w:type="dxa"/>
            <w:tcBorders>
              <w:top w:val="single" w:sz="4" w:space="0" w:color="auto"/>
              <w:left w:val="single" w:sz="4" w:space="0" w:color="auto"/>
              <w:bottom w:val="single" w:sz="4" w:space="0" w:color="auto"/>
              <w:right w:val="single" w:sz="4" w:space="0" w:color="auto"/>
            </w:tcBorders>
            <w:vAlign w:val="center"/>
            <w:hideMark/>
          </w:tcPr>
          <w:p w14:paraId="0833798C" w14:textId="77777777" w:rsidR="00C37641" w:rsidRPr="006F43C6" w:rsidRDefault="00C37641" w:rsidP="0012466B">
            <w:pPr>
              <w:spacing w:line="360" w:lineRule="auto"/>
              <w:rPr>
                <w:rFonts w:ascii="Arial" w:hAnsi="Arial" w:cs="Arial"/>
                <w:i/>
                <w:iCs/>
                <w:sz w:val="24"/>
                <w:szCs w:val="24"/>
              </w:rPr>
            </w:pPr>
            <w:r w:rsidRPr="006F43C6">
              <w:rPr>
                <w:rFonts w:ascii="Arial" w:hAnsi="Arial" w:cs="Arial"/>
                <w:i/>
                <w:iCs/>
                <w:sz w:val="24"/>
                <w:szCs w:val="24"/>
              </w:rPr>
              <w:t>Re BU</w:t>
            </w:r>
            <w:r w:rsidRPr="006F43C6">
              <w:rPr>
                <w:rFonts w:ascii="Arial" w:hAnsi="Arial" w:cs="Arial"/>
                <w:sz w:val="24"/>
                <w:szCs w:val="24"/>
              </w:rPr>
              <w:t xml:space="preserve"> [2021] EWCOP 54</w:t>
            </w:r>
          </w:p>
        </w:tc>
      </w:tr>
      <w:tr w:rsidR="00C37641" w:rsidRPr="006F43C6" w14:paraId="09021DE8" w14:textId="77777777" w:rsidTr="0012466B">
        <w:tc>
          <w:tcPr>
            <w:tcW w:w="3823" w:type="dxa"/>
            <w:tcBorders>
              <w:top w:val="single" w:sz="4" w:space="0" w:color="auto"/>
              <w:left w:val="single" w:sz="4" w:space="0" w:color="auto"/>
              <w:bottom w:val="single" w:sz="4" w:space="0" w:color="auto"/>
              <w:right w:val="single" w:sz="4" w:space="0" w:color="auto"/>
            </w:tcBorders>
            <w:vAlign w:val="center"/>
            <w:hideMark/>
          </w:tcPr>
          <w:p w14:paraId="2DFFEAE1" w14:textId="77777777" w:rsidR="00C37641" w:rsidRPr="006F43C6" w:rsidRDefault="00C37641" w:rsidP="0012466B">
            <w:pPr>
              <w:spacing w:line="360" w:lineRule="auto"/>
              <w:rPr>
                <w:rFonts w:ascii="Arial" w:hAnsi="Arial" w:cs="Arial"/>
                <w:sz w:val="24"/>
                <w:szCs w:val="24"/>
              </w:rPr>
            </w:pPr>
            <w:r w:rsidRPr="006F43C6">
              <w:rPr>
                <w:rFonts w:ascii="Arial" w:hAnsi="Arial" w:cs="Arial"/>
                <w:sz w:val="24"/>
                <w:szCs w:val="24"/>
              </w:rPr>
              <w:t>Sexual activity (including auto-erotic asphyxia)</w:t>
            </w:r>
          </w:p>
        </w:tc>
        <w:tc>
          <w:tcPr>
            <w:tcW w:w="5193" w:type="dxa"/>
            <w:tcBorders>
              <w:top w:val="single" w:sz="4" w:space="0" w:color="auto"/>
              <w:left w:val="single" w:sz="4" w:space="0" w:color="auto"/>
              <w:bottom w:val="single" w:sz="4" w:space="0" w:color="auto"/>
              <w:right w:val="single" w:sz="4" w:space="0" w:color="auto"/>
            </w:tcBorders>
            <w:vAlign w:val="center"/>
            <w:hideMark/>
          </w:tcPr>
          <w:p w14:paraId="4DE29886" w14:textId="77777777" w:rsidR="00C37641" w:rsidRPr="006F43C6" w:rsidRDefault="00C37641" w:rsidP="0012466B">
            <w:pPr>
              <w:spacing w:line="360" w:lineRule="auto"/>
              <w:rPr>
                <w:rFonts w:ascii="Arial" w:hAnsi="Arial" w:cs="Arial"/>
                <w:sz w:val="24"/>
                <w:szCs w:val="24"/>
              </w:rPr>
            </w:pPr>
            <w:r w:rsidRPr="006F43C6">
              <w:rPr>
                <w:rFonts w:ascii="Arial" w:hAnsi="Arial" w:cs="Arial"/>
                <w:i/>
                <w:iCs/>
                <w:sz w:val="24"/>
                <w:szCs w:val="24"/>
              </w:rPr>
              <w:t>A Local Authority v JB</w:t>
            </w:r>
            <w:r w:rsidRPr="006F43C6">
              <w:rPr>
                <w:rFonts w:ascii="Arial" w:hAnsi="Arial" w:cs="Arial"/>
                <w:sz w:val="24"/>
                <w:szCs w:val="24"/>
              </w:rPr>
              <w:t xml:space="preserve"> [2021] UKSC 52; </w:t>
            </w:r>
            <w:r w:rsidRPr="006F43C6">
              <w:rPr>
                <w:rFonts w:ascii="Arial" w:hAnsi="Arial" w:cs="Arial"/>
                <w:i/>
                <w:iCs/>
                <w:sz w:val="24"/>
                <w:szCs w:val="24"/>
              </w:rPr>
              <w:t>Hull City Council v KF</w:t>
            </w:r>
            <w:r w:rsidRPr="006F43C6">
              <w:rPr>
                <w:rFonts w:ascii="Arial" w:hAnsi="Arial" w:cs="Arial"/>
                <w:sz w:val="24"/>
                <w:szCs w:val="24"/>
              </w:rPr>
              <w:t xml:space="preserve"> [2022] EWCOP 33; </w:t>
            </w:r>
            <w:r w:rsidRPr="006F43C6">
              <w:rPr>
                <w:rFonts w:ascii="Arial" w:hAnsi="Arial" w:cs="Arial"/>
                <w:i/>
                <w:iCs/>
                <w:sz w:val="24"/>
                <w:szCs w:val="24"/>
              </w:rPr>
              <w:t>A Local Authority v AA</w:t>
            </w:r>
            <w:r w:rsidRPr="006F43C6">
              <w:rPr>
                <w:rFonts w:ascii="Arial" w:hAnsi="Arial" w:cs="Arial"/>
                <w:sz w:val="24"/>
                <w:szCs w:val="24"/>
              </w:rPr>
              <w:t xml:space="preserve"> </w:t>
            </w:r>
            <w:r w:rsidRPr="006F43C6">
              <w:rPr>
                <w:rFonts w:ascii="Arial" w:hAnsi="Arial" w:cs="Arial"/>
                <w:sz w:val="24"/>
                <w:szCs w:val="24"/>
                <w:shd w:val="clear" w:color="auto" w:fill="FFFFFF"/>
              </w:rPr>
              <w:t>[2020] EWCOP 66</w:t>
            </w:r>
          </w:p>
        </w:tc>
      </w:tr>
      <w:tr w:rsidR="00C37641" w:rsidRPr="006F43C6" w14:paraId="31A6DCE1" w14:textId="77777777" w:rsidTr="0012466B">
        <w:tc>
          <w:tcPr>
            <w:tcW w:w="3823" w:type="dxa"/>
            <w:tcBorders>
              <w:top w:val="single" w:sz="4" w:space="0" w:color="auto"/>
              <w:left w:val="single" w:sz="4" w:space="0" w:color="auto"/>
              <w:bottom w:val="single" w:sz="4" w:space="0" w:color="auto"/>
              <w:right w:val="single" w:sz="4" w:space="0" w:color="auto"/>
            </w:tcBorders>
            <w:vAlign w:val="center"/>
            <w:hideMark/>
          </w:tcPr>
          <w:p w14:paraId="3141FCDD" w14:textId="77777777" w:rsidR="00C37641" w:rsidRPr="006F43C6" w:rsidRDefault="00C37641" w:rsidP="0012466B">
            <w:pPr>
              <w:spacing w:line="360" w:lineRule="auto"/>
              <w:rPr>
                <w:rFonts w:ascii="Arial" w:hAnsi="Arial" w:cs="Arial"/>
                <w:sz w:val="24"/>
                <w:szCs w:val="24"/>
              </w:rPr>
            </w:pPr>
            <w:r w:rsidRPr="006F43C6">
              <w:rPr>
                <w:rFonts w:ascii="Arial" w:hAnsi="Arial" w:cs="Arial"/>
                <w:sz w:val="24"/>
                <w:szCs w:val="24"/>
              </w:rPr>
              <w:t>Marriage</w:t>
            </w:r>
          </w:p>
        </w:tc>
        <w:tc>
          <w:tcPr>
            <w:tcW w:w="5193" w:type="dxa"/>
            <w:tcBorders>
              <w:top w:val="single" w:sz="4" w:space="0" w:color="auto"/>
              <w:left w:val="single" w:sz="4" w:space="0" w:color="auto"/>
              <w:bottom w:val="single" w:sz="4" w:space="0" w:color="auto"/>
              <w:right w:val="single" w:sz="4" w:space="0" w:color="auto"/>
            </w:tcBorders>
            <w:vAlign w:val="center"/>
            <w:hideMark/>
          </w:tcPr>
          <w:p w14:paraId="4B8E6ADF" w14:textId="77777777" w:rsidR="00C37641" w:rsidRPr="006F43C6" w:rsidRDefault="00C37641" w:rsidP="0012466B">
            <w:pPr>
              <w:spacing w:line="360" w:lineRule="auto"/>
              <w:rPr>
                <w:rFonts w:ascii="Arial" w:hAnsi="Arial" w:cs="Arial"/>
                <w:sz w:val="24"/>
                <w:szCs w:val="24"/>
              </w:rPr>
            </w:pPr>
            <w:r w:rsidRPr="006F43C6">
              <w:rPr>
                <w:rFonts w:ascii="Arial" w:hAnsi="Arial" w:cs="Arial"/>
                <w:i/>
                <w:iCs/>
                <w:sz w:val="24"/>
                <w:szCs w:val="24"/>
              </w:rPr>
              <w:t xml:space="preserve">Sheffield City Council v E </w:t>
            </w:r>
            <w:r w:rsidRPr="006F43C6">
              <w:rPr>
                <w:rFonts w:ascii="Arial" w:hAnsi="Arial" w:cs="Arial"/>
                <w:sz w:val="24"/>
                <w:szCs w:val="24"/>
              </w:rPr>
              <w:t xml:space="preserve">[2004] EWHC 2808; </w:t>
            </w:r>
            <w:r w:rsidRPr="006F43C6">
              <w:rPr>
                <w:rFonts w:ascii="Arial" w:hAnsi="Arial" w:cs="Arial"/>
                <w:i/>
                <w:iCs/>
                <w:sz w:val="24"/>
                <w:szCs w:val="24"/>
              </w:rPr>
              <w:t xml:space="preserve">NB v MI </w:t>
            </w:r>
            <w:r w:rsidRPr="006F43C6">
              <w:rPr>
                <w:rFonts w:ascii="Arial" w:hAnsi="Arial" w:cs="Arial"/>
                <w:sz w:val="24"/>
                <w:szCs w:val="24"/>
              </w:rPr>
              <w:t xml:space="preserve">[2021] EWHC 224 (Family) </w:t>
            </w:r>
          </w:p>
        </w:tc>
      </w:tr>
      <w:tr w:rsidR="00C37641" w:rsidRPr="006F43C6" w14:paraId="011B897A" w14:textId="77777777" w:rsidTr="0012466B">
        <w:tc>
          <w:tcPr>
            <w:tcW w:w="3823" w:type="dxa"/>
            <w:tcBorders>
              <w:top w:val="single" w:sz="4" w:space="0" w:color="auto"/>
              <w:left w:val="single" w:sz="4" w:space="0" w:color="auto"/>
              <w:bottom w:val="single" w:sz="4" w:space="0" w:color="auto"/>
              <w:right w:val="single" w:sz="4" w:space="0" w:color="auto"/>
            </w:tcBorders>
            <w:vAlign w:val="center"/>
            <w:hideMark/>
          </w:tcPr>
          <w:p w14:paraId="697484D8" w14:textId="77777777" w:rsidR="00C37641" w:rsidRPr="006F43C6" w:rsidRDefault="00C37641" w:rsidP="0012466B">
            <w:pPr>
              <w:spacing w:line="360" w:lineRule="auto"/>
              <w:rPr>
                <w:rFonts w:ascii="Arial" w:hAnsi="Arial" w:cs="Arial"/>
                <w:sz w:val="24"/>
                <w:szCs w:val="24"/>
              </w:rPr>
            </w:pPr>
            <w:r w:rsidRPr="006F43C6">
              <w:rPr>
                <w:rFonts w:ascii="Arial" w:hAnsi="Arial" w:cs="Arial"/>
                <w:sz w:val="24"/>
                <w:szCs w:val="24"/>
              </w:rPr>
              <w:t>Civil partnership</w:t>
            </w:r>
          </w:p>
        </w:tc>
        <w:tc>
          <w:tcPr>
            <w:tcW w:w="5193" w:type="dxa"/>
            <w:tcBorders>
              <w:top w:val="single" w:sz="4" w:space="0" w:color="auto"/>
              <w:left w:val="single" w:sz="4" w:space="0" w:color="auto"/>
              <w:bottom w:val="single" w:sz="4" w:space="0" w:color="auto"/>
              <w:right w:val="single" w:sz="4" w:space="0" w:color="auto"/>
            </w:tcBorders>
            <w:vAlign w:val="center"/>
            <w:hideMark/>
          </w:tcPr>
          <w:p w14:paraId="36193BE5" w14:textId="77777777" w:rsidR="00C37641" w:rsidRPr="006F43C6" w:rsidRDefault="00C37641" w:rsidP="0012466B">
            <w:pPr>
              <w:spacing w:line="360" w:lineRule="auto"/>
              <w:rPr>
                <w:rFonts w:ascii="Arial" w:hAnsi="Arial" w:cs="Arial"/>
                <w:sz w:val="24"/>
                <w:szCs w:val="24"/>
              </w:rPr>
            </w:pPr>
            <w:r w:rsidRPr="006F43C6">
              <w:rPr>
                <w:rFonts w:ascii="Arial" w:hAnsi="Arial" w:cs="Arial"/>
                <w:i/>
                <w:iCs/>
                <w:sz w:val="24"/>
                <w:szCs w:val="24"/>
              </w:rPr>
              <w:t>Re BU</w:t>
            </w:r>
            <w:r w:rsidRPr="006F43C6">
              <w:rPr>
                <w:rFonts w:ascii="Arial" w:hAnsi="Arial" w:cs="Arial"/>
                <w:sz w:val="24"/>
                <w:szCs w:val="24"/>
              </w:rPr>
              <w:t xml:space="preserve"> [2021] EWCOP 54</w:t>
            </w:r>
          </w:p>
        </w:tc>
      </w:tr>
      <w:tr w:rsidR="00C37641" w:rsidRPr="006F43C6" w14:paraId="67C44C72" w14:textId="77777777" w:rsidTr="0012466B">
        <w:tc>
          <w:tcPr>
            <w:tcW w:w="3823" w:type="dxa"/>
            <w:tcBorders>
              <w:top w:val="single" w:sz="4" w:space="0" w:color="auto"/>
              <w:left w:val="single" w:sz="4" w:space="0" w:color="auto"/>
              <w:bottom w:val="single" w:sz="4" w:space="0" w:color="auto"/>
              <w:right w:val="single" w:sz="4" w:space="0" w:color="auto"/>
            </w:tcBorders>
            <w:vAlign w:val="center"/>
            <w:hideMark/>
          </w:tcPr>
          <w:p w14:paraId="1875B329" w14:textId="77777777" w:rsidR="00C37641" w:rsidRPr="006F43C6" w:rsidRDefault="00C37641" w:rsidP="0012466B">
            <w:pPr>
              <w:spacing w:line="360" w:lineRule="auto"/>
              <w:rPr>
                <w:rFonts w:ascii="Arial" w:hAnsi="Arial" w:cs="Arial"/>
                <w:sz w:val="24"/>
                <w:szCs w:val="24"/>
              </w:rPr>
            </w:pPr>
            <w:r w:rsidRPr="006F43C6">
              <w:rPr>
                <w:rFonts w:ascii="Arial" w:hAnsi="Arial" w:cs="Arial"/>
                <w:sz w:val="24"/>
                <w:szCs w:val="24"/>
              </w:rPr>
              <w:t>Caesarean section</w:t>
            </w:r>
          </w:p>
        </w:tc>
        <w:tc>
          <w:tcPr>
            <w:tcW w:w="5193" w:type="dxa"/>
            <w:tcBorders>
              <w:top w:val="single" w:sz="4" w:space="0" w:color="auto"/>
              <w:left w:val="single" w:sz="4" w:space="0" w:color="auto"/>
              <w:bottom w:val="single" w:sz="4" w:space="0" w:color="auto"/>
              <w:right w:val="single" w:sz="4" w:space="0" w:color="auto"/>
            </w:tcBorders>
            <w:vAlign w:val="center"/>
            <w:hideMark/>
          </w:tcPr>
          <w:p w14:paraId="7666FB51" w14:textId="77777777" w:rsidR="00C37641" w:rsidRPr="006F43C6" w:rsidRDefault="00C37641" w:rsidP="0012466B">
            <w:pPr>
              <w:spacing w:line="360" w:lineRule="auto"/>
              <w:rPr>
                <w:rFonts w:ascii="Arial" w:hAnsi="Arial" w:cs="Arial"/>
                <w:sz w:val="24"/>
                <w:szCs w:val="24"/>
              </w:rPr>
            </w:pPr>
            <w:r w:rsidRPr="006F43C6">
              <w:rPr>
                <w:rFonts w:ascii="Arial" w:hAnsi="Arial" w:cs="Arial"/>
                <w:i/>
                <w:iCs/>
                <w:sz w:val="24"/>
                <w:szCs w:val="24"/>
              </w:rPr>
              <w:t>North Bristol NHS Trust v R</w:t>
            </w:r>
            <w:r w:rsidRPr="006F43C6">
              <w:rPr>
                <w:rFonts w:ascii="Arial" w:hAnsi="Arial" w:cs="Arial"/>
                <w:sz w:val="24"/>
                <w:szCs w:val="24"/>
              </w:rPr>
              <w:t xml:space="preserve"> [2023] EWCOP 5;  </w:t>
            </w:r>
          </w:p>
        </w:tc>
      </w:tr>
      <w:tr w:rsidR="00C37641" w:rsidRPr="006F43C6" w14:paraId="39956701" w14:textId="77777777" w:rsidTr="0012466B">
        <w:tc>
          <w:tcPr>
            <w:tcW w:w="3823" w:type="dxa"/>
            <w:tcBorders>
              <w:top w:val="single" w:sz="4" w:space="0" w:color="auto"/>
              <w:left w:val="single" w:sz="4" w:space="0" w:color="auto"/>
              <w:bottom w:val="single" w:sz="4" w:space="0" w:color="auto"/>
              <w:right w:val="single" w:sz="4" w:space="0" w:color="auto"/>
            </w:tcBorders>
            <w:vAlign w:val="center"/>
            <w:hideMark/>
          </w:tcPr>
          <w:p w14:paraId="70B596F0" w14:textId="77777777" w:rsidR="00C37641" w:rsidRPr="006F43C6" w:rsidRDefault="00C37641" w:rsidP="0012466B">
            <w:pPr>
              <w:spacing w:line="360" w:lineRule="auto"/>
              <w:rPr>
                <w:rFonts w:ascii="Arial" w:hAnsi="Arial" w:cs="Arial"/>
                <w:sz w:val="24"/>
                <w:szCs w:val="24"/>
              </w:rPr>
            </w:pPr>
            <w:r w:rsidRPr="006F43C6">
              <w:rPr>
                <w:rFonts w:ascii="Arial" w:hAnsi="Arial" w:cs="Arial"/>
                <w:sz w:val="24"/>
                <w:szCs w:val="24"/>
              </w:rPr>
              <w:t>Medical treatment</w:t>
            </w:r>
          </w:p>
        </w:tc>
        <w:tc>
          <w:tcPr>
            <w:tcW w:w="5193" w:type="dxa"/>
            <w:tcBorders>
              <w:top w:val="single" w:sz="4" w:space="0" w:color="auto"/>
              <w:left w:val="single" w:sz="4" w:space="0" w:color="auto"/>
              <w:bottom w:val="single" w:sz="4" w:space="0" w:color="auto"/>
              <w:right w:val="single" w:sz="4" w:space="0" w:color="auto"/>
            </w:tcBorders>
            <w:vAlign w:val="center"/>
            <w:hideMark/>
          </w:tcPr>
          <w:p w14:paraId="016C7A1D" w14:textId="77777777" w:rsidR="00C37641" w:rsidRPr="006F43C6" w:rsidRDefault="00C37641" w:rsidP="0012466B">
            <w:pPr>
              <w:spacing w:line="360" w:lineRule="auto"/>
              <w:rPr>
                <w:rFonts w:ascii="Arial" w:hAnsi="Arial" w:cs="Arial"/>
                <w:sz w:val="24"/>
                <w:szCs w:val="24"/>
              </w:rPr>
            </w:pPr>
            <w:r w:rsidRPr="006F43C6">
              <w:rPr>
                <w:rFonts w:ascii="Arial" w:hAnsi="Arial" w:cs="Arial"/>
                <w:i/>
                <w:iCs/>
                <w:sz w:val="24"/>
                <w:szCs w:val="24"/>
              </w:rPr>
              <w:t>Re Q</w:t>
            </w:r>
            <w:r w:rsidRPr="006F43C6">
              <w:rPr>
                <w:rFonts w:ascii="Arial" w:hAnsi="Arial" w:cs="Arial"/>
                <w:sz w:val="24"/>
                <w:szCs w:val="24"/>
              </w:rPr>
              <w:t xml:space="preserve"> [2022] EWCOP 6</w:t>
            </w:r>
          </w:p>
        </w:tc>
      </w:tr>
      <w:tr w:rsidR="00C37641" w:rsidRPr="006F43C6" w14:paraId="497381B3" w14:textId="77777777" w:rsidTr="0012466B">
        <w:tc>
          <w:tcPr>
            <w:tcW w:w="3823" w:type="dxa"/>
            <w:tcBorders>
              <w:top w:val="single" w:sz="4" w:space="0" w:color="auto"/>
              <w:left w:val="single" w:sz="4" w:space="0" w:color="auto"/>
              <w:bottom w:val="single" w:sz="4" w:space="0" w:color="auto"/>
              <w:right w:val="single" w:sz="4" w:space="0" w:color="auto"/>
            </w:tcBorders>
            <w:vAlign w:val="center"/>
            <w:hideMark/>
          </w:tcPr>
          <w:p w14:paraId="339D5B3F" w14:textId="77777777" w:rsidR="00C37641" w:rsidRPr="006F43C6" w:rsidRDefault="00C37641" w:rsidP="0012466B">
            <w:pPr>
              <w:spacing w:line="360" w:lineRule="auto"/>
              <w:rPr>
                <w:rFonts w:ascii="Arial" w:hAnsi="Arial" w:cs="Arial"/>
                <w:sz w:val="24"/>
                <w:szCs w:val="24"/>
              </w:rPr>
            </w:pPr>
            <w:r w:rsidRPr="006F43C6">
              <w:rPr>
                <w:rFonts w:ascii="Arial" w:hAnsi="Arial" w:cs="Arial"/>
                <w:sz w:val="24"/>
                <w:szCs w:val="24"/>
              </w:rPr>
              <w:t>Litigation</w:t>
            </w:r>
          </w:p>
        </w:tc>
        <w:tc>
          <w:tcPr>
            <w:tcW w:w="5193" w:type="dxa"/>
            <w:tcBorders>
              <w:top w:val="single" w:sz="4" w:space="0" w:color="auto"/>
              <w:left w:val="single" w:sz="4" w:space="0" w:color="auto"/>
              <w:bottom w:val="single" w:sz="4" w:space="0" w:color="auto"/>
              <w:right w:val="single" w:sz="4" w:space="0" w:color="auto"/>
            </w:tcBorders>
            <w:vAlign w:val="center"/>
            <w:hideMark/>
          </w:tcPr>
          <w:p w14:paraId="36C24293" w14:textId="77777777" w:rsidR="00C37641" w:rsidRPr="006F43C6" w:rsidRDefault="00C37641" w:rsidP="0012466B">
            <w:pPr>
              <w:pStyle w:val="Heading1"/>
              <w:shd w:val="clear" w:color="auto" w:fill="FFFFFF"/>
              <w:spacing w:before="0" w:after="0" w:line="360" w:lineRule="auto"/>
              <w:outlineLvl w:val="0"/>
              <w:rPr>
                <w:rFonts w:ascii="Arial" w:hAnsi="Arial" w:cs="Arial"/>
                <w:b/>
                <w:bCs/>
                <w:color w:val="auto"/>
                <w:sz w:val="24"/>
                <w:szCs w:val="24"/>
              </w:rPr>
            </w:pPr>
            <w:r w:rsidRPr="006F43C6">
              <w:rPr>
                <w:rFonts w:ascii="Arial" w:hAnsi="Arial" w:cs="Arial"/>
                <w:i/>
                <w:iCs/>
                <w:color w:val="auto"/>
                <w:sz w:val="24"/>
                <w:szCs w:val="24"/>
              </w:rPr>
              <w:t>F v Family Channel Ltd</w:t>
            </w:r>
            <w:r w:rsidRPr="006F43C6">
              <w:rPr>
                <w:rFonts w:ascii="Arial" w:hAnsi="Arial" w:cs="Arial"/>
                <w:color w:val="auto"/>
                <w:sz w:val="24"/>
                <w:szCs w:val="24"/>
              </w:rPr>
              <w:t xml:space="preserve"> [2020] EWCA Civ 824;</w:t>
            </w:r>
          </w:p>
          <w:p w14:paraId="5580CE34" w14:textId="77777777" w:rsidR="00C37641" w:rsidRPr="006F43C6" w:rsidRDefault="00C37641" w:rsidP="0012466B">
            <w:pPr>
              <w:spacing w:line="360" w:lineRule="auto"/>
              <w:rPr>
                <w:rFonts w:ascii="Arial" w:hAnsi="Arial" w:cs="Arial"/>
                <w:sz w:val="24"/>
                <w:szCs w:val="24"/>
              </w:rPr>
            </w:pPr>
            <w:r w:rsidRPr="006F43C6">
              <w:rPr>
                <w:rFonts w:ascii="Arial" w:hAnsi="Arial" w:cs="Arial"/>
                <w:i/>
                <w:iCs/>
                <w:sz w:val="24"/>
                <w:szCs w:val="24"/>
              </w:rPr>
              <w:t>Lisle-Mainwaring v Charles Russell Speechlys LLP</w:t>
            </w:r>
            <w:r w:rsidRPr="006F43C6">
              <w:rPr>
                <w:rFonts w:ascii="Arial" w:hAnsi="Arial" w:cs="Arial"/>
                <w:sz w:val="24"/>
                <w:szCs w:val="24"/>
              </w:rPr>
              <w:t xml:space="preserve"> </w:t>
            </w:r>
            <w:r w:rsidRPr="006F43C6">
              <w:rPr>
                <w:rFonts w:ascii="Arial" w:hAnsi="Arial" w:cs="Arial"/>
                <w:sz w:val="24"/>
                <w:szCs w:val="24"/>
                <w:shd w:val="clear" w:color="auto" w:fill="FFFFFF"/>
              </w:rPr>
              <w:t>[2020] EWHC 2617 (Ch), 2020;</w:t>
            </w:r>
            <w:r w:rsidRPr="006F43C6">
              <w:rPr>
                <w:rFonts w:ascii="Arial" w:hAnsi="Arial" w:cs="Arial"/>
                <w:b/>
                <w:bCs/>
                <w:sz w:val="24"/>
                <w:szCs w:val="24"/>
                <w:shd w:val="clear" w:color="auto" w:fill="FFFFFF"/>
              </w:rPr>
              <w:t xml:space="preserve"> </w:t>
            </w:r>
            <w:r w:rsidRPr="006F43C6">
              <w:rPr>
                <w:rFonts w:ascii="Arial" w:hAnsi="Arial" w:cs="Arial"/>
                <w:i/>
                <w:iCs/>
                <w:sz w:val="24"/>
                <w:szCs w:val="24"/>
              </w:rPr>
              <w:t>An NHS Trust v P</w:t>
            </w:r>
            <w:r w:rsidRPr="006F43C6">
              <w:rPr>
                <w:rFonts w:ascii="Arial" w:hAnsi="Arial" w:cs="Arial"/>
                <w:sz w:val="24"/>
                <w:szCs w:val="24"/>
              </w:rPr>
              <w:t xml:space="preserve"> [2021] EWCOP 27</w:t>
            </w:r>
          </w:p>
        </w:tc>
      </w:tr>
      <w:tr w:rsidR="00C37641" w:rsidRPr="006F43C6" w14:paraId="1C2ADC43" w14:textId="77777777" w:rsidTr="0012466B">
        <w:tc>
          <w:tcPr>
            <w:tcW w:w="3823" w:type="dxa"/>
            <w:tcBorders>
              <w:top w:val="single" w:sz="4" w:space="0" w:color="auto"/>
              <w:left w:val="single" w:sz="4" w:space="0" w:color="auto"/>
              <w:bottom w:val="single" w:sz="4" w:space="0" w:color="auto"/>
              <w:right w:val="single" w:sz="4" w:space="0" w:color="auto"/>
            </w:tcBorders>
            <w:vAlign w:val="center"/>
            <w:hideMark/>
          </w:tcPr>
          <w:p w14:paraId="6F437D93" w14:textId="77777777" w:rsidR="00C37641" w:rsidRPr="006F43C6" w:rsidRDefault="00C37641" w:rsidP="0012466B">
            <w:pPr>
              <w:spacing w:line="360" w:lineRule="auto"/>
              <w:rPr>
                <w:rFonts w:ascii="Arial" w:hAnsi="Arial" w:cs="Arial"/>
                <w:sz w:val="24"/>
                <w:szCs w:val="24"/>
              </w:rPr>
            </w:pPr>
            <w:r w:rsidRPr="006F43C6">
              <w:rPr>
                <w:rFonts w:ascii="Arial" w:hAnsi="Arial" w:cs="Arial"/>
                <w:sz w:val="24"/>
                <w:szCs w:val="24"/>
              </w:rPr>
              <w:t>Litigation (child)</w:t>
            </w:r>
          </w:p>
        </w:tc>
        <w:tc>
          <w:tcPr>
            <w:tcW w:w="5193" w:type="dxa"/>
            <w:tcBorders>
              <w:top w:val="single" w:sz="4" w:space="0" w:color="auto"/>
              <w:left w:val="single" w:sz="4" w:space="0" w:color="auto"/>
              <w:bottom w:val="single" w:sz="4" w:space="0" w:color="auto"/>
              <w:right w:val="single" w:sz="4" w:space="0" w:color="auto"/>
            </w:tcBorders>
            <w:vAlign w:val="center"/>
            <w:hideMark/>
          </w:tcPr>
          <w:p w14:paraId="0B357089" w14:textId="77777777" w:rsidR="00C37641" w:rsidRPr="006F43C6" w:rsidRDefault="00C37641" w:rsidP="0012466B">
            <w:pPr>
              <w:spacing w:line="360" w:lineRule="auto"/>
              <w:rPr>
                <w:rFonts w:ascii="Arial" w:hAnsi="Arial" w:cs="Arial"/>
                <w:sz w:val="24"/>
                <w:szCs w:val="24"/>
              </w:rPr>
            </w:pPr>
            <w:r w:rsidRPr="006F43C6">
              <w:rPr>
                <w:rFonts w:ascii="Arial" w:hAnsi="Arial" w:cs="Arial"/>
                <w:i/>
                <w:iCs/>
                <w:sz w:val="24"/>
                <w:szCs w:val="24"/>
              </w:rPr>
              <w:t>AK v A London Borough Council</w:t>
            </w:r>
            <w:r w:rsidRPr="006F43C6">
              <w:rPr>
                <w:rFonts w:ascii="Arial" w:hAnsi="Arial" w:cs="Arial"/>
                <w:sz w:val="24"/>
                <w:szCs w:val="24"/>
              </w:rPr>
              <w:t xml:space="preserve"> </w:t>
            </w:r>
            <w:r w:rsidRPr="006F43C6">
              <w:rPr>
                <w:rFonts w:ascii="Arial" w:hAnsi="Arial" w:cs="Arial"/>
                <w:sz w:val="24"/>
                <w:szCs w:val="24"/>
                <w:shd w:val="clear" w:color="auto" w:fill="FFFFFF"/>
              </w:rPr>
              <w:t>[2020] EWCA Civ 1755</w:t>
            </w:r>
          </w:p>
        </w:tc>
      </w:tr>
      <w:tr w:rsidR="00C37641" w:rsidRPr="006F43C6" w14:paraId="301B6347" w14:textId="77777777" w:rsidTr="0012466B">
        <w:tc>
          <w:tcPr>
            <w:tcW w:w="3823" w:type="dxa"/>
            <w:tcBorders>
              <w:top w:val="single" w:sz="4" w:space="0" w:color="auto"/>
              <w:left w:val="single" w:sz="4" w:space="0" w:color="auto"/>
              <w:bottom w:val="single" w:sz="4" w:space="0" w:color="auto"/>
              <w:right w:val="single" w:sz="4" w:space="0" w:color="auto"/>
            </w:tcBorders>
            <w:vAlign w:val="center"/>
            <w:hideMark/>
          </w:tcPr>
          <w:p w14:paraId="3350BB6D" w14:textId="77777777" w:rsidR="00C37641" w:rsidRPr="006F43C6" w:rsidRDefault="00C37641" w:rsidP="0012466B">
            <w:pPr>
              <w:spacing w:line="360" w:lineRule="auto"/>
              <w:rPr>
                <w:rFonts w:ascii="Arial" w:hAnsi="Arial" w:cs="Arial"/>
                <w:sz w:val="24"/>
                <w:szCs w:val="24"/>
              </w:rPr>
            </w:pPr>
            <w:r w:rsidRPr="006F43C6">
              <w:rPr>
                <w:rFonts w:ascii="Arial" w:hAnsi="Arial" w:cs="Arial"/>
                <w:sz w:val="24"/>
                <w:szCs w:val="24"/>
              </w:rPr>
              <w:t>Litigation (disciplinary proceedings)</w:t>
            </w:r>
          </w:p>
        </w:tc>
        <w:tc>
          <w:tcPr>
            <w:tcW w:w="5193" w:type="dxa"/>
            <w:tcBorders>
              <w:top w:val="single" w:sz="4" w:space="0" w:color="auto"/>
              <w:left w:val="single" w:sz="4" w:space="0" w:color="auto"/>
              <w:bottom w:val="single" w:sz="4" w:space="0" w:color="auto"/>
              <w:right w:val="single" w:sz="4" w:space="0" w:color="auto"/>
            </w:tcBorders>
            <w:vAlign w:val="center"/>
            <w:hideMark/>
          </w:tcPr>
          <w:p w14:paraId="3B330A35" w14:textId="77777777" w:rsidR="00C37641" w:rsidRPr="006F43C6" w:rsidRDefault="00C37641" w:rsidP="0012466B">
            <w:pPr>
              <w:spacing w:line="360" w:lineRule="auto"/>
              <w:rPr>
                <w:rFonts w:ascii="Arial" w:hAnsi="Arial" w:cs="Arial"/>
                <w:bCs/>
                <w:sz w:val="24"/>
                <w:szCs w:val="24"/>
                <w:u w:val="single"/>
              </w:rPr>
            </w:pPr>
            <w:r w:rsidRPr="006F43C6">
              <w:rPr>
                <w:rFonts w:ascii="Arial" w:hAnsi="Arial" w:cs="Arial"/>
                <w:bCs/>
                <w:i/>
                <w:sz w:val="24"/>
                <w:szCs w:val="24"/>
              </w:rPr>
              <w:t>Cannon v Bar Standards Board</w:t>
            </w:r>
            <w:r w:rsidRPr="006F43C6">
              <w:rPr>
                <w:rFonts w:ascii="Arial" w:hAnsi="Arial" w:cs="Arial"/>
                <w:bCs/>
                <w:sz w:val="24"/>
                <w:szCs w:val="24"/>
              </w:rPr>
              <w:t xml:space="preserve"> [2023] EWCA Civ 278</w:t>
            </w:r>
          </w:p>
        </w:tc>
      </w:tr>
      <w:tr w:rsidR="00C37641" w:rsidRPr="006F43C6" w14:paraId="0EAC1283" w14:textId="77777777" w:rsidTr="0012466B">
        <w:tc>
          <w:tcPr>
            <w:tcW w:w="3823" w:type="dxa"/>
            <w:tcBorders>
              <w:top w:val="single" w:sz="4" w:space="0" w:color="auto"/>
              <w:left w:val="single" w:sz="4" w:space="0" w:color="auto"/>
              <w:bottom w:val="single" w:sz="4" w:space="0" w:color="auto"/>
              <w:right w:val="single" w:sz="4" w:space="0" w:color="auto"/>
            </w:tcBorders>
            <w:vAlign w:val="center"/>
            <w:hideMark/>
          </w:tcPr>
          <w:p w14:paraId="25BC7456" w14:textId="77777777" w:rsidR="00C37641" w:rsidRPr="006F43C6" w:rsidRDefault="00C37641" w:rsidP="0012466B">
            <w:pPr>
              <w:spacing w:line="360" w:lineRule="auto"/>
              <w:rPr>
                <w:rFonts w:ascii="Arial" w:hAnsi="Arial" w:cs="Arial"/>
                <w:sz w:val="24"/>
                <w:szCs w:val="24"/>
              </w:rPr>
            </w:pPr>
            <w:r w:rsidRPr="006F43C6">
              <w:rPr>
                <w:rFonts w:ascii="Arial" w:hAnsi="Arial" w:cs="Arial"/>
                <w:sz w:val="24"/>
                <w:szCs w:val="24"/>
              </w:rPr>
              <w:t>Separation, divorce, and dissolution of a civil partnership</w:t>
            </w:r>
          </w:p>
        </w:tc>
        <w:tc>
          <w:tcPr>
            <w:tcW w:w="5193" w:type="dxa"/>
            <w:tcBorders>
              <w:top w:val="single" w:sz="4" w:space="0" w:color="auto"/>
              <w:left w:val="single" w:sz="4" w:space="0" w:color="auto"/>
              <w:bottom w:val="single" w:sz="4" w:space="0" w:color="auto"/>
              <w:right w:val="single" w:sz="4" w:space="0" w:color="auto"/>
            </w:tcBorders>
            <w:vAlign w:val="center"/>
            <w:hideMark/>
          </w:tcPr>
          <w:p w14:paraId="49C7BD0A" w14:textId="77777777" w:rsidR="00C37641" w:rsidRPr="006F43C6" w:rsidRDefault="00C37641" w:rsidP="0012466B">
            <w:pPr>
              <w:spacing w:line="360" w:lineRule="auto"/>
              <w:rPr>
                <w:rFonts w:ascii="Arial" w:hAnsi="Arial" w:cs="Arial"/>
                <w:bCs/>
                <w:sz w:val="24"/>
                <w:szCs w:val="24"/>
                <w:u w:val="single"/>
              </w:rPr>
            </w:pPr>
            <w:r w:rsidRPr="006F43C6">
              <w:rPr>
                <w:rFonts w:ascii="Arial" w:hAnsi="Arial" w:cs="Arial"/>
                <w:bCs/>
                <w:i/>
                <w:sz w:val="24"/>
                <w:szCs w:val="24"/>
              </w:rPr>
              <w:t>D v S</w:t>
            </w:r>
            <w:r w:rsidRPr="006F43C6">
              <w:rPr>
                <w:rFonts w:ascii="Arial" w:hAnsi="Arial" w:cs="Arial"/>
                <w:bCs/>
                <w:sz w:val="24"/>
                <w:szCs w:val="24"/>
              </w:rPr>
              <w:t xml:space="preserve"> [2023] EWCOP 8</w:t>
            </w:r>
            <w:r w:rsidRPr="006F43C6">
              <w:rPr>
                <w:rFonts w:ascii="Arial" w:hAnsi="Arial" w:cs="Arial"/>
                <w:bCs/>
                <w:sz w:val="24"/>
                <w:szCs w:val="24"/>
                <w:u w:val="single"/>
              </w:rPr>
              <w:t xml:space="preserve">; </w:t>
            </w:r>
          </w:p>
        </w:tc>
      </w:tr>
      <w:tr w:rsidR="00C37641" w:rsidRPr="006F43C6" w14:paraId="78FDDB6D" w14:textId="77777777" w:rsidTr="0012466B">
        <w:tc>
          <w:tcPr>
            <w:tcW w:w="3823" w:type="dxa"/>
            <w:tcBorders>
              <w:top w:val="single" w:sz="4" w:space="0" w:color="auto"/>
              <w:left w:val="single" w:sz="4" w:space="0" w:color="auto"/>
              <w:bottom w:val="single" w:sz="4" w:space="0" w:color="auto"/>
              <w:right w:val="single" w:sz="4" w:space="0" w:color="auto"/>
            </w:tcBorders>
            <w:vAlign w:val="center"/>
            <w:hideMark/>
          </w:tcPr>
          <w:p w14:paraId="7A4ED1F3" w14:textId="77777777" w:rsidR="00C37641" w:rsidRPr="006F43C6" w:rsidRDefault="00C37641" w:rsidP="0012466B">
            <w:pPr>
              <w:spacing w:line="360" w:lineRule="auto"/>
              <w:rPr>
                <w:rFonts w:ascii="Arial" w:hAnsi="Arial" w:cs="Arial"/>
                <w:sz w:val="24"/>
                <w:szCs w:val="24"/>
              </w:rPr>
            </w:pPr>
            <w:r w:rsidRPr="006F43C6">
              <w:rPr>
                <w:rFonts w:ascii="Arial" w:hAnsi="Arial" w:cs="Arial"/>
                <w:sz w:val="24"/>
                <w:szCs w:val="24"/>
              </w:rPr>
              <w:t>Making a lasting power of attorney</w:t>
            </w:r>
          </w:p>
        </w:tc>
        <w:tc>
          <w:tcPr>
            <w:tcW w:w="5193" w:type="dxa"/>
            <w:tcBorders>
              <w:top w:val="single" w:sz="4" w:space="0" w:color="auto"/>
              <w:left w:val="single" w:sz="4" w:space="0" w:color="auto"/>
              <w:bottom w:val="single" w:sz="4" w:space="0" w:color="auto"/>
              <w:right w:val="single" w:sz="4" w:space="0" w:color="auto"/>
            </w:tcBorders>
            <w:vAlign w:val="center"/>
            <w:hideMark/>
          </w:tcPr>
          <w:p w14:paraId="3CD9577B" w14:textId="77777777" w:rsidR="00C37641" w:rsidRPr="006F43C6" w:rsidRDefault="00C37641" w:rsidP="0012466B">
            <w:pPr>
              <w:spacing w:line="360" w:lineRule="auto"/>
              <w:rPr>
                <w:rFonts w:ascii="Arial" w:hAnsi="Arial" w:cs="Arial"/>
                <w:i/>
                <w:sz w:val="24"/>
                <w:szCs w:val="24"/>
                <w:u w:val="single"/>
              </w:rPr>
            </w:pPr>
            <w:r w:rsidRPr="006F43C6">
              <w:rPr>
                <w:rFonts w:ascii="Arial" w:hAnsi="Arial" w:cs="Arial"/>
                <w:i/>
                <w:iCs/>
                <w:sz w:val="24"/>
                <w:szCs w:val="24"/>
              </w:rPr>
              <w:t>The Public Guardian v RI</w:t>
            </w:r>
            <w:r w:rsidRPr="006F43C6">
              <w:rPr>
                <w:rFonts w:ascii="Arial" w:hAnsi="Arial" w:cs="Arial"/>
                <w:sz w:val="24"/>
                <w:szCs w:val="24"/>
              </w:rPr>
              <w:t xml:space="preserve"> [2022] EWCOP 22</w:t>
            </w:r>
          </w:p>
        </w:tc>
      </w:tr>
      <w:tr w:rsidR="00C37641" w:rsidRPr="006F43C6" w14:paraId="7829470F" w14:textId="77777777" w:rsidTr="0012466B">
        <w:tc>
          <w:tcPr>
            <w:tcW w:w="3823" w:type="dxa"/>
            <w:tcBorders>
              <w:top w:val="single" w:sz="4" w:space="0" w:color="auto"/>
              <w:left w:val="single" w:sz="4" w:space="0" w:color="auto"/>
              <w:bottom w:val="single" w:sz="4" w:space="0" w:color="auto"/>
              <w:right w:val="single" w:sz="4" w:space="0" w:color="auto"/>
            </w:tcBorders>
            <w:vAlign w:val="center"/>
          </w:tcPr>
          <w:p w14:paraId="3DD7EB52" w14:textId="77777777" w:rsidR="00C37641" w:rsidRPr="006F43C6" w:rsidRDefault="00C37641" w:rsidP="0012466B">
            <w:pPr>
              <w:spacing w:line="360" w:lineRule="auto"/>
              <w:rPr>
                <w:rFonts w:ascii="Arial" w:hAnsi="Arial" w:cs="Arial"/>
                <w:sz w:val="24"/>
                <w:szCs w:val="24"/>
              </w:rPr>
            </w:pPr>
            <w:r w:rsidRPr="006F43C6">
              <w:rPr>
                <w:rFonts w:ascii="Arial" w:hAnsi="Arial" w:cs="Arial"/>
                <w:sz w:val="24"/>
                <w:szCs w:val="24"/>
              </w:rPr>
              <w:t xml:space="preserve">Making a will </w:t>
            </w:r>
          </w:p>
        </w:tc>
        <w:tc>
          <w:tcPr>
            <w:tcW w:w="5193" w:type="dxa"/>
            <w:tcBorders>
              <w:top w:val="single" w:sz="4" w:space="0" w:color="auto"/>
              <w:left w:val="single" w:sz="4" w:space="0" w:color="auto"/>
              <w:bottom w:val="single" w:sz="4" w:space="0" w:color="auto"/>
              <w:right w:val="single" w:sz="4" w:space="0" w:color="auto"/>
            </w:tcBorders>
            <w:vAlign w:val="center"/>
          </w:tcPr>
          <w:p w14:paraId="1F6B730C" w14:textId="77777777" w:rsidR="00C37641" w:rsidRPr="006F43C6" w:rsidRDefault="00C37641" w:rsidP="0012466B">
            <w:pPr>
              <w:spacing w:line="360" w:lineRule="auto"/>
              <w:rPr>
                <w:rFonts w:ascii="Arial" w:hAnsi="Arial" w:cs="Arial"/>
                <w:i/>
                <w:iCs/>
                <w:sz w:val="24"/>
                <w:szCs w:val="24"/>
              </w:rPr>
            </w:pPr>
            <w:r w:rsidRPr="006F43C6">
              <w:rPr>
                <w:rFonts w:ascii="Arial" w:hAnsi="Arial" w:cs="Arial"/>
                <w:i/>
                <w:iCs/>
                <w:sz w:val="24"/>
                <w:szCs w:val="24"/>
              </w:rPr>
              <w:t>Re Baron </w:t>
            </w:r>
            <w:r w:rsidRPr="006F43C6">
              <w:rPr>
                <w:rStyle w:val="cosearchterm"/>
                <w:rFonts w:ascii="Arial" w:hAnsi="Arial" w:cs="Arial"/>
                <w:i/>
                <w:iCs/>
                <w:sz w:val="24"/>
                <w:szCs w:val="24"/>
              </w:rPr>
              <w:t>Templeman</w:t>
            </w:r>
            <w:r w:rsidRPr="006F43C6">
              <w:rPr>
                <w:rFonts w:ascii="Arial" w:hAnsi="Arial" w:cs="Arial"/>
                <w:i/>
                <w:iCs/>
                <w:sz w:val="24"/>
                <w:szCs w:val="24"/>
              </w:rPr>
              <w:t> of White Lackington (Deceased)</w:t>
            </w:r>
            <w:r w:rsidRPr="006F43C6">
              <w:rPr>
                <w:rFonts w:ascii="Arial" w:hAnsi="Arial" w:cs="Arial"/>
                <w:sz w:val="24"/>
                <w:szCs w:val="24"/>
              </w:rPr>
              <w:t xml:space="preserve"> [2020] EWHC 632 (Ch)</w:t>
            </w:r>
          </w:p>
        </w:tc>
      </w:tr>
      <w:tr w:rsidR="00C37641" w:rsidRPr="006F43C6" w14:paraId="629C9E42" w14:textId="77777777" w:rsidTr="0012466B">
        <w:tc>
          <w:tcPr>
            <w:tcW w:w="3823" w:type="dxa"/>
            <w:tcBorders>
              <w:top w:val="single" w:sz="4" w:space="0" w:color="auto"/>
              <w:left w:val="single" w:sz="4" w:space="0" w:color="auto"/>
              <w:bottom w:val="single" w:sz="4" w:space="0" w:color="auto"/>
              <w:right w:val="single" w:sz="4" w:space="0" w:color="auto"/>
            </w:tcBorders>
            <w:vAlign w:val="center"/>
            <w:hideMark/>
          </w:tcPr>
          <w:p w14:paraId="6297F106" w14:textId="77777777" w:rsidR="00C37641" w:rsidRPr="006F43C6" w:rsidRDefault="00C37641" w:rsidP="0012466B">
            <w:pPr>
              <w:spacing w:line="360" w:lineRule="auto"/>
              <w:rPr>
                <w:rFonts w:ascii="Arial" w:hAnsi="Arial" w:cs="Arial"/>
                <w:sz w:val="24"/>
                <w:szCs w:val="24"/>
              </w:rPr>
            </w:pPr>
            <w:r w:rsidRPr="006F43C6">
              <w:rPr>
                <w:rFonts w:ascii="Arial" w:hAnsi="Arial" w:cs="Arial"/>
                <w:sz w:val="24"/>
                <w:szCs w:val="24"/>
              </w:rPr>
              <w:t>Knowledge and approval of a will</w:t>
            </w:r>
          </w:p>
        </w:tc>
        <w:tc>
          <w:tcPr>
            <w:tcW w:w="5193" w:type="dxa"/>
            <w:tcBorders>
              <w:top w:val="single" w:sz="4" w:space="0" w:color="auto"/>
              <w:left w:val="single" w:sz="4" w:space="0" w:color="auto"/>
              <w:bottom w:val="single" w:sz="4" w:space="0" w:color="auto"/>
              <w:right w:val="single" w:sz="4" w:space="0" w:color="auto"/>
            </w:tcBorders>
            <w:vAlign w:val="center"/>
            <w:hideMark/>
          </w:tcPr>
          <w:p w14:paraId="7A0666A4" w14:textId="77777777" w:rsidR="00C37641" w:rsidRPr="006F43C6" w:rsidRDefault="00C37641" w:rsidP="0012466B">
            <w:pPr>
              <w:spacing w:line="360" w:lineRule="auto"/>
              <w:rPr>
                <w:rFonts w:ascii="Arial" w:hAnsi="Arial" w:cs="Arial"/>
                <w:i/>
                <w:iCs/>
                <w:sz w:val="24"/>
                <w:szCs w:val="24"/>
              </w:rPr>
            </w:pPr>
            <w:r w:rsidRPr="006F43C6">
              <w:rPr>
                <w:rFonts w:ascii="Arial" w:hAnsi="Arial" w:cs="Arial"/>
                <w:i/>
                <w:iCs/>
                <w:sz w:val="24"/>
                <w:szCs w:val="24"/>
              </w:rPr>
              <w:t>Skillett v Skillett</w:t>
            </w:r>
            <w:r w:rsidRPr="006F43C6">
              <w:rPr>
                <w:rFonts w:ascii="Arial" w:hAnsi="Arial" w:cs="Arial"/>
                <w:sz w:val="24"/>
                <w:szCs w:val="24"/>
              </w:rPr>
              <w:t xml:space="preserve"> [2022] EWHC 233 (Ch); </w:t>
            </w:r>
            <w:r w:rsidRPr="006F43C6">
              <w:rPr>
                <w:rFonts w:ascii="Arial" w:hAnsi="Arial" w:cs="Arial"/>
                <w:i/>
                <w:iCs/>
                <w:sz w:val="24"/>
                <w:szCs w:val="24"/>
              </w:rPr>
              <w:t>Hughes v Pritchard</w:t>
            </w:r>
            <w:r w:rsidRPr="006F43C6">
              <w:rPr>
                <w:rFonts w:ascii="Arial" w:hAnsi="Arial" w:cs="Arial"/>
                <w:sz w:val="24"/>
                <w:szCs w:val="24"/>
              </w:rPr>
              <w:t xml:space="preserve"> [2022] EWCA Civ 386</w:t>
            </w:r>
          </w:p>
        </w:tc>
      </w:tr>
    </w:tbl>
    <w:p w14:paraId="2D702D68" w14:textId="77777777" w:rsidR="0012466B" w:rsidRDefault="0012466B" w:rsidP="0012466B">
      <w:pPr>
        <w:spacing w:line="360" w:lineRule="auto"/>
        <w:rPr>
          <w:rFonts w:ascii="Arial" w:hAnsi="Arial" w:cs="Arial"/>
          <w:bCs/>
          <w:sz w:val="24"/>
          <w:szCs w:val="24"/>
          <w:u w:val="single"/>
          <w:shd w:val="clear" w:color="auto" w:fill="FFFFFF"/>
        </w:rPr>
      </w:pPr>
    </w:p>
    <w:p w14:paraId="438ACA0B" w14:textId="77777777" w:rsidR="0012466B" w:rsidRPr="00463E89" w:rsidRDefault="0012466B" w:rsidP="0012466B">
      <w:pPr>
        <w:spacing w:line="360" w:lineRule="auto"/>
        <w:rPr>
          <w:rFonts w:ascii="Arial" w:hAnsi="Arial" w:cs="Arial"/>
          <w:bCs/>
          <w:sz w:val="24"/>
          <w:szCs w:val="24"/>
          <w:u w:val="single"/>
          <w:shd w:val="clear" w:color="auto" w:fill="FFFFFF"/>
        </w:rPr>
      </w:pPr>
      <w:r>
        <w:rPr>
          <w:rFonts w:ascii="Arial" w:hAnsi="Arial" w:cs="Arial"/>
          <w:bCs/>
          <w:sz w:val="24"/>
          <w:szCs w:val="24"/>
          <w:u w:val="single"/>
          <w:shd w:val="clear" w:color="auto" w:fill="FFFFFF"/>
        </w:rPr>
        <w:t xml:space="preserve">Going to court </w:t>
      </w:r>
    </w:p>
    <w:tbl>
      <w:tblPr>
        <w:tblStyle w:val="TableGrid"/>
        <w:tblW w:w="0" w:type="auto"/>
        <w:tblInd w:w="0" w:type="dxa"/>
        <w:tblLook w:val="04A0" w:firstRow="1" w:lastRow="0" w:firstColumn="1" w:lastColumn="0" w:noHBand="0" w:noVBand="1"/>
      </w:tblPr>
      <w:tblGrid>
        <w:gridCol w:w="4508"/>
        <w:gridCol w:w="4508"/>
      </w:tblGrid>
      <w:tr w:rsidR="0012466B" w14:paraId="2256528F" w14:textId="77777777" w:rsidTr="0012466B">
        <w:tc>
          <w:tcPr>
            <w:tcW w:w="4508" w:type="dxa"/>
            <w:vAlign w:val="center"/>
          </w:tcPr>
          <w:p w14:paraId="3E75EAFA" w14:textId="77777777" w:rsidR="0012466B" w:rsidRPr="0012466B" w:rsidRDefault="0012466B" w:rsidP="0012466B">
            <w:pPr>
              <w:spacing w:line="360" w:lineRule="auto"/>
              <w:rPr>
                <w:rFonts w:ascii="Arial" w:hAnsi="Arial" w:cs="Arial"/>
                <w:sz w:val="24"/>
                <w:szCs w:val="24"/>
              </w:rPr>
            </w:pPr>
            <w:r w:rsidRPr="0012466B">
              <w:rPr>
                <w:rFonts w:ascii="Arial" w:hAnsi="Arial" w:cs="Arial"/>
                <w:sz w:val="24"/>
                <w:szCs w:val="24"/>
              </w:rPr>
              <w:t>Cross examination</w:t>
            </w:r>
          </w:p>
        </w:tc>
        <w:tc>
          <w:tcPr>
            <w:tcW w:w="4508" w:type="dxa"/>
            <w:vAlign w:val="center"/>
          </w:tcPr>
          <w:p w14:paraId="4CC450A3" w14:textId="77777777" w:rsidR="0012466B" w:rsidRPr="0012466B" w:rsidRDefault="0012466B" w:rsidP="0012466B">
            <w:pPr>
              <w:spacing w:line="360" w:lineRule="auto"/>
              <w:rPr>
                <w:rFonts w:ascii="Arial" w:hAnsi="Arial" w:cs="Arial"/>
                <w:sz w:val="24"/>
                <w:szCs w:val="24"/>
              </w:rPr>
            </w:pPr>
            <w:r w:rsidRPr="0012466B">
              <w:rPr>
                <w:rFonts w:ascii="Arial" w:hAnsi="Arial" w:cs="Arial"/>
                <w:bCs/>
                <w:i/>
                <w:iCs/>
                <w:sz w:val="24"/>
                <w:szCs w:val="24"/>
              </w:rPr>
              <w:t>Tehrani v Hamilton Bonaduz AG</w:t>
            </w:r>
            <w:r w:rsidRPr="0012466B">
              <w:rPr>
                <w:rFonts w:ascii="Arial" w:hAnsi="Arial" w:cs="Arial"/>
                <w:bCs/>
                <w:sz w:val="24"/>
                <w:szCs w:val="24"/>
              </w:rPr>
              <w:t xml:space="preserve"> [2021] EWHC 3457 (IPEC)</w:t>
            </w:r>
          </w:p>
        </w:tc>
      </w:tr>
      <w:tr w:rsidR="0012466B" w14:paraId="188712B6" w14:textId="77777777" w:rsidTr="0012466B">
        <w:tc>
          <w:tcPr>
            <w:tcW w:w="4508" w:type="dxa"/>
            <w:vAlign w:val="center"/>
          </w:tcPr>
          <w:p w14:paraId="64AA0D84" w14:textId="77777777" w:rsidR="0012466B" w:rsidRPr="0012466B" w:rsidRDefault="0012466B" w:rsidP="0012466B">
            <w:pPr>
              <w:spacing w:line="360" w:lineRule="auto"/>
              <w:rPr>
                <w:rFonts w:ascii="Arial" w:hAnsi="Arial" w:cs="Arial"/>
                <w:sz w:val="24"/>
                <w:szCs w:val="24"/>
              </w:rPr>
            </w:pPr>
            <w:r w:rsidRPr="0012466B">
              <w:rPr>
                <w:rFonts w:ascii="Arial" w:hAnsi="Arial" w:cs="Arial"/>
                <w:sz w:val="24"/>
                <w:szCs w:val="24"/>
              </w:rPr>
              <w:t>Extradition proceedings in Ireland</w:t>
            </w:r>
          </w:p>
        </w:tc>
        <w:tc>
          <w:tcPr>
            <w:tcW w:w="4508" w:type="dxa"/>
            <w:vAlign w:val="center"/>
          </w:tcPr>
          <w:p w14:paraId="6AD56B6D" w14:textId="77777777" w:rsidR="0012466B" w:rsidRPr="0012466B" w:rsidRDefault="0012466B" w:rsidP="0012466B">
            <w:pPr>
              <w:spacing w:line="360" w:lineRule="auto"/>
              <w:rPr>
                <w:rFonts w:ascii="Arial" w:hAnsi="Arial" w:cs="Arial"/>
                <w:sz w:val="24"/>
                <w:szCs w:val="24"/>
              </w:rPr>
            </w:pPr>
            <w:r w:rsidRPr="0012466B">
              <w:rPr>
                <w:rFonts w:ascii="Arial" w:hAnsi="Arial" w:cs="Arial"/>
                <w:i/>
                <w:iCs/>
                <w:sz w:val="24"/>
                <w:szCs w:val="24"/>
              </w:rPr>
              <w:t>Nolan v Carrick</w:t>
            </w:r>
            <w:r w:rsidRPr="0012466B">
              <w:rPr>
                <w:rFonts w:ascii="Arial" w:hAnsi="Arial" w:cs="Arial"/>
                <w:sz w:val="24"/>
                <w:szCs w:val="24"/>
              </w:rPr>
              <w:t xml:space="preserve"> [2013] IEHC 523</w:t>
            </w:r>
          </w:p>
        </w:tc>
      </w:tr>
    </w:tbl>
    <w:p w14:paraId="10E588FE" w14:textId="77777777" w:rsidR="0012466B" w:rsidRDefault="0012466B" w:rsidP="00967993">
      <w:pPr>
        <w:spacing w:line="360" w:lineRule="auto"/>
      </w:pPr>
    </w:p>
    <w:sectPr w:rsidR="0012466B">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E65F392" w16cex:dateUtc="2024-04-30T1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5B469F" w16cid:durableId="4E65F3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41"/>
    <w:rsid w:val="0012466B"/>
    <w:rsid w:val="001F71F7"/>
    <w:rsid w:val="00447E82"/>
    <w:rsid w:val="00463E89"/>
    <w:rsid w:val="00585548"/>
    <w:rsid w:val="006C6DAC"/>
    <w:rsid w:val="007749EA"/>
    <w:rsid w:val="007D3C49"/>
    <w:rsid w:val="007F332B"/>
    <w:rsid w:val="00896262"/>
    <w:rsid w:val="008C420F"/>
    <w:rsid w:val="00967993"/>
    <w:rsid w:val="00C37641"/>
    <w:rsid w:val="00D0151C"/>
    <w:rsid w:val="00E3748C"/>
    <w:rsid w:val="00EE0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1C2A"/>
  <w15:chartTrackingRefBased/>
  <w15:docId w15:val="{EEEAAC92-DF7C-4F74-8ADA-6D2DCEC0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641"/>
    <w:rPr>
      <w:kern w:val="2"/>
      <w14:ligatures w14:val="standardContextual"/>
    </w:rPr>
  </w:style>
  <w:style w:type="paragraph" w:styleId="Heading1">
    <w:name w:val="heading 1"/>
    <w:basedOn w:val="Normal"/>
    <w:next w:val="Normal"/>
    <w:link w:val="Heading1Char"/>
    <w:uiPriority w:val="9"/>
    <w:qFormat/>
    <w:rsid w:val="00C3764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641"/>
    <w:rPr>
      <w:rFonts w:asciiTheme="majorHAnsi" w:eastAsiaTheme="majorEastAsia" w:hAnsiTheme="majorHAnsi" w:cstheme="majorBidi"/>
      <w:color w:val="2E74B5" w:themeColor="accent1" w:themeShade="BF"/>
      <w:kern w:val="2"/>
      <w:sz w:val="40"/>
      <w:szCs w:val="40"/>
      <w14:ligatures w14:val="standardContextual"/>
    </w:rPr>
  </w:style>
  <w:style w:type="table" w:styleId="TableGrid">
    <w:name w:val="Table Grid"/>
    <w:rsid w:val="00C3764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searchterm">
    <w:name w:val="co_searchterm"/>
    <w:rsid w:val="00C37641"/>
  </w:style>
  <w:style w:type="paragraph" w:styleId="Title">
    <w:name w:val="Title"/>
    <w:basedOn w:val="Normal"/>
    <w:next w:val="Normal"/>
    <w:link w:val="TitleChar"/>
    <w:uiPriority w:val="10"/>
    <w:qFormat/>
    <w:rsid w:val="009679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993"/>
    <w:rPr>
      <w:rFonts w:asciiTheme="majorHAnsi" w:eastAsiaTheme="majorEastAsia" w:hAnsiTheme="majorHAnsi" w:cstheme="majorBidi"/>
      <w:spacing w:val="-10"/>
      <w:kern w:val="28"/>
      <w:sz w:val="56"/>
      <w:szCs w:val="56"/>
      <w14:ligatures w14:val="standardContextual"/>
    </w:rPr>
  </w:style>
  <w:style w:type="character" w:styleId="Hyperlink">
    <w:name w:val="Hyperlink"/>
    <w:uiPriority w:val="99"/>
    <w:unhideWhenUsed/>
    <w:rsid w:val="0012466B"/>
    <w:rPr>
      <w:color w:val="0000FF"/>
      <w:u w:val="single"/>
    </w:rPr>
  </w:style>
  <w:style w:type="paragraph" w:styleId="Revision">
    <w:name w:val="Revision"/>
    <w:hidden/>
    <w:uiPriority w:val="99"/>
    <w:semiHidden/>
    <w:rsid w:val="007D3C49"/>
    <w:pPr>
      <w:spacing w:after="0" w:line="240" w:lineRule="auto"/>
    </w:pPr>
    <w:rPr>
      <w:kern w:val="2"/>
      <w14:ligatures w14:val="standardContextual"/>
    </w:rPr>
  </w:style>
  <w:style w:type="character" w:styleId="CommentReference">
    <w:name w:val="annotation reference"/>
    <w:basedOn w:val="DefaultParagraphFont"/>
    <w:uiPriority w:val="99"/>
    <w:semiHidden/>
    <w:unhideWhenUsed/>
    <w:rsid w:val="00D0151C"/>
    <w:rPr>
      <w:sz w:val="16"/>
      <w:szCs w:val="16"/>
    </w:rPr>
  </w:style>
  <w:style w:type="paragraph" w:styleId="CommentText">
    <w:name w:val="annotation text"/>
    <w:basedOn w:val="Normal"/>
    <w:link w:val="CommentTextChar"/>
    <w:uiPriority w:val="99"/>
    <w:unhideWhenUsed/>
    <w:rsid w:val="00D0151C"/>
    <w:pPr>
      <w:spacing w:line="240" w:lineRule="auto"/>
    </w:pPr>
    <w:rPr>
      <w:sz w:val="20"/>
      <w:szCs w:val="20"/>
    </w:rPr>
  </w:style>
  <w:style w:type="character" w:customStyle="1" w:styleId="CommentTextChar">
    <w:name w:val="Comment Text Char"/>
    <w:basedOn w:val="DefaultParagraphFont"/>
    <w:link w:val="CommentText"/>
    <w:uiPriority w:val="99"/>
    <w:rsid w:val="00D0151C"/>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D0151C"/>
    <w:rPr>
      <w:b/>
      <w:bCs/>
    </w:rPr>
  </w:style>
  <w:style w:type="character" w:customStyle="1" w:styleId="CommentSubjectChar">
    <w:name w:val="Comment Subject Char"/>
    <w:basedOn w:val="CommentTextChar"/>
    <w:link w:val="CommentSubject"/>
    <w:uiPriority w:val="99"/>
    <w:semiHidden/>
    <w:rsid w:val="00D0151C"/>
    <w:rPr>
      <w:b/>
      <w:bCs/>
      <w:kern w:val="2"/>
      <w:sz w:val="20"/>
      <w:szCs w:val="20"/>
      <w14:ligatures w14:val="standardContextual"/>
    </w:rPr>
  </w:style>
  <w:style w:type="paragraph" w:styleId="BalloonText">
    <w:name w:val="Balloon Text"/>
    <w:basedOn w:val="Normal"/>
    <w:link w:val="BalloonTextChar"/>
    <w:uiPriority w:val="99"/>
    <w:semiHidden/>
    <w:unhideWhenUsed/>
    <w:rsid w:val="00447E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E82"/>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udiciaryni.uk/sites/judiciary/files/decisions/Practice%20Direction%2002-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Essex Partnership University NHS Foundation Trust</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Bhatti Abiha (R1L) Essex Partnership</dc:creator>
  <cp:keywords/>
  <dc:description/>
  <cp:lastModifiedBy>Bhatti Abiha (R1L) Essex Partnership</cp:lastModifiedBy>
  <cp:revision>2</cp:revision>
  <dcterms:created xsi:type="dcterms:W3CDTF">2024-05-01T15:15:00Z</dcterms:created>
  <dcterms:modified xsi:type="dcterms:W3CDTF">2024-05-01T15:15:00Z</dcterms:modified>
</cp:coreProperties>
</file>