
<file path=[Content_Types].xml><?xml version="1.0" encoding="utf-8"?>
<Types xmlns="http://schemas.openxmlformats.org/package/2006/content-types">
  <Default Extension="emf" ContentType="image/x-emf"/>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74AF8D" w14:textId="77777777" w:rsidR="00D40ED5" w:rsidRDefault="00D40ED5" w:rsidP="00D40ED5">
      <w:pPr>
        <w:jc w:val="center"/>
        <w:outlineLvl w:val="0"/>
        <w:rPr>
          <w:b/>
        </w:rPr>
      </w:pPr>
      <w:r>
        <w:rPr>
          <w:b/>
        </w:rPr>
        <w:t>Supplementary Material</w:t>
      </w:r>
    </w:p>
    <w:p w14:paraId="5E7FBB3E" w14:textId="77777777" w:rsidR="00D40ED5" w:rsidRDefault="00D40ED5" w:rsidP="00D40ED5">
      <w:pPr>
        <w:jc w:val="both"/>
        <w:outlineLvl w:val="0"/>
        <w:rPr>
          <w:b/>
        </w:rPr>
      </w:pPr>
    </w:p>
    <w:p w14:paraId="653F1F80" w14:textId="40143B0D" w:rsidR="00D40ED5" w:rsidRDefault="00D40ED5" w:rsidP="00D40ED5">
      <w:pPr>
        <w:jc w:val="both"/>
        <w:outlineLvl w:val="0"/>
        <w:rPr>
          <w:b/>
        </w:rPr>
      </w:pPr>
      <w:r w:rsidRPr="001B36ED">
        <w:rPr>
          <w:b/>
        </w:rPr>
        <w:t xml:space="preserve">Table </w:t>
      </w:r>
      <w:r>
        <w:rPr>
          <w:b/>
        </w:rPr>
        <w:t>A</w:t>
      </w:r>
      <w:r w:rsidRPr="001B36ED">
        <w:rPr>
          <w:b/>
        </w:rPr>
        <w:t xml:space="preserve">: Confounders of the Associations between Treatment Attendance </w:t>
      </w:r>
      <w:r>
        <w:rPr>
          <w:b/>
        </w:rPr>
        <w:t>on</w:t>
      </w:r>
      <w:r w:rsidRPr="001B36ED">
        <w:rPr>
          <w:b/>
        </w:rPr>
        <w:t xml:space="preserve"> </w:t>
      </w:r>
      <w:r>
        <w:rPr>
          <w:b/>
        </w:rPr>
        <w:t>Users’</w:t>
      </w:r>
      <w:r w:rsidRPr="001B36ED">
        <w:rPr>
          <w:b/>
        </w:rPr>
        <w:t xml:space="preserve"> Depression and AUD Symptom Severity</w:t>
      </w:r>
    </w:p>
    <w:p w14:paraId="41A85382" w14:textId="77777777" w:rsidR="00D40ED5" w:rsidRPr="001B36ED" w:rsidRDefault="00D40ED5" w:rsidP="00D40ED5">
      <w:pPr>
        <w:jc w:val="center"/>
        <w:outlineLvl w:val="0"/>
        <w:rPr>
          <w:b/>
        </w:rPr>
      </w:pPr>
      <w:r w:rsidRPr="003926D5">
        <w:rPr>
          <w:noProof/>
        </w:rPr>
        <w:drawing>
          <wp:inline distT="0" distB="0" distL="0" distR="0" wp14:anchorId="4A2488E4" wp14:editId="76A47282">
            <wp:extent cx="5943600" cy="2524125"/>
            <wp:effectExtent l="0" t="0" r="0" b="952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2524125"/>
                    </a:xfrm>
                    <a:prstGeom prst="rect">
                      <a:avLst/>
                    </a:prstGeom>
                    <a:noFill/>
                    <a:ln>
                      <a:noFill/>
                    </a:ln>
                  </pic:spPr>
                </pic:pic>
              </a:graphicData>
            </a:graphic>
          </wp:inline>
        </w:drawing>
      </w:r>
    </w:p>
    <w:p w14:paraId="71986C2E" w14:textId="77777777" w:rsidR="00D40ED5" w:rsidRDefault="00D40ED5" w:rsidP="00D40ED5">
      <w:pPr>
        <w:jc w:val="center"/>
        <w:outlineLvl w:val="0"/>
        <w:rPr>
          <w:b/>
        </w:rPr>
      </w:pPr>
    </w:p>
    <w:p w14:paraId="7F7B0543" w14:textId="77777777" w:rsidR="00D40ED5" w:rsidRPr="00492798" w:rsidRDefault="00D40ED5" w:rsidP="00D40ED5">
      <w:pPr>
        <w:rPr>
          <w:b/>
          <w:bCs/>
        </w:rPr>
      </w:pPr>
      <w:r w:rsidRPr="00492798">
        <w:rPr>
          <w:b/>
          <w:bCs/>
        </w:rPr>
        <w:t>Table B: Analysis of the difference between sample analyzed at baseline, 3-month, and 12-month follow-up in respective cohorts</w:t>
      </w:r>
    </w:p>
    <w:p w14:paraId="2D85D267" w14:textId="77777777" w:rsidR="00D40ED5" w:rsidRDefault="00D40ED5" w:rsidP="00D40ED5"/>
    <w:tbl>
      <w:tblPr>
        <w:tblStyle w:val="TableGrid"/>
        <w:tblW w:w="0" w:type="auto"/>
        <w:tblLook w:val="04A0" w:firstRow="1" w:lastRow="0" w:firstColumn="1" w:lastColumn="0" w:noHBand="0" w:noVBand="1"/>
      </w:tblPr>
      <w:tblGrid>
        <w:gridCol w:w="2155"/>
        <w:gridCol w:w="7195"/>
      </w:tblGrid>
      <w:tr w:rsidR="00D40ED5" w14:paraId="414DBF9F" w14:textId="77777777" w:rsidTr="003620D0">
        <w:tc>
          <w:tcPr>
            <w:tcW w:w="2155" w:type="dxa"/>
          </w:tcPr>
          <w:p w14:paraId="01E58506" w14:textId="77777777" w:rsidR="00D40ED5" w:rsidRDefault="00D40ED5" w:rsidP="003620D0">
            <w:pPr>
              <w:rPr>
                <w:b/>
                <w:bCs/>
              </w:rPr>
            </w:pPr>
          </w:p>
          <w:p w14:paraId="5D2CF538" w14:textId="77777777" w:rsidR="00D40ED5" w:rsidRPr="00492798" w:rsidRDefault="00D40ED5" w:rsidP="003620D0">
            <w:pPr>
              <w:rPr>
                <w:b/>
                <w:bCs/>
              </w:rPr>
            </w:pPr>
            <w:r w:rsidRPr="00492798">
              <w:rPr>
                <w:b/>
                <w:bCs/>
              </w:rPr>
              <w:t>Depression Cohort</w:t>
            </w:r>
          </w:p>
        </w:tc>
        <w:tc>
          <w:tcPr>
            <w:tcW w:w="7195" w:type="dxa"/>
          </w:tcPr>
          <w:p w14:paraId="20C84E79" w14:textId="77777777" w:rsidR="00D40ED5" w:rsidRDefault="00D40ED5" w:rsidP="003620D0">
            <w:r w:rsidRPr="001B36ED">
              <w:t xml:space="preserve">By midline assessment (at 3-month follow up), </w:t>
            </w:r>
            <w:r w:rsidRPr="001B36ED">
              <w:rPr>
                <w:i/>
              </w:rPr>
              <w:t>n</w:t>
            </w:r>
            <w:r w:rsidRPr="001B36ED">
              <w:t xml:space="preserve">=18 (6.97%) </w:t>
            </w:r>
            <w:proofErr w:type="gramStart"/>
            <w:r w:rsidRPr="001B36ED">
              <w:t>were</w:t>
            </w:r>
            <w:proofErr w:type="gramEnd"/>
            <w:r w:rsidRPr="001B36ED">
              <w:t xml:space="preserve"> lost to follow up. On an average, those who were lost to follow up were about 6 years younger (</w:t>
            </w:r>
            <w:r w:rsidRPr="001B36ED">
              <w:rPr>
                <w:i/>
              </w:rPr>
              <w:t>p</w:t>
            </w:r>
            <w:r w:rsidRPr="001B36ED">
              <w:t>=0.04) and were majorly Hindu (</w:t>
            </w:r>
            <w:r w:rsidRPr="001B36ED">
              <w:rPr>
                <w:i/>
              </w:rPr>
              <w:t>p=</w:t>
            </w:r>
            <w:r w:rsidRPr="001B36ED">
              <w:t>0.04). A majority of these also have had at least primary education, were employed, married, belonged to the lowest wealth category, and had slightly lower levels of social support, however, these differences were not statistically significant</w:t>
            </w:r>
            <w:r>
              <w:t>.</w:t>
            </w:r>
          </w:p>
          <w:p w14:paraId="3F773C5E" w14:textId="77777777" w:rsidR="00D40ED5" w:rsidRDefault="00D40ED5" w:rsidP="003620D0"/>
          <w:p w14:paraId="5C53B5C4" w14:textId="77777777" w:rsidR="00D40ED5" w:rsidRDefault="00D40ED5" w:rsidP="003620D0">
            <w:r>
              <w:t xml:space="preserve">By endline assessment (at 12-month follow up), n=35 (13.56%) </w:t>
            </w:r>
            <w:proofErr w:type="gramStart"/>
            <w:r>
              <w:t>were</w:t>
            </w:r>
            <w:proofErr w:type="gramEnd"/>
            <w:r>
              <w:t xml:space="preserve"> lost to follow up since baseline. Compared to those who were analyzed at endline, those lot to follow up were, on an average, about 7 years younger (p=0.03), had at least primary education (p=0.04), and were Hindus (p=0.01). The lost to follow up group was also majorly female, Hindu, and belonged to the lowest wealth category (p&gt;0.05, however).</w:t>
            </w:r>
          </w:p>
          <w:p w14:paraId="12711552" w14:textId="77777777" w:rsidR="00D40ED5" w:rsidRDefault="00D40ED5" w:rsidP="003620D0"/>
          <w:p w14:paraId="174B9A99" w14:textId="77777777" w:rsidR="00D40ED5" w:rsidRDefault="00D40ED5" w:rsidP="003620D0">
            <w:r>
              <w:t>The mean PHQ-scores among those analyzed at baseline, midline, and endline remained relatively the same (14.37 at baseline (SD=2.08; n=258), 14.36 at midline (SD=3.08; n=240), and 14.39 (SD=3.05; n=223)).</w:t>
            </w:r>
          </w:p>
          <w:p w14:paraId="4A768EB6" w14:textId="77777777" w:rsidR="00D40ED5" w:rsidRDefault="00D40ED5" w:rsidP="003620D0"/>
        </w:tc>
      </w:tr>
      <w:tr w:rsidR="00D40ED5" w14:paraId="1D258E81" w14:textId="77777777" w:rsidTr="003620D0">
        <w:tc>
          <w:tcPr>
            <w:tcW w:w="2155" w:type="dxa"/>
          </w:tcPr>
          <w:p w14:paraId="5EBD18FE" w14:textId="77777777" w:rsidR="00D40ED5" w:rsidRDefault="00D40ED5" w:rsidP="003620D0">
            <w:pPr>
              <w:rPr>
                <w:b/>
                <w:bCs/>
              </w:rPr>
            </w:pPr>
          </w:p>
          <w:p w14:paraId="1774A723" w14:textId="77777777" w:rsidR="00D40ED5" w:rsidRPr="00492798" w:rsidRDefault="00D40ED5" w:rsidP="003620D0">
            <w:pPr>
              <w:rPr>
                <w:b/>
                <w:bCs/>
              </w:rPr>
            </w:pPr>
            <w:r w:rsidRPr="00492798">
              <w:rPr>
                <w:b/>
                <w:bCs/>
              </w:rPr>
              <w:t>AUD Cohort</w:t>
            </w:r>
          </w:p>
        </w:tc>
        <w:tc>
          <w:tcPr>
            <w:tcW w:w="7195" w:type="dxa"/>
          </w:tcPr>
          <w:p w14:paraId="713C9B8A" w14:textId="77777777" w:rsidR="00D40ED5" w:rsidRDefault="00D40ED5" w:rsidP="003620D0">
            <w:r>
              <w:t xml:space="preserve">By midline assessment (at 3-month follow up), n=14 (6.8%) </w:t>
            </w:r>
            <w:proofErr w:type="gramStart"/>
            <w:r>
              <w:t>were</w:t>
            </w:r>
            <w:proofErr w:type="gramEnd"/>
            <w:r>
              <w:t xml:space="preserve"> lost to follow up. There were no statistically significant differences as compared to those who stayed in the study, however, those lost to </w:t>
            </w:r>
            <w:r>
              <w:lastRenderedPageBreak/>
              <w:t>follow up were younger, employed, Hindus, married, and belonged to the lowest wealth category.</w:t>
            </w:r>
          </w:p>
          <w:p w14:paraId="3D27F551" w14:textId="77777777" w:rsidR="00D40ED5" w:rsidRDefault="00D40ED5" w:rsidP="003620D0"/>
          <w:p w14:paraId="40FB0BC1" w14:textId="77777777" w:rsidR="00D40ED5" w:rsidRDefault="00D40ED5" w:rsidP="003620D0">
            <w:r>
              <w:t xml:space="preserve">Between baseline and endline assessment (a 12-month follow up), n=30 (14.7%) </w:t>
            </w:r>
            <w:proofErr w:type="gramStart"/>
            <w:r>
              <w:t>were</w:t>
            </w:r>
            <w:proofErr w:type="gramEnd"/>
            <w:r>
              <w:t xml:space="preserve"> lost to follow up. Although not statistically different, those who were lost to follow up have had at least primary education, were employed, Hindus, married, and belonged to the lowest wealth category.</w:t>
            </w:r>
          </w:p>
          <w:p w14:paraId="79FEB118" w14:textId="77777777" w:rsidR="00D40ED5" w:rsidRDefault="00D40ED5" w:rsidP="003620D0"/>
          <w:p w14:paraId="3ADCD896" w14:textId="77777777" w:rsidR="00D40ED5" w:rsidRDefault="00D40ED5" w:rsidP="003620D0">
            <w:r>
              <w:t>The mean AUDIT scores among those at baseline and at endline were similar (18.38 at baseline (SD=7.79; n=204), 18.16 at endline (SD=7.8; n=174).</w:t>
            </w:r>
          </w:p>
          <w:p w14:paraId="456DB780" w14:textId="77777777" w:rsidR="00D40ED5" w:rsidRDefault="00D40ED5" w:rsidP="003620D0"/>
        </w:tc>
      </w:tr>
    </w:tbl>
    <w:p w14:paraId="44D8BF02" w14:textId="77777777" w:rsidR="00D40ED5" w:rsidRDefault="00D40ED5" w:rsidP="00D40ED5"/>
    <w:p w14:paraId="0FFD3A92" w14:textId="60BE0782" w:rsidR="00D40ED5" w:rsidRDefault="005710F3" w:rsidP="00B25FE0">
      <w:pPr>
        <w:rPr>
          <w:b/>
        </w:rPr>
      </w:pPr>
      <w:r>
        <w:rPr>
          <w:b/>
        </w:rPr>
        <w:t>Table C: Justification for Categorization of HAP and CAP Treatment Session Groups</w:t>
      </w:r>
    </w:p>
    <w:p w14:paraId="586E924D" w14:textId="77777777" w:rsidR="005710F3" w:rsidRDefault="005710F3" w:rsidP="00B25FE0">
      <w:pPr>
        <w:rPr>
          <w:b/>
        </w:rPr>
      </w:pPr>
    </w:p>
    <w:tbl>
      <w:tblPr>
        <w:tblStyle w:val="TableGrid"/>
        <w:tblW w:w="0" w:type="auto"/>
        <w:tblLook w:val="04A0" w:firstRow="1" w:lastRow="0" w:firstColumn="1" w:lastColumn="0" w:noHBand="0" w:noVBand="1"/>
      </w:tblPr>
      <w:tblGrid>
        <w:gridCol w:w="2875"/>
        <w:gridCol w:w="6475"/>
      </w:tblGrid>
      <w:tr w:rsidR="005710F3" w14:paraId="6292D175" w14:textId="77777777" w:rsidTr="000A722D">
        <w:tc>
          <w:tcPr>
            <w:tcW w:w="2875" w:type="dxa"/>
          </w:tcPr>
          <w:p w14:paraId="5E737874" w14:textId="3142E301" w:rsidR="005710F3" w:rsidRDefault="005710F3" w:rsidP="00B25FE0">
            <w:pPr>
              <w:rPr>
                <w:b/>
              </w:rPr>
            </w:pPr>
            <w:r>
              <w:rPr>
                <w:b/>
              </w:rPr>
              <w:t>HAP Attendance Groups (No, Low, and High)</w:t>
            </w:r>
          </w:p>
        </w:tc>
        <w:tc>
          <w:tcPr>
            <w:tcW w:w="6475" w:type="dxa"/>
          </w:tcPr>
          <w:p w14:paraId="3EE2D1EE" w14:textId="3C0ECF37" w:rsidR="007D6229" w:rsidRPr="007D6229" w:rsidRDefault="007D6229" w:rsidP="007D6229">
            <w:pPr>
              <w:rPr>
                <w:bCs/>
              </w:rPr>
            </w:pPr>
            <w:r w:rsidRPr="007D6229">
              <w:rPr>
                <w:bCs/>
              </w:rPr>
              <w:t xml:space="preserve">In the depression cohort, the maximum number of HAP sessions one could attend was 8, however, treatment could be wrapped up in 4 sessions. Figure </w:t>
            </w:r>
            <w:r w:rsidR="003E28E9">
              <w:rPr>
                <w:bCs/>
              </w:rPr>
              <w:t>1 in the manuscript</w:t>
            </w:r>
            <w:r w:rsidRPr="007D6229">
              <w:rPr>
                <w:bCs/>
              </w:rPr>
              <w:t xml:space="preserve"> shows the distribution of depression cohort participants’ HAP session attendance. Between enrollment and 3-month follow-up, most participants either attended no sessions (n=86) or attended 1 session of HAP (n=92), while only some attended 2 or more sessions (n=62). And hence, in determining attendance groups, there appeared a natural break between those who attended no sessions, attended 1 session, or attended 2 or more sessions. Those who attended no sessions vs those who attended 1 session were deemed to be different groups conceptually since the former never had the opportunity to continue attending treatment sessions. However, t-tests and chi-squared tests were carried out to assess if these two groups were different. In addition, t-tests and chi-squared tests were also used to compare if those who attended 1 session vs those who attended 2 or more sessions were systematically different or could be collapsed into one category together.</w:t>
            </w:r>
          </w:p>
          <w:p w14:paraId="0EE0D688" w14:textId="1E9C7460" w:rsidR="005710F3" w:rsidRPr="000A722D" w:rsidRDefault="007D6229" w:rsidP="007D6229">
            <w:pPr>
              <w:rPr>
                <w:bCs/>
              </w:rPr>
            </w:pPr>
            <w:r w:rsidRPr="007D6229">
              <w:rPr>
                <w:bCs/>
              </w:rPr>
              <w:t xml:space="preserve">As compared those who attended 1 session, those who attended no sessions had higher PHQ-9 scores, higher internalized stigma scores, and a higher disability score. Furthermore, those who attended 2 or more sessions (as compared to those who attended 1 session) had a higher baseline PHQ-9 score and internalized stigma </w:t>
            </w:r>
            <w:proofErr w:type="gramStart"/>
            <w:r w:rsidRPr="007D6229">
              <w:rPr>
                <w:bCs/>
              </w:rPr>
              <w:t>score, and</w:t>
            </w:r>
            <w:proofErr w:type="gramEnd"/>
            <w:r w:rsidRPr="007D6229">
              <w:rPr>
                <w:bCs/>
              </w:rPr>
              <w:t xml:space="preserve"> were using psychotropic medications. Hence, we found statistical evidence to create three attendance categories for HAP, namely, no attendance, low attendance (1 session), and high attendance (2 or more sessions).</w:t>
            </w:r>
          </w:p>
        </w:tc>
      </w:tr>
      <w:tr w:rsidR="005710F3" w14:paraId="2167F62A" w14:textId="77777777" w:rsidTr="000A722D">
        <w:tc>
          <w:tcPr>
            <w:tcW w:w="2875" w:type="dxa"/>
          </w:tcPr>
          <w:p w14:paraId="357A5C3B" w14:textId="5036A03E" w:rsidR="005710F3" w:rsidRDefault="005710F3" w:rsidP="00B25FE0">
            <w:pPr>
              <w:rPr>
                <w:b/>
              </w:rPr>
            </w:pPr>
            <w:r>
              <w:rPr>
                <w:b/>
              </w:rPr>
              <w:t>CAP Attendance Groups (No, Some)</w:t>
            </w:r>
          </w:p>
        </w:tc>
        <w:tc>
          <w:tcPr>
            <w:tcW w:w="6475" w:type="dxa"/>
          </w:tcPr>
          <w:p w14:paraId="32311E66" w14:textId="1413331C" w:rsidR="005710F3" w:rsidRDefault="003E28E9" w:rsidP="00B25FE0">
            <w:pPr>
              <w:rPr>
                <w:b/>
              </w:rPr>
            </w:pPr>
            <w:r w:rsidRPr="001B36ED">
              <w:t xml:space="preserve">In the AUD cohort on the other hand, the maximum number of CAP sessions was 4 while treatment could be wrapped up in 1 session. Figure </w:t>
            </w:r>
            <w:r>
              <w:t>6</w:t>
            </w:r>
            <w:r w:rsidRPr="001B36ED">
              <w:t xml:space="preserve"> shows the distribution of participants’ CAP </w:t>
            </w:r>
            <w:r w:rsidRPr="001B36ED">
              <w:lastRenderedPageBreak/>
              <w:t>session attendance. Most participants attended no sessions (</w:t>
            </w:r>
            <w:r w:rsidRPr="001B36ED">
              <w:rPr>
                <w:i/>
              </w:rPr>
              <w:t>n</w:t>
            </w:r>
            <w:r w:rsidRPr="001B36ED">
              <w:t xml:space="preserve">=94), </w:t>
            </w:r>
            <w:r w:rsidRPr="001B36ED">
              <w:rPr>
                <w:i/>
              </w:rPr>
              <w:t>n=</w:t>
            </w:r>
            <w:r w:rsidRPr="001B36ED">
              <w:t xml:space="preserve">56 attended 1 session, and </w:t>
            </w:r>
            <w:r w:rsidRPr="001B36ED">
              <w:rPr>
                <w:i/>
              </w:rPr>
              <w:t>n</w:t>
            </w:r>
            <w:r w:rsidRPr="001B36ED">
              <w:t xml:space="preserve">=40 attended 2 or more sessions. Out of these 40, </w:t>
            </w:r>
            <w:r w:rsidRPr="001B36ED">
              <w:rPr>
                <w:i/>
              </w:rPr>
              <w:t>n</w:t>
            </w:r>
            <w:r w:rsidRPr="001B36ED">
              <w:t>=3 participants reported attending 5 sessions which is more than the maximum number of CAP sessions one could receive but the PRIME India team clarified that if participants needed, they could continue receiving treatment/attending sessions.</w:t>
            </w:r>
            <w:r w:rsidRPr="001B36ED">
              <w:fldChar w:fldCharType="begin"/>
            </w:r>
            <w:r>
              <w:instrText xml:space="preserve"> ADDIN EN.CITE &lt;EndNote&gt;&lt;Cite&gt;&lt;Author&gt;Garman&lt;/Author&gt;&lt;Year&gt;2020&lt;/Year&gt;&lt;RecNum&gt;524&lt;/RecNum&gt;&lt;DisplayText&gt;&lt;style face="superscript"&gt;83&lt;/style&gt;&lt;/DisplayText&gt;&lt;record&gt;&lt;rec-number&gt;524&lt;/rec-number&gt;&lt;foreign-keys&gt;&lt;key app="EN" db-id="5esxa0x0702tdkesrpvxdspaxsz5xstsezap" timestamp="1626139216" guid="9a9d0c09-14e8-431d-a87a-46aaabc3fe7c"&gt;524&lt;/key&gt;&lt;/foreign-keys&gt;&lt;ref-type name="Personal Communication"&gt;26&lt;/ref-type&gt;&lt;contributors&gt;&lt;authors&gt;&lt;author&gt;Garman, E.&lt;/author&gt;&lt;/authors&gt;&lt;secondary-authors&gt;&lt;author&gt;Dev, S.&lt;/author&gt;&lt;/secondary-authors&gt;&lt;/contributors&gt;&lt;titles&gt;&lt;/titles&gt;&lt;dates&gt;&lt;year&gt;2020&lt;/year&gt;&lt;/dates&gt;&lt;urls&gt;&lt;/urls&gt;&lt;/record&gt;&lt;/Cite&gt;&lt;/EndNote&gt;</w:instrText>
            </w:r>
            <w:r w:rsidRPr="001B36ED">
              <w:fldChar w:fldCharType="separate"/>
            </w:r>
            <w:r w:rsidRPr="00AB3805">
              <w:rPr>
                <w:noProof/>
                <w:vertAlign w:val="superscript"/>
              </w:rPr>
              <w:t>83</w:t>
            </w:r>
            <w:r w:rsidRPr="001B36ED">
              <w:fldChar w:fldCharType="end"/>
            </w:r>
            <w:r w:rsidRPr="001B36ED">
              <w:t xml:space="preserve"> On comparing those who attended 2 or more sessions to those who attended 1 session, the former had a higher disability score. Whereas those who attended no sessions, as compared to those who attended 1 session, had a higher disability score and were using psychotropic medications. Using this evidence and given the fact that CAP could be wrapped up in one session, two attendance categories were created for CAP, namely, no attendance and some attendance (1 or more sessions).</w:t>
            </w:r>
          </w:p>
        </w:tc>
      </w:tr>
    </w:tbl>
    <w:p w14:paraId="445AFEBA" w14:textId="77777777" w:rsidR="005710F3" w:rsidRDefault="005710F3" w:rsidP="00B25FE0">
      <w:pPr>
        <w:rPr>
          <w:b/>
        </w:rPr>
      </w:pPr>
    </w:p>
    <w:p w14:paraId="154A1035" w14:textId="77777777" w:rsidR="005710F3" w:rsidRDefault="005710F3" w:rsidP="00B25FE0">
      <w:pPr>
        <w:rPr>
          <w:b/>
        </w:rPr>
      </w:pPr>
    </w:p>
    <w:p w14:paraId="25AADD1C" w14:textId="308F996A" w:rsidR="00B25FE0" w:rsidRPr="001B36ED" w:rsidRDefault="00B25FE0" w:rsidP="00B25FE0">
      <w:pPr>
        <w:rPr>
          <w:b/>
        </w:rPr>
      </w:pPr>
      <w:r w:rsidRPr="001B36ED">
        <w:rPr>
          <w:b/>
        </w:rPr>
        <w:t xml:space="preserve">Figure </w:t>
      </w:r>
      <w:r w:rsidR="008020DD">
        <w:rPr>
          <w:b/>
        </w:rPr>
        <w:t>1</w:t>
      </w:r>
      <w:r w:rsidRPr="001B36ED">
        <w:rPr>
          <w:b/>
        </w:rPr>
        <w:t xml:space="preserve">: Overlap </w:t>
      </w:r>
      <w:r>
        <w:rPr>
          <w:b/>
        </w:rPr>
        <w:t>in Propensity Scores</w:t>
      </w:r>
      <w:r w:rsidRPr="001B36ED">
        <w:rPr>
          <w:b/>
        </w:rPr>
        <w:t xml:space="preserve"> for Treatment Attendance Groups (No, Low, and High) in Depression Cohort</w:t>
      </w:r>
    </w:p>
    <w:p w14:paraId="26F14A5F" w14:textId="77777777" w:rsidR="00B25FE0" w:rsidRPr="001B36ED" w:rsidRDefault="00B25FE0" w:rsidP="00B25FE0">
      <w:pPr>
        <w:jc w:val="center"/>
      </w:pPr>
      <w:r w:rsidRPr="001B36ED">
        <w:rPr>
          <w:noProof/>
        </w:rPr>
        <w:lastRenderedPageBreak/>
        <w:drawing>
          <wp:inline distT="0" distB="0" distL="0" distR="0" wp14:anchorId="0786C012" wp14:editId="57832F9B">
            <wp:extent cx="5684838" cy="5540895"/>
            <wp:effectExtent l="0" t="0" r="508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93446" cy="5549285"/>
                    </a:xfrm>
                    <a:prstGeom prst="rect">
                      <a:avLst/>
                    </a:prstGeom>
                  </pic:spPr>
                </pic:pic>
              </a:graphicData>
            </a:graphic>
          </wp:inline>
        </w:drawing>
      </w:r>
    </w:p>
    <w:p w14:paraId="11BEF821" w14:textId="33E547E9" w:rsidR="00B25FE0" w:rsidRPr="001B36ED" w:rsidRDefault="00B25FE0" w:rsidP="00B25FE0">
      <w:pPr>
        <w:rPr>
          <w:sz w:val="20"/>
          <w:szCs w:val="20"/>
        </w:rPr>
      </w:pPr>
      <w:r w:rsidRPr="001B36ED">
        <w:rPr>
          <w:sz w:val="20"/>
          <w:szCs w:val="20"/>
        </w:rPr>
        <w:t>*Data from first 10 imputations out of 20.</w:t>
      </w:r>
    </w:p>
    <w:p w14:paraId="47298316" w14:textId="77777777" w:rsidR="00B25FE0" w:rsidRDefault="00B25FE0">
      <w:pPr>
        <w:spacing w:after="160" w:line="259" w:lineRule="auto"/>
        <w:rPr>
          <w:b/>
        </w:rPr>
      </w:pPr>
      <w:r>
        <w:rPr>
          <w:b/>
        </w:rPr>
        <w:br w:type="page"/>
      </w:r>
    </w:p>
    <w:p w14:paraId="6282638A" w14:textId="71C735C1" w:rsidR="008020DD" w:rsidRPr="001B36ED" w:rsidRDefault="008020DD" w:rsidP="008020DD">
      <w:pPr>
        <w:rPr>
          <w:b/>
        </w:rPr>
      </w:pPr>
      <w:r w:rsidRPr="001B36ED">
        <w:rPr>
          <w:b/>
        </w:rPr>
        <w:lastRenderedPageBreak/>
        <w:t xml:space="preserve">Figure </w:t>
      </w:r>
      <w:r w:rsidR="007F3567">
        <w:rPr>
          <w:b/>
        </w:rPr>
        <w:t>2</w:t>
      </w:r>
      <w:r w:rsidRPr="001B36ED">
        <w:rPr>
          <w:b/>
        </w:rPr>
        <w:t>: Standardized Differences in Attendance Confounders between No vs Low Attendance Groups</w:t>
      </w:r>
      <w:r>
        <w:rPr>
          <w:b/>
        </w:rPr>
        <w:t xml:space="preserve"> in Depression Cohort</w:t>
      </w:r>
    </w:p>
    <w:p w14:paraId="3F318378" w14:textId="77777777" w:rsidR="008020DD" w:rsidRPr="001B36ED" w:rsidRDefault="008020DD" w:rsidP="008020DD">
      <w:pPr>
        <w:jc w:val="center"/>
        <w:rPr>
          <w:b/>
        </w:rPr>
      </w:pPr>
      <w:r w:rsidRPr="001B36ED">
        <w:rPr>
          <w:noProof/>
        </w:rPr>
        <w:drawing>
          <wp:inline distT="0" distB="0" distL="0" distR="0" wp14:anchorId="74A418C8" wp14:editId="5657967C">
            <wp:extent cx="4893599" cy="3313181"/>
            <wp:effectExtent l="0" t="0" r="8890" b="0"/>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t="9573"/>
                    <a:stretch/>
                  </pic:blipFill>
                  <pic:spPr bwMode="auto">
                    <a:xfrm>
                      <a:off x="0" y="0"/>
                      <a:ext cx="4907140" cy="3322349"/>
                    </a:xfrm>
                    <a:prstGeom prst="rect">
                      <a:avLst/>
                    </a:prstGeom>
                    <a:ln>
                      <a:noFill/>
                    </a:ln>
                    <a:extLst>
                      <a:ext uri="{53640926-AAD7-44D8-BBD7-CCE9431645EC}">
                        <a14:shadowObscured xmlns:a14="http://schemas.microsoft.com/office/drawing/2010/main"/>
                      </a:ext>
                    </a:extLst>
                  </pic:spPr>
                </pic:pic>
              </a:graphicData>
            </a:graphic>
          </wp:inline>
        </w:drawing>
      </w:r>
    </w:p>
    <w:p w14:paraId="685F1660" w14:textId="77777777" w:rsidR="008020DD" w:rsidRDefault="008020DD">
      <w:pPr>
        <w:spacing w:after="160" w:line="259" w:lineRule="auto"/>
        <w:rPr>
          <w:b/>
        </w:rPr>
      </w:pPr>
      <w:r>
        <w:rPr>
          <w:b/>
        </w:rPr>
        <w:br w:type="page"/>
      </w:r>
    </w:p>
    <w:p w14:paraId="698D605E" w14:textId="2324E259" w:rsidR="008020DD" w:rsidRPr="001B36ED" w:rsidRDefault="008020DD" w:rsidP="008020DD">
      <w:pPr>
        <w:jc w:val="both"/>
        <w:rPr>
          <w:b/>
        </w:rPr>
      </w:pPr>
      <w:r w:rsidRPr="001B36ED">
        <w:rPr>
          <w:b/>
        </w:rPr>
        <w:lastRenderedPageBreak/>
        <w:t xml:space="preserve">Figure </w:t>
      </w:r>
      <w:r w:rsidR="007F3567">
        <w:rPr>
          <w:b/>
        </w:rPr>
        <w:t>3</w:t>
      </w:r>
      <w:r w:rsidRPr="001B36ED">
        <w:rPr>
          <w:b/>
        </w:rPr>
        <w:t>: Standardized Differences in Attendance Confounders between No vs High Attendance Groups</w:t>
      </w:r>
      <w:r>
        <w:rPr>
          <w:b/>
        </w:rPr>
        <w:t xml:space="preserve"> in Depression Cohort </w:t>
      </w:r>
    </w:p>
    <w:p w14:paraId="6FB6E4D1" w14:textId="77777777" w:rsidR="008020DD" w:rsidRPr="001B36ED" w:rsidRDefault="008020DD" w:rsidP="008020DD">
      <w:pPr>
        <w:jc w:val="center"/>
        <w:rPr>
          <w:b/>
        </w:rPr>
      </w:pPr>
      <w:r w:rsidRPr="001B36ED">
        <w:rPr>
          <w:noProof/>
        </w:rPr>
        <w:drawing>
          <wp:inline distT="0" distB="0" distL="0" distR="0" wp14:anchorId="7934E730" wp14:editId="7D961BF6">
            <wp:extent cx="4963809" cy="3358804"/>
            <wp:effectExtent l="0" t="0" r="0" b="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t="9579"/>
                    <a:stretch/>
                  </pic:blipFill>
                  <pic:spPr bwMode="auto">
                    <a:xfrm>
                      <a:off x="0" y="0"/>
                      <a:ext cx="5018518" cy="3395823"/>
                    </a:xfrm>
                    <a:prstGeom prst="rect">
                      <a:avLst/>
                    </a:prstGeom>
                    <a:ln>
                      <a:noFill/>
                    </a:ln>
                    <a:extLst>
                      <a:ext uri="{53640926-AAD7-44D8-BBD7-CCE9431645EC}">
                        <a14:shadowObscured xmlns:a14="http://schemas.microsoft.com/office/drawing/2010/main"/>
                      </a:ext>
                    </a:extLst>
                  </pic:spPr>
                </pic:pic>
              </a:graphicData>
            </a:graphic>
          </wp:inline>
        </w:drawing>
      </w:r>
    </w:p>
    <w:p w14:paraId="56750AA1" w14:textId="77777777" w:rsidR="008020DD" w:rsidRPr="001B36ED" w:rsidRDefault="008020DD" w:rsidP="008020DD">
      <w:pPr>
        <w:jc w:val="center"/>
        <w:rPr>
          <w:b/>
        </w:rPr>
      </w:pPr>
    </w:p>
    <w:p w14:paraId="2154BBC5" w14:textId="77777777" w:rsidR="008020DD" w:rsidRDefault="008020DD">
      <w:pPr>
        <w:spacing w:after="160" w:line="259" w:lineRule="auto"/>
        <w:rPr>
          <w:b/>
        </w:rPr>
      </w:pPr>
      <w:r>
        <w:rPr>
          <w:b/>
        </w:rPr>
        <w:br w:type="page"/>
      </w:r>
    </w:p>
    <w:p w14:paraId="6325A11F" w14:textId="471C0772" w:rsidR="008020DD" w:rsidRPr="001B36ED" w:rsidRDefault="008020DD" w:rsidP="008020DD">
      <w:pPr>
        <w:rPr>
          <w:b/>
        </w:rPr>
      </w:pPr>
      <w:r w:rsidRPr="001B36ED">
        <w:rPr>
          <w:b/>
        </w:rPr>
        <w:lastRenderedPageBreak/>
        <w:t xml:space="preserve">Figure </w:t>
      </w:r>
      <w:r w:rsidR="007F3567">
        <w:rPr>
          <w:b/>
        </w:rPr>
        <w:t>4</w:t>
      </w:r>
      <w:r w:rsidRPr="001B36ED">
        <w:rPr>
          <w:b/>
        </w:rPr>
        <w:t>: Standardized Differences in Attendance Confounders between Low vs High Attendance Groups</w:t>
      </w:r>
      <w:r>
        <w:rPr>
          <w:b/>
        </w:rPr>
        <w:t xml:space="preserve"> in Depression Cohort</w:t>
      </w:r>
    </w:p>
    <w:p w14:paraId="35A30BE9" w14:textId="77777777" w:rsidR="008020DD" w:rsidRPr="001B36ED" w:rsidRDefault="008020DD" w:rsidP="008020DD">
      <w:pPr>
        <w:jc w:val="center"/>
        <w:rPr>
          <w:b/>
        </w:rPr>
      </w:pPr>
      <w:r w:rsidRPr="001B36ED">
        <w:rPr>
          <w:noProof/>
        </w:rPr>
        <w:drawing>
          <wp:inline distT="0" distB="0" distL="0" distR="0" wp14:anchorId="02BBB291" wp14:editId="75BE2470">
            <wp:extent cx="4969403" cy="3358804"/>
            <wp:effectExtent l="0" t="0" r="9525"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t="9589"/>
                    <a:stretch/>
                  </pic:blipFill>
                  <pic:spPr bwMode="auto">
                    <a:xfrm>
                      <a:off x="0" y="0"/>
                      <a:ext cx="5025734" cy="3396878"/>
                    </a:xfrm>
                    <a:prstGeom prst="rect">
                      <a:avLst/>
                    </a:prstGeom>
                    <a:ln>
                      <a:noFill/>
                    </a:ln>
                    <a:extLst>
                      <a:ext uri="{53640926-AAD7-44D8-BBD7-CCE9431645EC}">
                        <a14:shadowObscured xmlns:a14="http://schemas.microsoft.com/office/drawing/2010/main"/>
                      </a:ext>
                    </a:extLst>
                  </pic:spPr>
                </pic:pic>
              </a:graphicData>
            </a:graphic>
          </wp:inline>
        </w:drawing>
      </w:r>
    </w:p>
    <w:p w14:paraId="70A492E4" w14:textId="05F9650D" w:rsidR="008020DD" w:rsidRDefault="008020DD" w:rsidP="007F3567">
      <w:pPr>
        <w:spacing w:after="160" w:line="259" w:lineRule="auto"/>
        <w:rPr>
          <w:b/>
        </w:rPr>
      </w:pPr>
      <w:r>
        <w:rPr>
          <w:b/>
        </w:rPr>
        <w:br w:type="page"/>
      </w:r>
    </w:p>
    <w:p w14:paraId="52FB2B73" w14:textId="25B998AB" w:rsidR="008020DD" w:rsidRPr="007F3567" w:rsidRDefault="008020DD" w:rsidP="007F3567">
      <w:pPr>
        <w:spacing w:after="160" w:line="259" w:lineRule="auto"/>
      </w:pPr>
      <w:r w:rsidRPr="001B36ED">
        <w:rPr>
          <w:b/>
        </w:rPr>
        <w:lastRenderedPageBreak/>
        <w:t xml:space="preserve">Figure </w:t>
      </w:r>
      <w:r w:rsidR="007F3567">
        <w:rPr>
          <w:b/>
        </w:rPr>
        <w:t>5</w:t>
      </w:r>
      <w:r w:rsidRPr="001B36ED">
        <w:rPr>
          <w:b/>
        </w:rPr>
        <w:t>: Overlap Diagnostics for Treatment Attendance Groups (No and Some) in AUD Cohort</w:t>
      </w:r>
    </w:p>
    <w:p w14:paraId="08BEC062" w14:textId="77777777" w:rsidR="008020DD" w:rsidRPr="001B36ED" w:rsidRDefault="008020DD" w:rsidP="008020DD">
      <w:pPr>
        <w:jc w:val="center"/>
        <w:rPr>
          <w:b/>
        </w:rPr>
      </w:pPr>
      <w:r w:rsidRPr="001B36ED">
        <w:rPr>
          <w:b/>
          <w:noProof/>
        </w:rPr>
        <w:drawing>
          <wp:inline distT="0" distB="0" distL="0" distR="0" wp14:anchorId="143B1D80" wp14:editId="3AE7716C">
            <wp:extent cx="5347335" cy="5373615"/>
            <wp:effectExtent l="0" t="0" r="12065" b="1143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350146" cy="5376440"/>
                    </a:xfrm>
                    <a:prstGeom prst="rect">
                      <a:avLst/>
                    </a:prstGeom>
                  </pic:spPr>
                </pic:pic>
              </a:graphicData>
            </a:graphic>
          </wp:inline>
        </w:drawing>
      </w:r>
    </w:p>
    <w:p w14:paraId="18E72EC5" w14:textId="5A701067" w:rsidR="008020DD" w:rsidRPr="001B36ED" w:rsidRDefault="008020DD" w:rsidP="008020DD">
      <w:pPr>
        <w:rPr>
          <w:sz w:val="20"/>
          <w:szCs w:val="20"/>
        </w:rPr>
      </w:pPr>
      <w:r w:rsidRPr="001B36ED">
        <w:rPr>
          <w:sz w:val="20"/>
          <w:szCs w:val="20"/>
        </w:rPr>
        <w:t>*Data from first 10 imputations out of 20.</w:t>
      </w:r>
    </w:p>
    <w:p w14:paraId="77F9F3C2" w14:textId="77777777" w:rsidR="008020DD" w:rsidRPr="001B36ED" w:rsidRDefault="008020DD" w:rsidP="008020DD">
      <w:pPr>
        <w:ind w:left="1440" w:firstLine="720"/>
        <w:rPr>
          <w:sz w:val="20"/>
          <w:szCs w:val="20"/>
        </w:rPr>
      </w:pPr>
    </w:p>
    <w:p w14:paraId="21494DD1" w14:textId="0107A19C" w:rsidR="008020DD" w:rsidRPr="001B36ED" w:rsidRDefault="008020DD" w:rsidP="007F3567">
      <w:pPr>
        <w:spacing w:after="160" w:line="259" w:lineRule="auto"/>
        <w:rPr>
          <w:b/>
        </w:rPr>
      </w:pPr>
    </w:p>
    <w:p w14:paraId="1B381E9D" w14:textId="41270894" w:rsidR="00F61744" w:rsidRDefault="00F61744">
      <w:pPr>
        <w:spacing w:after="160" w:line="259" w:lineRule="auto"/>
      </w:pPr>
      <w:r>
        <w:br w:type="page"/>
      </w:r>
    </w:p>
    <w:p w14:paraId="13EC00FD" w14:textId="60C6DE93" w:rsidR="00F61744" w:rsidRPr="001B36ED" w:rsidRDefault="00F61744" w:rsidP="00F61744">
      <w:pPr>
        <w:jc w:val="both"/>
        <w:rPr>
          <w:b/>
        </w:rPr>
      </w:pPr>
      <w:r w:rsidRPr="001B36ED">
        <w:rPr>
          <w:b/>
        </w:rPr>
        <w:lastRenderedPageBreak/>
        <w:t xml:space="preserve">Figure </w:t>
      </w:r>
      <w:r w:rsidR="007F3567">
        <w:rPr>
          <w:b/>
        </w:rPr>
        <w:t>6</w:t>
      </w:r>
      <w:r w:rsidRPr="001B36ED">
        <w:rPr>
          <w:b/>
        </w:rPr>
        <w:t>: Standardized Differences in Attendance Confounders between No vs Some Attendance Groups</w:t>
      </w:r>
    </w:p>
    <w:p w14:paraId="47925CF8" w14:textId="6F5A6438" w:rsidR="00F61744" w:rsidRPr="001B36ED" w:rsidRDefault="00F61744" w:rsidP="007F3567">
      <w:pPr>
        <w:jc w:val="center"/>
        <w:rPr>
          <w:b/>
        </w:rPr>
      </w:pPr>
      <w:r w:rsidRPr="001B36ED">
        <w:rPr>
          <w:noProof/>
        </w:rPr>
        <w:drawing>
          <wp:inline distT="0" distB="0" distL="0" distR="0" wp14:anchorId="4D2DEF4A" wp14:editId="7641BD46">
            <wp:extent cx="4481426" cy="3022939"/>
            <wp:effectExtent l="0" t="0" r="0" b="0"/>
            <wp:docPr id="69" name="Picture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t="10238"/>
                    <a:stretch/>
                  </pic:blipFill>
                  <pic:spPr bwMode="auto">
                    <a:xfrm>
                      <a:off x="0" y="0"/>
                      <a:ext cx="4514713" cy="3045393"/>
                    </a:xfrm>
                    <a:prstGeom prst="rect">
                      <a:avLst/>
                    </a:prstGeom>
                    <a:ln>
                      <a:noFill/>
                    </a:ln>
                    <a:extLst>
                      <a:ext uri="{53640926-AAD7-44D8-BBD7-CCE9431645EC}">
                        <a14:shadowObscured xmlns:a14="http://schemas.microsoft.com/office/drawing/2010/main"/>
                      </a:ext>
                    </a:extLst>
                  </pic:spPr>
                </pic:pic>
              </a:graphicData>
            </a:graphic>
          </wp:inline>
        </w:drawing>
      </w:r>
    </w:p>
    <w:p w14:paraId="55057387" w14:textId="77777777" w:rsidR="00F61744" w:rsidRPr="001B36ED" w:rsidRDefault="00F61744" w:rsidP="00F61744">
      <w:pPr>
        <w:jc w:val="center"/>
        <w:rPr>
          <w:b/>
        </w:rPr>
      </w:pPr>
    </w:p>
    <w:p w14:paraId="1180E69E" w14:textId="77777777" w:rsidR="00B25FE0" w:rsidRDefault="00B25FE0" w:rsidP="00B25FE0"/>
    <w:sectPr w:rsidR="00B25F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5FE0"/>
    <w:rsid w:val="000A722D"/>
    <w:rsid w:val="003E28E9"/>
    <w:rsid w:val="0047699A"/>
    <w:rsid w:val="005710F3"/>
    <w:rsid w:val="00605717"/>
    <w:rsid w:val="007D6229"/>
    <w:rsid w:val="007F3567"/>
    <w:rsid w:val="008020DD"/>
    <w:rsid w:val="00B25FE0"/>
    <w:rsid w:val="00D40ED5"/>
    <w:rsid w:val="00EC7FF6"/>
    <w:rsid w:val="00F617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9D4E97"/>
  <w15:chartTrackingRefBased/>
  <w15:docId w15:val="{4349E06D-8A90-4A5A-9530-92AEDA4DF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5FE0"/>
    <w:pPr>
      <w:spacing w:after="0" w:line="240" w:lineRule="auto"/>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40ED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5710F3"/>
    <w:pPr>
      <w:spacing w:after="0"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tiff"/><Relationship Id="rId3" Type="http://schemas.openxmlformats.org/officeDocument/2006/relationships/customXml" Target="../customXml/item3.xml"/><Relationship Id="rId7" Type="http://schemas.openxmlformats.org/officeDocument/2006/relationships/image" Target="media/image1.emf"/><Relationship Id="rId12" Type="http://schemas.openxmlformats.org/officeDocument/2006/relationships/image" Target="media/image6.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tiff"/><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4.tiff"/><Relationship Id="rId4" Type="http://schemas.openxmlformats.org/officeDocument/2006/relationships/styles" Target="styles.xml"/><Relationship Id="rId9" Type="http://schemas.openxmlformats.org/officeDocument/2006/relationships/image" Target="media/image3.tiff"/><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54F9B27351DA64A92440BC50BB5208A" ma:contentTypeVersion="4" ma:contentTypeDescription="Create a new document." ma:contentTypeScope="" ma:versionID="264479f9b4dddc07ecb2b7b3402fd0d4">
  <xsd:schema xmlns:xsd="http://www.w3.org/2001/XMLSchema" xmlns:xs="http://www.w3.org/2001/XMLSchema" xmlns:p="http://schemas.microsoft.com/office/2006/metadata/properties" xmlns:ns3="25f65168-3627-4d7e-8e3e-fc6d15633072" targetNamespace="http://schemas.microsoft.com/office/2006/metadata/properties" ma:root="true" ma:fieldsID="03301c66bdc3a705be1a8dca99dd3b80" ns3:_="">
    <xsd:import namespace="25f65168-3627-4d7e-8e3e-fc6d1563307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5f65168-3627-4d7e-8e3e-fc6d156330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E86420F-2610-4D3B-A16A-E071B93BCF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5f65168-3627-4d7e-8e3e-fc6d156330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643B642-5B1E-4429-A712-58F7308512BC}">
  <ds:schemaRefs>
    <ds:schemaRef ds:uri="http://schemas.microsoft.com/sharepoint/v3/contenttype/forms"/>
  </ds:schemaRefs>
</ds:datastoreItem>
</file>

<file path=customXml/itemProps3.xml><?xml version="1.0" encoding="utf-8"?>
<ds:datastoreItem xmlns:ds="http://schemas.openxmlformats.org/officeDocument/2006/customXml" ds:itemID="{DEEE8A14-6F1B-42DD-A2DA-2B91477AFFF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951</Words>
  <Characters>5427</Characters>
  <Application>Microsoft Office Word</Application>
  <DocSecurity>0</DocSecurity>
  <Lines>45</Lines>
  <Paragraphs>12</Paragraphs>
  <ScaleCrop>false</ScaleCrop>
  <Company>Tufts University</Company>
  <LinksUpToDate>false</LinksUpToDate>
  <CharactersWithSpaces>6366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Dev, Saloni</dc:creator>
  <cp:keywords/>
  <dc:description/>
  <cp:lastModifiedBy>Victoria Lane</cp:lastModifiedBy>
  <cp:revision>2</cp:revision>
  <dcterms:created xsi:type="dcterms:W3CDTF">2025-03-25T14:04:00Z</dcterms:created>
  <dcterms:modified xsi:type="dcterms:W3CDTF">2025-03-25T14:04:00Z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0x010100054F9B27351DA64A92440BC50BB5208A</vt:lpwstr>
  </property>
</Properties>
</file>