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8DEB2" w14:textId="22621F22" w:rsidR="00152A02" w:rsidRDefault="00E11349" w:rsidP="000A46B1">
      <w:pPr>
        <w:pStyle w:val="NoSpacing"/>
        <w:jc w:val="center"/>
        <w:rPr>
          <w:rFonts w:cstheme="minorHAnsi"/>
          <w:b/>
          <w:bCs/>
        </w:rPr>
      </w:pPr>
      <w:r w:rsidRPr="006E5309">
        <w:rPr>
          <w:rFonts w:cstheme="minorHAnsi"/>
          <w:b/>
          <w:bCs/>
        </w:rPr>
        <w:t>APPENDIX III</w:t>
      </w:r>
      <w:r w:rsidR="00B5518E">
        <w:rPr>
          <w:rFonts w:cstheme="minorHAnsi"/>
          <w:b/>
          <w:bCs/>
        </w:rPr>
        <w:t xml:space="preserve">: </w:t>
      </w:r>
      <w:r w:rsidR="000A46B1">
        <w:rPr>
          <w:rFonts w:cstheme="minorHAnsi"/>
          <w:b/>
          <w:bCs/>
        </w:rPr>
        <w:t xml:space="preserve">Additional </w:t>
      </w:r>
      <w:r w:rsidR="00B5518E">
        <w:rPr>
          <w:rFonts w:cstheme="minorHAnsi"/>
          <w:b/>
          <w:bCs/>
        </w:rPr>
        <w:t xml:space="preserve">Tests and </w:t>
      </w:r>
      <w:r w:rsidR="00F26DEF">
        <w:rPr>
          <w:rFonts w:cstheme="minorHAnsi"/>
          <w:b/>
          <w:bCs/>
        </w:rPr>
        <w:t>Robustness Checks</w:t>
      </w:r>
    </w:p>
    <w:p w14:paraId="35B9D6FD" w14:textId="77777777" w:rsidR="00B5518E" w:rsidRDefault="00B5518E" w:rsidP="000A46B1">
      <w:pPr>
        <w:pStyle w:val="NoSpacing"/>
        <w:jc w:val="center"/>
        <w:rPr>
          <w:rFonts w:cstheme="minorHAnsi"/>
        </w:rPr>
      </w:pPr>
    </w:p>
    <w:p w14:paraId="0A24C754" w14:textId="177FDE7C" w:rsidR="00355AA8" w:rsidRDefault="00355AA8" w:rsidP="00152A02">
      <w:pPr>
        <w:pStyle w:val="NoSpacing"/>
        <w:rPr>
          <w:rFonts w:cstheme="minorHAnsi"/>
        </w:rPr>
      </w:pPr>
      <w:r>
        <w:rPr>
          <w:rFonts w:cstheme="minorHAnsi"/>
          <w:u w:val="single"/>
        </w:rPr>
        <w:t>Normality of D</w:t>
      </w:r>
      <w:r w:rsidR="00194AC8">
        <w:rPr>
          <w:rFonts w:cstheme="minorHAnsi"/>
          <w:u w:val="single"/>
        </w:rPr>
        <w:t>ependent Variables</w:t>
      </w:r>
    </w:p>
    <w:p w14:paraId="5B105B3A" w14:textId="1D88AD9E" w:rsidR="00355AA8" w:rsidRDefault="00355AA8" w:rsidP="00152A02">
      <w:pPr>
        <w:pStyle w:val="NoSpacing"/>
        <w:rPr>
          <w:rFonts w:cstheme="minorHAnsi"/>
        </w:rPr>
      </w:pPr>
    </w:p>
    <w:p w14:paraId="0D9FCA41" w14:textId="77777777" w:rsidR="004D34F9" w:rsidRDefault="00194AC8" w:rsidP="00194AC8">
      <w:pPr>
        <w:pStyle w:val="NoSpacing"/>
        <w:jc w:val="center"/>
        <w:rPr>
          <w:rFonts w:cstheme="minorHAnsi"/>
        </w:rPr>
      </w:pPr>
      <w:r>
        <w:rPr>
          <w:rFonts w:cstheme="minorHAnsi"/>
        </w:rPr>
        <w:t>Figure A3.1: Test of normality for post-treatment general interest in U.S. foreign trade policy</w:t>
      </w:r>
      <w:r w:rsidR="0001540E">
        <w:rPr>
          <w:rFonts w:cstheme="minorHAnsi"/>
        </w:rPr>
        <w:t xml:space="preserve">, </w:t>
      </w:r>
    </w:p>
    <w:p w14:paraId="4D176E05" w14:textId="5B84B850" w:rsidR="00355AA8" w:rsidRDefault="004D34F9" w:rsidP="00194AC8">
      <w:pPr>
        <w:pStyle w:val="NoSpacing"/>
        <w:jc w:val="center"/>
        <w:rPr>
          <w:rFonts w:cstheme="minorHAnsi"/>
        </w:rPr>
      </w:pPr>
      <w:r>
        <w:rPr>
          <w:rFonts w:cstheme="minorHAnsi"/>
        </w:rPr>
        <w:t>variable</w:t>
      </w:r>
      <w:r w:rsidR="0001540E">
        <w:rPr>
          <w:rFonts w:cstheme="minorHAnsi"/>
        </w:rPr>
        <w:t xml:space="preserve"> is not normally distributed.</w:t>
      </w:r>
    </w:p>
    <w:tbl>
      <w:tblPr>
        <w:tblStyle w:val="TableGrid"/>
        <w:tblW w:w="0" w:type="auto"/>
        <w:tblLook w:val="04A0" w:firstRow="1" w:lastRow="0" w:firstColumn="1" w:lastColumn="0" w:noHBand="0" w:noVBand="1"/>
      </w:tblPr>
      <w:tblGrid>
        <w:gridCol w:w="4675"/>
        <w:gridCol w:w="4675"/>
      </w:tblGrid>
      <w:tr w:rsidR="00194AC8" w14:paraId="6D56F7F7" w14:textId="77777777" w:rsidTr="00194AC8">
        <w:tc>
          <w:tcPr>
            <w:tcW w:w="46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AB23747" w14:textId="47DB8B9C" w:rsidR="00194AC8" w:rsidRDefault="0001540E" w:rsidP="00194AC8">
            <w:pPr>
              <w:pStyle w:val="NoSpacing"/>
              <w:jc w:val="center"/>
              <w:rPr>
                <w:rFonts w:cstheme="minorHAnsi"/>
              </w:rPr>
            </w:pPr>
            <w:r>
              <w:rPr>
                <w:noProof/>
              </w:rPr>
              <w:drawing>
                <wp:inline distT="0" distB="0" distL="0" distR="0" wp14:anchorId="6839D6FE" wp14:editId="2D8A4B77">
                  <wp:extent cx="2743200" cy="274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tc>
          <w:tcPr>
            <w:tcW w:w="46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1FF61C7" w14:textId="50AA4CC2" w:rsidR="00194AC8" w:rsidRDefault="004D34F9" w:rsidP="00194AC8">
            <w:pPr>
              <w:pStyle w:val="NoSpacing"/>
              <w:jc w:val="center"/>
              <w:rPr>
                <w:rFonts w:cstheme="minorHAnsi"/>
              </w:rPr>
            </w:pPr>
            <w:r>
              <w:rPr>
                <w:noProof/>
              </w:rPr>
              <w:drawing>
                <wp:inline distT="0" distB="0" distL="0" distR="0" wp14:anchorId="72385871" wp14:editId="50E41413">
                  <wp:extent cx="2743200" cy="2743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tr>
    </w:tbl>
    <w:p w14:paraId="62B2C6FD" w14:textId="76E9FED2" w:rsidR="0001540E" w:rsidRDefault="0001540E" w:rsidP="00152A02">
      <w:pPr>
        <w:pStyle w:val="NoSpacing"/>
        <w:rPr>
          <w:rFonts w:cstheme="minorHAnsi"/>
        </w:rPr>
      </w:pPr>
      <w:r w:rsidRPr="0001540E">
        <w:rPr>
          <w:rFonts w:cstheme="minorHAnsi"/>
          <w:i/>
        </w:rPr>
        <w:t>Note:</w:t>
      </w:r>
      <w:r>
        <w:rPr>
          <w:rFonts w:cstheme="minorHAnsi"/>
        </w:rPr>
        <w:tab/>
      </w:r>
      <w:r w:rsidR="00194AC8" w:rsidRPr="0001540E">
        <w:rPr>
          <w:rFonts w:cstheme="minorHAnsi"/>
        </w:rPr>
        <w:t>Shapiro</w:t>
      </w:r>
      <w:r w:rsidR="00194AC8">
        <w:rPr>
          <w:rFonts w:cstheme="minorHAnsi"/>
        </w:rPr>
        <w:t xml:space="preserve">-Wilk W = </w:t>
      </w:r>
      <w:r w:rsidRPr="0001540E">
        <w:rPr>
          <w:rFonts w:cstheme="minorHAnsi"/>
        </w:rPr>
        <w:t>0.98</w:t>
      </w:r>
      <w:r w:rsidR="004A1EEA">
        <w:rPr>
          <w:rFonts w:cstheme="minorHAnsi"/>
        </w:rPr>
        <w:t>4</w:t>
      </w:r>
      <w:r>
        <w:rPr>
          <w:rFonts w:cstheme="minorHAnsi"/>
        </w:rPr>
        <w:t>; p &lt; 0.001</w:t>
      </w:r>
    </w:p>
    <w:p w14:paraId="1EA21F9E" w14:textId="3591EB4C" w:rsidR="0001540E" w:rsidRDefault="0001540E" w:rsidP="00152A02">
      <w:pPr>
        <w:pStyle w:val="NoSpacing"/>
        <w:rPr>
          <w:rFonts w:cstheme="minorHAnsi"/>
        </w:rPr>
      </w:pPr>
      <w:r>
        <w:rPr>
          <w:rFonts w:cstheme="minorHAnsi"/>
        </w:rPr>
        <w:tab/>
        <w:t xml:space="preserve">Shapiro-Francia W' = </w:t>
      </w:r>
      <w:r w:rsidRPr="0001540E">
        <w:rPr>
          <w:rFonts w:cstheme="minorHAnsi"/>
        </w:rPr>
        <w:t>0.98</w:t>
      </w:r>
      <w:r w:rsidR="004A1EEA">
        <w:rPr>
          <w:rFonts w:cstheme="minorHAnsi"/>
        </w:rPr>
        <w:t>5</w:t>
      </w:r>
      <w:r>
        <w:rPr>
          <w:rFonts w:cstheme="minorHAnsi"/>
        </w:rPr>
        <w:t>; p &lt; 0.001</w:t>
      </w:r>
    </w:p>
    <w:p w14:paraId="49B8A31E" w14:textId="047A228B" w:rsidR="0001540E" w:rsidRPr="004A1EEA" w:rsidRDefault="0001540E" w:rsidP="00152A02">
      <w:pPr>
        <w:pStyle w:val="NoSpacing"/>
        <w:rPr>
          <w:rFonts w:cstheme="minorHAnsi"/>
        </w:rPr>
      </w:pPr>
      <w:r>
        <w:rPr>
          <w:rFonts w:cstheme="minorHAnsi"/>
        </w:rPr>
        <w:tab/>
      </w:r>
      <w:r w:rsidR="004A1EEA">
        <w:rPr>
          <w:rFonts w:cstheme="minorHAnsi"/>
        </w:rPr>
        <w:t>Joint Skewness-Kurtosis χ</w:t>
      </w:r>
      <w:r w:rsidR="004A1EEA" w:rsidRPr="004A1EEA">
        <w:rPr>
          <w:rFonts w:cstheme="minorHAnsi"/>
          <w:vertAlign w:val="superscript"/>
        </w:rPr>
        <w:t>2</w:t>
      </w:r>
      <w:r w:rsidR="004A1EEA">
        <w:rPr>
          <w:rFonts w:cstheme="minorHAnsi"/>
        </w:rPr>
        <w:t xml:space="preserve"> = </w:t>
      </w:r>
      <w:r w:rsidR="004A1EEA" w:rsidRPr="004A1EEA">
        <w:rPr>
          <w:rFonts w:cstheme="minorHAnsi"/>
        </w:rPr>
        <w:t>36.26</w:t>
      </w:r>
      <w:r w:rsidR="004A1EEA">
        <w:rPr>
          <w:rFonts w:cstheme="minorHAnsi"/>
        </w:rPr>
        <w:t>0; p &lt; 0.001</w:t>
      </w:r>
    </w:p>
    <w:p w14:paraId="0EFC05F3" w14:textId="7616E980" w:rsidR="00194AC8" w:rsidRDefault="00194AC8" w:rsidP="00152A02">
      <w:pPr>
        <w:pStyle w:val="NoSpacing"/>
        <w:rPr>
          <w:rFonts w:cstheme="minorHAnsi"/>
        </w:rPr>
      </w:pPr>
    </w:p>
    <w:p w14:paraId="33AC168E" w14:textId="023BB892" w:rsidR="004A1EEA" w:rsidRDefault="00194AC8" w:rsidP="00194AC8">
      <w:pPr>
        <w:pStyle w:val="NoSpacing"/>
        <w:jc w:val="center"/>
        <w:rPr>
          <w:rFonts w:cstheme="minorHAnsi"/>
        </w:rPr>
      </w:pPr>
      <w:r>
        <w:rPr>
          <w:rFonts w:cstheme="minorHAnsi"/>
        </w:rPr>
        <w:t>Figure A3.2</w:t>
      </w:r>
      <w:r w:rsidR="004A1EEA">
        <w:rPr>
          <w:rFonts w:cstheme="minorHAnsi"/>
        </w:rPr>
        <w:t xml:space="preserve">: Test of normality for the difference in pre- and post-treatment general interests in U.S. foreign trade policy, </w:t>
      </w:r>
      <w:r w:rsidR="004D34F9">
        <w:rPr>
          <w:rFonts w:cstheme="minorHAnsi"/>
        </w:rPr>
        <w:t>variable is not normally distributed</w:t>
      </w:r>
    </w:p>
    <w:tbl>
      <w:tblPr>
        <w:tblStyle w:val="TableGrid"/>
        <w:tblW w:w="0" w:type="auto"/>
        <w:tblLook w:val="04A0" w:firstRow="1" w:lastRow="0" w:firstColumn="1" w:lastColumn="0" w:noHBand="0" w:noVBand="1"/>
      </w:tblPr>
      <w:tblGrid>
        <w:gridCol w:w="4675"/>
        <w:gridCol w:w="4675"/>
      </w:tblGrid>
      <w:tr w:rsidR="004A1EEA" w14:paraId="2CB4048B" w14:textId="77777777" w:rsidTr="00C552CF">
        <w:tc>
          <w:tcPr>
            <w:tcW w:w="46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B38E96" w14:textId="0504A5D6" w:rsidR="004A1EEA" w:rsidRDefault="004D34F9" w:rsidP="00C552CF">
            <w:pPr>
              <w:pStyle w:val="NoSpacing"/>
              <w:jc w:val="center"/>
              <w:rPr>
                <w:rFonts w:cstheme="minorHAnsi"/>
              </w:rPr>
            </w:pPr>
            <w:r>
              <w:rPr>
                <w:noProof/>
              </w:rPr>
              <w:drawing>
                <wp:inline distT="0" distB="0" distL="0" distR="0" wp14:anchorId="2B0EA547" wp14:editId="18D84967">
                  <wp:extent cx="2743200" cy="2743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tc>
          <w:tcPr>
            <w:tcW w:w="46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471CC36" w14:textId="3ABE1BA3" w:rsidR="004A1EEA" w:rsidRDefault="004D34F9" w:rsidP="00C552CF">
            <w:pPr>
              <w:pStyle w:val="NoSpacing"/>
              <w:jc w:val="center"/>
              <w:rPr>
                <w:rFonts w:cstheme="minorHAnsi"/>
              </w:rPr>
            </w:pPr>
            <w:r>
              <w:rPr>
                <w:noProof/>
              </w:rPr>
              <w:drawing>
                <wp:inline distT="0" distB="0" distL="0" distR="0" wp14:anchorId="3C9781A0" wp14:editId="481E4E61">
                  <wp:extent cx="2743200" cy="274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tr>
    </w:tbl>
    <w:p w14:paraId="0071E9B7" w14:textId="0A5FF959" w:rsidR="004D34F9" w:rsidRDefault="004D34F9" w:rsidP="004D34F9">
      <w:pPr>
        <w:pStyle w:val="NoSpacing"/>
        <w:rPr>
          <w:rFonts w:cstheme="minorHAnsi"/>
        </w:rPr>
      </w:pPr>
      <w:r w:rsidRPr="0001540E">
        <w:rPr>
          <w:rFonts w:cstheme="minorHAnsi"/>
          <w:i/>
        </w:rPr>
        <w:t>Note:</w:t>
      </w:r>
      <w:r>
        <w:rPr>
          <w:rFonts w:cstheme="minorHAnsi"/>
        </w:rPr>
        <w:tab/>
      </w:r>
      <w:r w:rsidRPr="0001540E">
        <w:rPr>
          <w:rFonts w:cstheme="minorHAnsi"/>
        </w:rPr>
        <w:t>Shapiro</w:t>
      </w:r>
      <w:r>
        <w:rPr>
          <w:rFonts w:cstheme="minorHAnsi"/>
        </w:rPr>
        <w:t xml:space="preserve">-Wilk W = </w:t>
      </w:r>
      <w:r w:rsidRPr="004D34F9">
        <w:rPr>
          <w:rFonts w:cstheme="minorHAnsi"/>
        </w:rPr>
        <w:t>0.944</w:t>
      </w:r>
      <w:r>
        <w:rPr>
          <w:rFonts w:cstheme="minorHAnsi"/>
        </w:rPr>
        <w:t>; p &lt; 0.001</w:t>
      </w:r>
    </w:p>
    <w:p w14:paraId="2D1FC542" w14:textId="3920A6C7" w:rsidR="004D34F9" w:rsidRDefault="004D34F9" w:rsidP="004D34F9">
      <w:pPr>
        <w:pStyle w:val="NoSpacing"/>
        <w:rPr>
          <w:rFonts w:cstheme="minorHAnsi"/>
        </w:rPr>
      </w:pPr>
      <w:r>
        <w:rPr>
          <w:rFonts w:cstheme="minorHAnsi"/>
        </w:rPr>
        <w:tab/>
        <w:t xml:space="preserve">Shapiro-Francia W' = </w:t>
      </w:r>
      <w:r w:rsidRPr="004D34F9">
        <w:rPr>
          <w:rFonts w:cstheme="minorHAnsi"/>
        </w:rPr>
        <w:t>0.94</w:t>
      </w:r>
      <w:r>
        <w:rPr>
          <w:rFonts w:cstheme="minorHAnsi"/>
        </w:rPr>
        <w:t>7; p &lt; 0.001</w:t>
      </w:r>
    </w:p>
    <w:p w14:paraId="36DF3C29" w14:textId="650D531B" w:rsidR="004D34F9" w:rsidRPr="004A1EEA" w:rsidRDefault="004D34F9" w:rsidP="004D34F9">
      <w:pPr>
        <w:pStyle w:val="NoSpacing"/>
        <w:rPr>
          <w:rFonts w:cstheme="minorHAnsi"/>
        </w:rPr>
      </w:pPr>
      <w:r>
        <w:rPr>
          <w:rFonts w:cstheme="minorHAnsi"/>
        </w:rPr>
        <w:tab/>
        <w:t>Joint Skewness-Kurtosis χ</w:t>
      </w:r>
      <w:r w:rsidRPr="004A1EEA">
        <w:rPr>
          <w:rFonts w:cstheme="minorHAnsi"/>
          <w:vertAlign w:val="superscript"/>
        </w:rPr>
        <w:t>2</w:t>
      </w:r>
      <w:r>
        <w:rPr>
          <w:rFonts w:cstheme="minorHAnsi"/>
        </w:rPr>
        <w:t xml:space="preserve"> = </w:t>
      </w:r>
      <w:r w:rsidRPr="004D34F9">
        <w:rPr>
          <w:rFonts w:cstheme="minorHAnsi"/>
        </w:rPr>
        <w:t>67.96</w:t>
      </w:r>
      <w:r>
        <w:rPr>
          <w:rFonts w:cstheme="minorHAnsi"/>
        </w:rPr>
        <w:t>0; p &lt; 0.001</w:t>
      </w:r>
    </w:p>
    <w:p w14:paraId="265E6D40" w14:textId="33DFD49A" w:rsidR="005B7C55" w:rsidRDefault="004D34F9" w:rsidP="004D34F9">
      <w:pPr>
        <w:pStyle w:val="NoSpacing"/>
        <w:jc w:val="center"/>
        <w:rPr>
          <w:rFonts w:cstheme="minorHAnsi"/>
        </w:rPr>
      </w:pPr>
      <w:r>
        <w:rPr>
          <w:rFonts w:cstheme="minorHAnsi"/>
        </w:rPr>
        <w:lastRenderedPageBreak/>
        <w:t>Figure A3.</w:t>
      </w:r>
      <w:r w:rsidR="004D0FBB">
        <w:rPr>
          <w:rFonts w:cstheme="minorHAnsi"/>
        </w:rPr>
        <w:t>3</w:t>
      </w:r>
      <w:r>
        <w:rPr>
          <w:rFonts w:cstheme="minorHAnsi"/>
        </w:rPr>
        <w:t>: Test of normality for the interest in U.S. policy specifically discussed in the prompt,</w:t>
      </w:r>
    </w:p>
    <w:p w14:paraId="382BEB08" w14:textId="6DD03B5F" w:rsidR="004D34F9" w:rsidRDefault="005B7C55" w:rsidP="004D34F9">
      <w:pPr>
        <w:pStyle w:val="NoSpacing"/>
        <w:jc w:val="center"/>
        <w:rPr>
          <w:rFonts w:cstheme="minorHAnsi"/>
        </w:rPr>
      </w:pPr>
      <w:r>
        <w:rPr>
          <w:rFonts w:cstheme="minorHAnsi"/>
        </w:rPr>
        <w:t>variable is not normally distributed</w:t>
      </w:r>
      <w:r w:rsidR="004D34F9">
        <w:rPr>
          <w:rFonts w:cstheme="minorHAnsi"/>
        </w:rPr>
        <w:t xml:space="preserve"> </w:t>
      </w:r>
    </w:p>
    <w:tbl>
      <w:tblPr>
        <w:tblStyle w:val="TableGrid"/>
        <w:tblW w:w="0" w:type="auto"/>
        <w:tblLook w:val="04A0" w:firstRow="1" w:lastRow="0" w:firstColumn="1" w:lastColumn="0" w:noHBand="0" w:noVBand="1"/>
      </w:tblPr>
      <w:tblGrid>
        <w:gridCol w:w="4675"/>
        <w:gridCol w:w="4675"/>
      </w:tblGrid>
      <w:tr w:rsidR="004D34F9" w14:paraId="51D5B918" w14:textId="77777777" w:rsidTr="00C552CF">
        <w:tc>
          <w:tcPr>
            <w:tcW w:w="46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7E4768A" w14:textId="57ACD359" w:rsidR="004D34F9" w:rsidRDefault="005B7C55" w:rsidP="00C552CF">
            <w:pPr>
              <w:pStyle w:val="NoSpacing"/>
              <w:jc w:val="center"/>
              <w:rPr>
                <w:rFonts w:cstheme="minorHAnsi"/>
              </w:rPr>
            </w:pPr>
            <w:r>
              <w:rPr>
                <w:noProof/>
              </w:rPr>
              <w:drawing>
                <wp:inline distT="0" distB="0" distL="0" distR="0" wp14:anchorId="098ABE7F" wp14:editId="5C272FF3">
                  <wp:extent cx="2743200" cy="2743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tc>
          <w:tcPr>
            <w:tcW w:w="46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2A43D6F" w14:textId="100E11B2" w:rsidR="004D34F9" w:rsidRDefault="005B7C55" w:rsidP="00C552CF">
            <w:pPr>
              <w:pStyle w:val="NoSpacing"/>
              <w:jc w:val="center"/>
              <w:rPr>
                <w:rFonts w:cstheme="minorHAnsi"/>
              </w:rPr>
            </w:pPr>
            <w:r>
              <w:rPr>
                <w:noProof/>
              </w:rPr>
              <w:drawing>
                <wp:inline distT="0" distB="0" distL="0" distR="0" wp14:anchorId="36FC8891" wp14:editId="08F6A430">
                  <wp:extent cx="2743200" cy="2743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tr>
    </w:tbl>
    <w:p w14:paraId="0F2AAB88" w14:textId="454A63F2" w:rsidR="004D34F9" w:rsidRDefault="004D34F9" w:rsidP="004D34F9">
      <w:pPr>
        <w:pStyle w:val="NoSpacing"/>
        <w:rPr>
          <w:rFonts w:cstheme="minorHAnsi"/>
        </w:rPr>
      </w:pPr>
      <w:r w:rsidRPr="0001540E">
        <w:rPr>
          <w:rFonts w:cstheme="minorHAnsi"/>
          <w:i/>
        </w:rPr>
        <w:t>Note:</w:t>
      </w:r>
      <w:r>
        <w:rPr>
          <w:rFonts w:cstheme="minorHAnsi"/>
        </w:rPr>
        <w:tab/>
      </w:r>
      <w:r w:rsidRPr="0001540E">
        <w:rPr>
          <w:rFonts w:cstheme="minorHAnsi"/>
        </w:rPr>
        <w:t>Shapiro</w:t>
      </w:r>
      <w:r>
        <w:rPr>
          <w:rFonts w:cstheme="minorHAnsi"/>
        </w:rPr>
        <w:t xml:space="preserve">-Wilk W = </w:t>
      </w:r>
      <w:r w:rsidRPr="004D34F9">
        <w:rPr>
          <w:rFonts w:cstheme="minorHAnsi"/>
        </w:rPr>
        <w:t>0.9</w:t>
      </w:r>
      <w:r w:rsidR="005B7C55">
        <w:rPr>
          <w:rFonts w:cstheme="minorHAnsi"/>
        </w:rPr>
        <w:t>87</w:t>
      </w:r>
      <w:r>
        <w:rPr>
          <w:rFonts w:cstheme="minorHAnsi"/>
        </w:rPr>
        <w:t>; p &lt; 0.001</w:t>
      </w:r>
    </w:p>
    <w:p w14:paraId="730343C4" w14:textId="744FB2FC" w:rsidR="004D34F9" w:rsidRDefault="004D34F9" w:rsidP="004D34F9">
      <w:pPr>
        <w:pStyle w:val="NoSpacing"/>
        <w:rPr>
          <w:rFonts w:cstheme="minorHAnsi"/>
        </w:rPr>
      </w:pPr>
      <w:r>
        <w:rPr>
          <w:rFonts w:cstheme="minorHAnsi"/>
        </w:rPr>
        <w:tab/>
        <w:t xml:space="preserve">Shapiro-Francia W' = </w:t>
      </w:r>
      <w:r w:rsidRPr="004D34F9">
        <w:rPr>
          <w:rFonts w:cstheme="minorHAnsi"/>
        </w:rPr>
        <w:t>0.9</w:t>
      </w:r>
      <w:r w:rsidR="005B7C55">
        <w:rPr>
          <w:rFonts w:cstheme="minorHAnsi"/>
        </w:rPr>
        <w:t>8</w:t>
      </w:r>
      <w:r>
        <w:rPr>
          <w:rFonts w:cstheme="minorHAnsi"/>
        </w:rPr>
        <w:t>7; p &lt; 0.001</w:t>
      </w:r>
    </w:p>
    <w:p w14:paraId="5F4B9B5B" w14:textId="5C6F2546" w:rsidR="004D34F9" w:rsidRPr="004A1EEA" w:rsidRDefault="004D34F9" w:rsidP="004D34F9">
      <w:pPr>
        <w:pStyle w:val="NoSpacing"/>
        <w:rPr>
          <w:rFonts w:cstheme="minorHAnsi"/>
        </w:rPr>
      </w:pPr>
      <w:r>
        <w:rPr>
          <w:rFonts w:cstheme="minorHAnsi"/>
        </w:rPr>
        <w:tab/>
        <w:t>Joint Skewness-Kurtosis χ</w:t>
      </w:r>
      <w:r w:rsidRPr="004A1EEA">
        <w:rPr>
          <w:rFonts w:cstheme="minorHAnsi"/>
          <w:vertAlign w:val="superscript"/>
        </w:rPr>
        <w:t>2</w:t>
      </w:r>
      <w:r>
        <w:rPr>
          <w:rFonts w:cstheme="minorHAnsi"/>
        </w:rPr>
        <w:t xml:space="preserve"> = </w:t>
      </w:r>
      <w:r w:rsidR="005B7C55" w:rsidRPr="005B7C55">
        <w:rPr>
          <w:rFonts w:cstheme="minorHAnsi"/>
        </w:rPr>
        <w:t>49.41</w:t>
      </w:r>
      <w:r>
        <w:rPr>
          <w:rFonts w:cstheme="minorHAnsi"/>
        </w:rPr>
        <w:t>0; p &lt; 0.001</w:t>
      </w:r>
    </w:p>
    <w:p w14:paraId="40CF0C23" w14:textId="75CEF692" w:rsidR="0001540E" w:rsidRDefault="0001540E" w:rsidP="00152A02">
      <w:pPr>
        <w:pStyle w:val="NoSpacing"/>
        <w:rPr>
          <w:rFonts w:cstheme="minorHAnsi"/>
        </w:rPr>
      </w:pPr>
    </w:p>
    <w:p w14:paraId="1FD647DC" w14:textId="2733C823" w:rsidR="005B7C55" w:rsidRDefault="000E2D49" w:rsidP="00152A02">
      <w:pPr>
        <w:pStyle w:val="NoSpacing"/>
        <w:rPr>
          <w:rFonts w:cstheme="minorHAnsi"/>
        </w:rPr>
      </w:pPr>
      <w:r>
        <w:rPr>
          <w:rFonts w:cstheme="minorHAnsi"/>
          <w:u w:val="single"/>
        </w:rPr>
        <w:t>Homogeneity of Variance</w:t>
      </w:r>
    </w:p>
    <w:p w14:paraId="0891A968" w14:textId="571CA138" w:rsidR="000E2D49" w:rsidRDefault="000E2D49" w:rsidP="00152A02">
      <w:pPr>
        <w:pStyle w:val="NoSpacing"/>
        <w:rPr>
          <w:rFonts w:cstheme="minorHAnsi"/>
        </w:rPr>
      </w:pPr>
    </w:p>
    <w:p w14:paraId="580E624D" w14:textId="2B571B48" w:rsidR="00B5518E" w:rsidRPr="000E2D49" w:rsidRDefault="000E2D49" w:rsidP="00C435C4">
      <w:pPr>
        <w:pStyle w:val="NoSpacing"/>
        <w:spacing w:line="480" w:lineRule="auto"/>
        <w:rPr>
          <w:rFonts w:cstheme="minorHAnsi"/>
        </w:rPr>
      </w:pPr>
      <w:r>
        <w:rPr>
          <w:rFonts w:cstheme="minorHAnsi"/>
        </w:rPr>
        <w:tab/>
        <w:t xml:space="preserve">Primary operationalization of dependent variable #1 (post-treatment general interest in the U.S. foreign trade policy) meets the homogeneity of variance assumption as tested by the variance-comparison test utilizing the dependent variable and treatment, but the follow-up analysis using </w:t>
      </w:r>
      <w:proofErr w:type="spellStart"/>
      <w:r>
        <w:rPr>
          <w:rFonts w:cstheme="minorHAnsi"/>
        </w:rPr>
        <w:t>Levene’s</w:t>
      </w:r>
      <w:proofErr w:type="spellEnd"/>
      <w:r>
        <w:rPr>
          <w:rFonts w:cstheme="minorHAnsi"/>
        </w:rPr>
        <w:t xml:space="preserve"> test does not consistently demonstrate that homogeneity of variance is met. Complementary operationalization of dependent variable #1 (difference between pre- and post-treatment general interest) </w:t>
      </w:r>
      <w:r w:rsidR="00B5518E">
        <w:rPr>
          <w:rFonts w:cstheme="minorHAnsi"/>
        </w:rPr>
        <w:t xml:space="preserve">does not meet the homogeneity of variance assumption as evaluated by either variance-comparison test or </w:t>
      </w:r>
      <w:proofErr w:type="spellStart"/>
      <w:r w:rsidR="00B5518E">
        <w:rPr>
          <w:rFonts w:cstheme="minorHAnsi"/>
        </w:rPr>
        <w:t>Levene’s</w:t>
      </w:r>
      <w:proofErr w:type="spellEnd"/>
      <w:r w:rsidR="00B5518E">
        <w:rPr>
          <w:rFonts w:cstheme="minorHAnsi"/>
        </w:rPr>
        <w:t xml:space="preserve"> test. Dependent variable #2 (interest in U.S. policy specifically discussed in the prompt) also does not consistently meet the homogeneity of variance assumption under both variance-comparison and </w:t>
      </w:r>
      <w:proofErr w:type="spellStart"/>
      <w:r w:rsidR="00B5518E">
        <w:rPr>
          <w:rFonts w:cstheme="minorHAnsi"/>
        </w:rPr>
        <w:t>Levene’s</w:t>
      </w:r>
      <w:proofErr w:type="spellEnd"/>
      <w:r w:rsidR="00B5518E">
        <w:rPr>
          <w:rFonts w:cstheme="minorHAnsi"/>
        </w:rPr>
        <w:t xml:space="preserve"> tests.</w:t>
      </w:r>
    </w:p>
    <w:p w14:paraId="70A64BB8" w14:textId="7BD84EAB" w:rsidR="005B7C55" w:rsidRDefault="005B7C55" w:rsidP="00152A02">
      <w:pPr>
        <w:pStyle w:val="NoSpacing"/>
        <w:rPr>
          <w:rFonts w:cstheme="minorHAnsi"/>
        </w:rPr>
      </w:pPr>
    </w:p>
    <w:p w14:paraId="2C4F1CF2" w14:textId="77777777" w:rsidR="004D0FBB" w:rsidRDefault="004D0FBB" w:rsidP="00152A02">
      <w:pPr>
        <w:pStyle w:val="NoSpacing"/>
        <w:rPr>
          <w:rFonts w:cstheme="minorHAnsi"/>
          <w:u w:val="single"/>
        </w:rPr>
      </w:pPr>
    </w:p>
    <w:p w14:paraId="59FBDB19" w14:textId="77777777" w:rsidR="004D0FBB" w:rsidRDefault="004D0FBB" w:rsidP="00152A02">
      <w:pPr>
        <w:pStyle w:val="NoSpacing"/>
        <w:rPr>
          <w:rFonts w:cstheme="minorHAnsi"/>
          <w:u w:val="single"/>
        </w:rPr>
      </w:pPr>
    </w:p>
    <w:p w14:paraId="64494DFD" w14:textId="77777777" w:rsidR="004D0FBB" w:rsidRDefault="004D0FBB" w:rsidP="00152A02">
      <w:pPr>
        <w:pStyle w:val="NoSpacing"/>
        <w:rPr>
          <w:rFonts w:cstheme="minorHAnsi"/>
          <w:u w:val="single"/>
        </w:rPr>
      </w:pPr>
    </w:p>
    <w:p w14:paraId="57D576AD" w14:textId="77777777" w:rsidR="004D0FBB" w:rsidRDefault="004D0FBB" w:rsidP="00152A02">
      <w:pPr>
        <w:pStyle w:val="NoSpacing"/>
        <w:rPr>
          <w:rFonts w:cstheme="minorHAnsi"/>
          <w:u w:val="single"/>
        </w:rPr>
      </w:pPr>
    </w:p>
    <w:p w14:paraId="51505182" w14:textId="77777777" w:rsidR="004D0FBB" w:rsidRDefault="004D0FBB" w:rsidP="00152A02">
      <w:pPr>
        <w:pStyle w:val="NoSpacing"/>
        <w:rPr>
          <w:rFonts w:cstheme="minorHAnsi"/>
          <w:u w:val="single"/>
        </w:rPr>
      </w:pPr>
    </w:p>
    <w:p w14:paraId="147683EE" w14:textId="7E859888" w:rsidR="00152A02" w:rsidRDefault="00152A02" w:rsidP="00152A02">
      <w:pPr>
        <w:pStyle w:val="NoSpacing"/>
        <w:rPr>
          <w:rFonts w:cstheme="minorHAnsi"/>
          <w:u w:val="single"/>
        </w:rPr>
      </w:pPr>
      <w:r w:rsidRPr="009A1EF0">
        <w:rPr>
          <w:rFonts w:cstheme="minorHAnsi"/>
          <w:u w:val="single"/>
        </w:rPr>
        <w:lastRenderedPageBreak/>
        <w:t>Results calculated using ordered logit analysis</w:t>
      </w:r>
    </w:p>
    <w:p w14:paraId="5D72EEB9" w14:textId="685388CE" w:rsidR="009A1EF0" w:rsidRDefault="009A1EF0" w:rsidP="00152A02">
      <w:pPr>
        <w:pStyle w:val="NoSpacing"/>
        <w:rPr>
          <w:rFonts w:cstheme="minorHAnsi"/>
          <w:u w:val="single"/>
        </w:rPr>
      </w:pPr>
    </w:p>
    <w:p w14:paraId="67B425B2" w14:textId="57BD7444" w:rsidR="00C5029D" w:rsidRDefault="00C5029D" w:rsidP="00C5029D">
      <w:pPr>
        <w:pStyle w:val="NoSpacing"/>
        <w:jc w:val="center"/>
        <w:rPr>
          <w:rFonts w:cstheme="minorHAnsi"/>
        </w:rPr>
      </w:pPr>
      <w:r>
        <w:rPr>
          <w:rFonts w:cstheme="minorHAnsi"/>
        </w:rPr>
        <w:t>Table A</w:t>
      </w:r>
      <w:r w:rsidR="004D0FBB">
        <w:rPr>
          <w:rFonts w:cstheme="minorHAnsi"/>
        </w:rPr>
        <w:t>3</w:t>
      </w:r>
      <w:r>
        <w:rPr>
          <w:rFonts w:cstheme="minorHAnsi"/>
        </w:rPr>
        <w:t>.</w:t>
      </w:r>
      <w:r w:rsidR="004D0FBB">
        <w:rPr>
          <w:rFonts w:cstheme="minorHAnsi"/>
        </w:rPr>
        <w:t>1</w:t>
      </w:r>
      <w:r>
        <w:rPr>
          <w:rFonts w:cstheme="minorHAnsi"/>
        </w:rPr>
        <w:t xml:space="preserve">: Ordered Logit Analysis of the Effect of Receiving the Treatment Vignette on Respondent’s </w:t>
      </w:r>
      <w:bookmarkStart w:id="0" w:name="_Hlk142386880"/>
      <w:r>
        <w:rPr>
          <w:rFonts w:cstheme="minorHAnsi"/>
        </w:rPr>
        <w:t>General Interest in the U.S. Foreign Trade Policy moderated by gamer identity</w:t>
      </w:r>
      <w:bookmarkEnd w:id="0"/>
      <w:r w:rsidRPr="005B6E1D" w:rsidDel="00DE46AF">
        <w:rPr>
          <w:rFonts w:cstheme="minorHAnsi"/>
        </w:rPr>
        <w:t xml:space="preserve"> </w:t>
      </w:r>
      <w:r>
        <w:rPr>
          <w:rFonts w:cstheme="minorHAnsi"/>
        </w:rPr>
        <w:t>and controlling for the pre-test value of the dependent variable</w:t>
      </w:r>
    </w:p>
    <w:p w14:paraId="68D51D30" w14:textId="5A1C5E7E" w:rsidR="00C5029D" w:rsidRDefault="00762AC3" w:rsidP="00C5029D">
      <w:pPr>
        <w:pStyle w:val="NoSpacing"/>
        <w:jc w:val="center"/>
        <w:rPr>
          <w:rFonts w:cstheme="minorHAnsi"/>
        </w:rPr>
      </w:pPr>
      <w:r w:rsidRPr="00762AC3">
        <w:rPr>
          <w:noProof/>
        </w:rPr>
        <w:drawing>
          <wp:inline distT="0" distB="0" distL="0" distR="0" wp14:anchorId="303B3586" wp14:editId="25BCAA6E">
            <wp:extent cx="5943600" cy="310640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106407"/>
                    </a:xfrm>
                    <a:prstGeom prst="rect">
                      <a:avLst/>
                    </a:prstGeom>
                    <a:noFill/>
                    <a:ln>
                      <a:noFill/>
                    </a:ln>
                  </pic:spPr>
                </pic:pic>
              </a:graphicData>
            </a:graphic>
          </wp:inline>
        </w:drawing>
      </w:r>
    </w:p>
    <w:p w14:paraId="3076FE43" w14:textId="77777777" w:rsidR="009D3642" w:rsidRPr="00C5029D" w:rsidRDefault="009D3642" w:rsidP="00C5029D">
      <w:pPr>
        <w:pStyle w:val="NoSpacing"/>
        <w:jc w:val="center"/>
        <w:rPr>
          <w:rFonts w:cstheme="minorHAnsi"/>
        </w:rPr>
      </w:pPr>
    </w:p>
    <w:p w14:paraId="2978F183" w14:textId="7E4B3DAA" w:rsidR="009A1EF0" w:rsidRPr="005B6E1D" w:rsidRDefault="009A1EF0" w:rsidP="009A1EF0">
      <w:pPr>
        <w:pStyle w:val="NoSpacing"/>
        <w:jc w:val="center"/>
        <w:rPr>
          <w:rFonts w:cstheme="minorHAnsi"/>
        </w:rPr>
      </w:pPr>
      <w:r w:rsidRPr="005B6E1D">
        <w:rPr>
          <w:rFonts w:cstheme="minorHAnsi"/>
        </w:rPr>
        <w:t xml:space="preserve">Table </w:t>
      </w:r>
      <w:r w:rsidR="009F5C68">
        <w:rPr>
          <w:rFonts w:cstheme="minorHAnsi"/>
        </w:rPr>
        <w:t>A</w:t>
      </w:r>
      <w:r w:rsidR="004D0FBB">
        <w:rPr>
          <w:rFonts w:cstheme="minorHAnsi"/>
        </w:rPr>
        <w:t>3</w:t>
      </w:r>
      <w:r w:rsidR="009F5C68">
        <w:rPr>
          <w:rFonts w:cstheme="minorHAnsi"/>
        </w:rPr>
        <w:t>.</w:t>
      </w:r>
      <w:r w:rsidR="004D0FBB">
        <w:rPr>
          <w:rFonts w:cstheme="minorHAnsi"/>
        </w:rPr>
        <w:t>2</w:t>
      </w:r>
      <w:r w:rsidRPr="005B6E1D">
        <w:rPr>
          <w:rFonts w:cstheme="minorHAnsi"/>
        </w:rPr>
        <w:t xml:space="preserve">: </w:t>
      </w:r>
      <w:bookmarkStart w:id="1" w:name="_Hlk142386441"/>
      <w:r>
        <w:rPr>
          <w:rFonts w:cstheme="minorHAnsi"/>
        </w:rPr>
        <w:t>Ordered Logit Analysis of the Effect of Receiving the Treatment</w:t>
      </w:r>
      <w:r w:rsidR="009F5C68">
        <w:rPr>
          <w:rFonts w:cstheme="minorHAnsi"/>
        </w:rPr>
        <w:t xml:space="preserve"> Vignette</w:t>
      </w:r>
      <w:r>
        <w:rPr>
          <w:rFonts w:cstheme="minorHAnsi"/>
        </w:rPr>
        <w:t xml:space="preserve"> on </w:t>
      </w:r>
      <w:r w:rsidR="009F5C68">
        <w:rPr>
          <w:rFonts w:cstheme="minorHAnsi"/>
        </w:rPr>
        <w:t>Specific U.S. Foreign Trade Policy Discussed in the Vignette (gaming vs. general) moderated by gamer identity</w:t>
      </w:r>
      <w:bookmarkEnd w:id="1"/>
    </w:p>
    <w:p w14:paraId="3AE5DFD3" w14:textId="10FE0005" w:rsidR="00E95558" w:rsidRDefault="00762AC3" w:rsidP="00EB6A5D">
      <w:pPr>
        <w:pStyle w:val="NoSpacing"/>
        <w:jc w:val="center"/>
        <w:rPr>
          <w:rFonts w:cstheme="minorHAnsi"/>
          <w:u w:val="single"/>
        </w:rPr>
      </w:pPr>
      <w:r w:rsidRPr="00762AC3">
        <w:rPr>
          <w:noProof/>
        </w:rPr>
        <w:drawing>
          <wp:inline distT="0" distB="0" distL="0" distR="0" wp14:anchorId="2EFAD8A3" wp14:editId="172F8C95">
            <wp:extent cx="5943600" cy="275253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752534"/>
                    </a:xfrm>
                    <a:prstGeom prst="rect">
                      <a:avLst/>
                    </a:prstGeom>
                    <a:noFill/>
                    <a:ln>
                      <a:noFill/>
                    </a:ln>
                  </pic:spPr>
                </pic:pic>
              </a:graphicData>
            </a:graphic>
          </wp:inline>
        </w:drawing>
      </w:r>
    </w:p>
    <w:p w14:paraId="67115B25" w14:textId="77777777" w:rsidR="00E95558" w:rsidRDefault="00E95558" w:rsidP="00152A02">
      <w:pPr>
        <w:pStyle w:val="NoSpacing"/>
        <w:rPr>
          <w:rFonts w:cstheme="minorHAnsi"/>
          <w:u w:val="single"/>
        </w:rPr>
      </w:pPr>
    </w:p>
    <w:p w14:paraId="507C3E55" w14:textId="7DDFF03D" w:rsidR="00E95558" w:rsidRDefault="00E95558" w:rsidP="00152A02">
      <w:pPr>
        <w:pStyle w:val="NoSpacing"/>
        <w:rPr>
          <w:rFonts w:cstheme="minorHAnsi"/>
          <w:u w:val="single"/>
        </w:rPr>
      </w:pPr>
    </w:p>
    <w:p w14:paraId="13105185" w14:textId="4D010B9A" w:rsidR="00EB6A5D" w:rsidRDefault="00EB6A5D" w:rsidP="00152A02">
      <w:pPr>
        <w:pStyle w:val="NoSpacing"/>
        <w:rPr>
          <w:rFonts w:cstheme="minorHAnsi"/>
          <w:u w:val="single"/>
        </w:rPr>
      </w:pPr>
    </w:p>
    <w:p w14:paraId="3C26F1CE" w14:textId="3D174407" w:rsidR="00EB6A5D" w:rsidRDefault="00EB6A5D" w:rsidP="00152A02">
      <w:pPr>
        <w:pStyle w:val="NoSpacing"/>
        <w:rPr>
          <w:rFonts w:cstheme="minorHAnsi"/>
          <w:u w:val="single"/>
        </w:rPr>
      </w:pPr>
    </w:p>
    <w:p w14:paraId="4099925D" w14:textId="77777777" w:rsidR="00EB6A5D" w:rsidRDefault="00EB6A5D" w:rsidP="00152A02">
      <w:pPr>
        <w:pStyle w:val="NoSpacing"/>
        <w:rPr>
          <w:rFonts w:cstheme="minorHAnsi"/>
          <w:u w:val="single"/>
        </w:rPr>
      </w:pPr>
    </w:p>
    <w:p w14:paraId="10038035" w14:textId="1FE287B0" w:rsidR="009F5C68" w:rsidRPr="009F5C68" w:rsidRDefault="009F5C68" w:rsidP="00152A02">
      <w:pPr>
        <w:pStyle w:val="NoSpacing"/>
        <w:rPr>
          <w:rFonts w:cstheme="minorHAnsi"/>
          <w:u w:val="single"/>
        </w:rPr>
      </w:pPr>
      <w:r>
        <w:rPr>
          <w:rFonts w:cstheme="minorHAnsi"/>
          <w:u w:val="single"/>
        </w:rPr>
        <w:lastRenderedPageBreak/>
        <w:t>Additional analysis with different operationalization of dependent variable #1</w:t>
      </w:r>
    </w:p>
    <w:p w14:paraId="7A08EBAF" w14:textId="77777777" w:rsidR="00685304" w:rsidRDefault="00685304" w:rsidP="00685304">
      <w:pPr>
        <w:pStyle w:val="NoSpacing"/>
        <w:rPr>
          <w:rFonts w:cstheme="minorHAnsi"/>
        </w:rPr>
      </w:pPr>
    </w:p>
    <w:p w14:paraId="6594C10A" w14:textId="33C7F3A0" w:rsidR="00685304" w:rsidRPr="00685304" w:rsidRDefault="00685304" w:rsidP="00C435C4">
      <w:pPr>
        <w:pStyle w:val="NoSpacing"/>
        <w:spacing w:line="480" w:lineRule="auto"/>
        <w:rPr>
          <w:rFonts w:cstheme="minorHAnsi"/>
        </w:rPr>
      </w:pPr>
      <w:r>
        <w:rPr>
          <w:rFonts w:cstheme="minorHAnsi"/>
        </w:rPr>
        <w:tab/>
        <w:t xml:space="preserve">In addition to the OLS analysis with controls presented in the main manuscript, </w:t>
      </w:r>
      <w:r w:rsidRPr="00685304">
        <w:rPr>
          <w:rFonts w:cstheme="minorHAnsi"/>
        </w:rPr>
        <w:t xml:space="preserve">I calculated a difference between the post-test and pre-test measures to capture the treatment effect on generalized interest among gamers and non-gamers. A positive value indicates that the respondent’s interest in U.S. foreign trade increased after receiving the treatment, while a negative value signifies that the respondent became less interested. The results of this analysis are presented in Table </w:t>
      </w:r>
      <w:r>
        <w:rPr>
          <w:rFonts w:cstheme="minorHAnsi"/>
        </w:rPr>
        <w:t>A3.</w:t>
      </w:r>
      <w:r w:rsidR="004D0FBB">
        <w:rPr>
          <w:rFonts w:cstheme="minorHAnsi"/>
        </w:rPr>
        <w:t>3</w:t>
      </w:r>
      <w:r w:rsidRPr="00685304">
        <w:rPr>
          <w:rFonts w:cstheme="minorHAnsi"/>
        </w:rPr>
        <w:t xml:space="preserve"> and visualized in Figure </w:t>
      </w:r>
      <w:r>
        <w:rPr>
          <w:rFonts w:cstheme="minorHAnsi"/>
        </w:rPr>
        <w:t>A3.</w:t>
      </w:r>
      <w:r w:rsidR="004D0FBB">
        <w:rPr>
          <w:rFonts w:cstheme="minorHAnsi"/>
        </w:rPr>
        <w:t>4</w:t>
      </w:r>
      <w:r w:rsidRPr="00685304">
        <w:rPr>
          <w:rFonts w:cstheme="minorHAnsi"/>
        </w:rPr>
        <w:t>. The study uses OLS regression since the difference is a continuous number.</w:t>
      </w:r>
    </w:p>
    <w:p w14:paraId="2A391B1C" w14:textId="6CC4DC30" w:rsidR="00685304" w:rsidRDefault="00685304" w:rsidP="00685304">
      <w:pPr>
        <w:pStyle w:val="NoSpacing"/>
        <w:rPr>
          <w:rFonts w:cstheme="minorHAnsi"/>
        </w:rPr>
      </w:pPr>
    </w:p>
    <w:p w14:paraId="6A7FD71D" w14:textId="06B7383E" w:rsidR="00685304" w:rsidRDefault="00685304" w:rsidP="00685304">
      <w:pPr>
        <w:pStyle w:val="NoSpacing"/>
        <w:jc w:val="center"/>
        <w:rPr>
          <w:rFonts w:cstheme="minorHAnsi"/>
        </w:rPr>
      </w:pPr>
      <w:r>
        <w:rPr>
          <w:rFonts w:cstheme="minorHAnsi"/>
        </w:rPr>
        <w:t>Table A3.</w:t>
      </w:r>
      <w:r w:rsidR="004D0FBB">
        <w:rPr>
          <w:rFonts w:cstheme="minorHAnsi"/>
        </w:rPr>
        <w:t>3</w:t>
      </w:r>
      <w:r>
        <w:rPr>
          <w:rFonts w:cstheme="minorHAnsi"/>
        </w:rPr>
        <w:t>:</w:t>
      </w:r>
      <w:r w:rsidRPr="005B6E1D">
        <w:rPr>
          <w:rFonts w:cstheme="minorHAnsi"/>
        </w:rPr>
        <w:t xml:space="preserve"> </w:t>
      </w:r>
      <w:r>
        <w:rPr>
          <w:rFonts w:cstheme="minorHAnsi"/>
        </w:rPr>
        <w:t>OLS Analysis of the Effect of Receiving the Treatment Vignette on the Difference between the respondent’s Pre- and Post-test General Interest in the U.S. Foreign Trade Policy moderated by gamer identity moderated by gamer identity</w:t>
      </w:r>
    </w:p>
    <w:p w14:paraId="456C7516" w14:textId="7F0E5C29" w:rsidR="00685304" w:rsidRDefault="00E95558" w:rsidP="00685304">
      <w:pPr>
        <w:pStyle w:val="NoSpacing"/>
        <w:jc w:val="center"/>
        <w:rPr>
          <w:rFonts w:cstheme="minorHAnsi"/>
        </w:rPr>
      </w:pPr>
      <w:r w:rsidRPr="00E95558">
        <w:rPr>
          <w:noProof/>
        </w:rPr>
        <w:drawing>
          <wp:inline distT="0" distB="0" distL="0" distR="0" wp14:anchorId="36F5FF3D" wp14:editId="08EADC0D">
            <wp:extent cx="5943600" cy="3668889"/>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668889"/>
                    </a:xfrm>
                    <a:prstGeom prst="rect">
                      <a:avLst/>
                    </a:prstGeom>
                    <a:noFill/>
                    <a:ln>
                      <a:noFill/>
                    </a:ln>
                  </pic:spPr>
                </pic:pic>
              </a:graphicData>
            </a:graphic>
          </wp:inline>
        </w:drawing>
      </w:r>
    </w:p>
    <w:p w14:paraId="57401014" w14:textId="77777777" w:rsidR="00685304" w:rsidRDefault="00685304" w:rsidP="00685304">
      <w:pPr>
        <w:pStyle w:val="NoSpacing"/>
        <w:rPr>
          <w:rFonts w:cstheme="minorHAnsi"/>
        </w:rPr>
      </w:pPr>
    </w:p>
    <w:p w14:paraId="27BF047F" w14:textId="318CAE34" w:rsidR="00685304" w:rsidRPr="00685304" w:rsidRDefault="00685304" w:rsidP="00C435C4">
      <w:pPr>
        <w:pStyle w:val="NoSpacing"/>
        <w:spacing w:line="480" w:lineRule="auto"/>
        <w:rPr>
          <w:rFonts w:cstheme="minorHAnsi"/>
        </w:rPr>
      </w:pPr>
      <w:r w:rsidRPr="00685304">
        <w:rPr>
          <w:rFonts w:cstheme="minorHAnsi"/>
        </w:rPr>
        <w:tab/>
        <w:t xml:space="preserve">These results suggest that gamer identity—however specified—slightly decreases respondents’ interest in the specific policy listed in the article. More importantly, I observe a statistically significant and consistent effect of the treatment and the treatment’s interaction with gamer identity on the interest in the vignette topic. As Figure </w:t>
      </w:r>
      <w:r w:rsidR="004D0FBB">
        <w:rPr>
          <w:rFonts w:cstheme="minorHAnsi"/>
        </w:rPr>
        <w:t>A3.4</w:t>
      </w:r>
      <w:r w:rsidRPr="00685304">
        <w:rPr>
          <w:rFonts w:cstheme="minorHAnsi"/>
        </w:rPr>
        <w:t xml:space="preserve"> shows, treated gamers consistently expressed higher </w:t>
      </w:r>
      <w:r w:rsidRPr="00685304">
        <w:rPr>
          <w:rFonts w:cstheme="minorHAnsi"/>
        </w:rPr>
        <w:lastRenderedPageBreak/>
        <w:t>interest in U.S. foreign trade policy than control group gamers, and this difference is estimated to be 0.562 index points (about 8 percentage points). Similarly, treated gamers are estimated to show 0.454 index points (about 6.5 percentage points) higher general interest when compared to treated non-gamers.</w:t>
      </w:r>
    </w:p>
    <w:p w14:paraId="5EEFD542" w14:textId="0954F1B4" w:rsidR="00685304" w:rsidRDefault="00685304" w:rsidP="00685304">
      <w:pPr>
        <w:pStyle w:val="NoSpacing"/>
        <w:jc w:val="center"/>
        <w:rPr>
          <w:rFonts w:cstheme="minorHAnsi"/>
        </w:rPr>
      </w:pPr>
      <w:r>
        <w:rPr>
          <w:rFonts w:cstheme="minorHAnsi"/>
        </w:rPr>
        <w:t>Figure A3.</w:t>
      </w:r>
      <w:r w:rsidR="004D0FBB">
        <w:rPr>
          <w:rFonts w:cstheme="minorHAnsi"/>
        </w:rPr>
        <w:t>4</w:t>
      </w:r>
      <w:r>
        <w:rPr>
          <w:rFonts w:cstheme="minorHAnsi"/>
        </w:rPr>
        <w:t>: Visualization of the predicted values as calculated in Table A</w:t>
      </w:r>
      <w:r w:rsidR="004D0FBB">
        <w:rPr>
          <w:rFonts w:cstheme="minorHAnsi"/>
        </w:rPr>
        <w:t>3</w:t>
      </w:r>
      <w:r>
        <w:rPr>
          <w:rFonts w:cstheme="minorHAnsi"/>
        </w:rPr>
        <w:t>.</w:t>
      </w:r>
      <w:r w:rsidR="004D0FBB">
        <w:rPr>
          <w:rFonts w:cstheme="minorHAnsi"/>
        </w:rPr>
        <w:t>3</w:t>
      </w:r>
    </w:p>
    <w:p w14:paraId="49EB925E" w14:textId="4D7572EC" w:rsidR="008755F3" w:rsidRDefault="00685304" w:rsidP="00685304">
      <w:pPr>
        <w:pStyle w:val="NoSpacing"/>
        <w:jc w:val="center"/>
        <w:rPr>
          <w:rFonts w:cstheme="minorHAnsi"/>
          <w:bCs/>
        </w:rPr>
      </w:pPr>
      <w:r w:rsidRPr="005B6E1D">
        <w:rPr>
          <w:rFonts w:cstheme="minorHAnsi"/>
          <w:bCs/>
          <w:noProof/>
        </w:rPr>
        <w:drawing>
          <wp:inline distT="0" distB="0" distL="0" distR="0" wp14:anchorId="598498A8" wp14:editId="4EE13BA6">
            <wp:extent cx="5486400" cy="3657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2DC6B79B" w14:textId="06258D9D" w:rsidR="008755F3" w:rsidRPr="005B6E1D" w:rsidRDefault="008755F3" w:rsidP="008755F3">
      <w:pPr>
        <w:pStyle w:val="NoSpacing"/>
        <w:rPr>
          <w:rFonts w:cstheme="minorHAnsi"/>
          <w:bCs/>
        </w:rPr>
      </w:pPr>
      <w:r>
        <w:rPr>
          <w:rFonts w:cstheme="minorHAnsi"/>
          <w:bCs/>
        </w:rPr>
        <w:t xml:space="preserve">Note: </w:t>
      </w:r>
      <w:r>
        <w:rPr>
          <w:rFonts w:cstheme="minorHAnsi"/>
          <w:bCs/>
        </w:rPr>
        <w:tab/>
        <w:t>Shaded regions represent 95% confidence intervals.</w:t>
      </w:r>
    </w:p>
    <w:p w14:paraId="20158ABA" w14:textId="77777777" w:rsidR="00685304" w:rsidRDefault="00685304" w:rsidP="00685304">
      <w:pPr>
        <w:pStyle w:val="NoSpacing"/>
        <w:rPr>
          <w:rFonts w:cstheme="minorHAnsi"/>
        </w:rPr>
      </w:pPr>
    </w:p>
    <w:p w14:paraId="207EC24E" w14:textId="46C8CAB6" w:rsidR="00152A02" w:rsidRDefault="00685304" w:rsidP="00C435C4">
      <w:pPr>
        <w:pStyle w:val="NoSpacing"/>
        <w:spacing w:line="480" w:lineRule="auto"/>
        <w:rPr>
          <w:rFonts w:cstheme="minorHAnsi"/>
        </w:rPr>
      </w:pPr>
      <w:r w:rsidRPr="00685304">
        <w:rPr>
          <w:rFonts w:cstheme="minorHAnsi"/>
        </w:rPr>
        <w:tab/>
        <w:t>To summarize, if primed with a prompt that interlaces gaming with a broader political context, gamers can frame nebulous topics like foreign trade in terms of their hobby. The boost in salience, therefore, has an apparent effect on interest. I present this relationship even more clearly in the following section, where I discuss the impact of the interaction between treatment and gamer identity on one’s interest in the foreign trade policy discussed in the article.</w:t>
      </w:r>
    </w:p>
    <w:p w14:paraId="52FAA8C9" w14:textId="77777777" w:rsidR="00630867" w:rsidRDefault="00630867" w:rsidP="00152A02">
      <w:pPr>
        <w:pStyle w:val="NoSpacing"/>
        <w:rPr>
          <w:rFonts w:cstheme="minorHAnsi"/>
          <w:u w:val="single"/>
        </w:rPr>
      </w:pPr>
    </w:p>
    <w:p w14:paraId="6855BF3F" w14:textId="77777777" w:rsidR="00630867" w:rsidRDefault="00630867" w:rsidP="00152A02">
      <w:pPr>
        <w:pStyle w:val="NoSpacing"/>
        <w:rPr>
          <w:rFonts w:cstheme="minorHAnsi"/>
          <w:u w:val="single"/>
        </w:rPr>
      </w:pPr>
    </w:p>
    <w:p w14:paraId="7DDDEFDB" w14:textId="77777777" w:rsidR="00630867" w:rsidRDefault="00630867" w:rsidP="00152A02">
      <w:pPr>
        <w:pStyle w:val="NoSpacing"/>
        <w:rPr>
          <w:rFonts w:cstheme="minorHAnsi"/>
          <w:u w:val="single"/>
        </w:rPr>
      </w:pPr>
    </w:p>
    <w:p w14:paraId="45F5D9AC" w14:textId="77777777" w:rsidR="00630867" w:rsidRDefault="00630867" w:rsidP="00152A02">
      <w:pPr>
        <w:pStyle w:val="NoSpacing"/>
        <w:rPr>
          <w:rFonts w:cstheme="minorHAnsi"/>
          <w:u w:val="single"/>
        </w:rPr>
      </w:pPr>
    </w:p>
    <w:p w14:paraId="0A9F1D02" w14:textId="77777777" w:rsidR="00630867" w:rsidRDefault="00630867" w:rsidP="00152A02">
      <w:pPr>
        <w:pStyle w:val="NoSpacing"/>
        <w:rPr>
          <w:rFonts w:cstheme="minorHAnsi"/>
          <w:u w:val="single"/>
        </w:rPr>
      </w:pPr>
    </w:p>
    <w:p w14:paraId="50077758" w14:textId="77777777" w:rsidR="00630867" w:rsidRDefault="00630867" w:rsidP="00152A02">
      <w:pPr>
        <w:pStyle w:val="NoSpacing"/>
        <w:rPr>
          <w:rFonts w:cstheme="minorHAnsi"/>
          <w:u w:val="single"/>
        </w:rPr>
      </w:pPr>
    </w:p>
    <w:p w14:paraId="6D768CD0" w14:textId="15288F20" w:rsidR="00152A02" w:rsidRPr="009B6A42" w:rsidRDefault="00152A02" w:rsidP="00152A02">
      <w:pPr>
        <w:pStyle w:val="NoSpacing"/>
        <w:rPr>
          <w:rFonts w:cstheme="minorHAnsi"/>
          <w:u w:val="single"/>
        </w:rPr>
      </w:pPr>
      <w:r w:rsidRPr="009B6A42">
        <w:rPr>
          <w:rFonts w:cstheme="minorHAnsi"/>
          <w:u w:val="single"/>
        </w:rPr>
        <w:t xml:space="preserve">Results calculated using Kruskal </w:t>
      </w:r>
      <w:r w:rsidR="00C6456D" w:rsidRPr="009B6A42">
        <w:rPr>
          <w:rFonts w:cstheme="minorHAnsi"/>
          <w:u w:val="single"/>
        </w:rPr>
        <w:t>W</w:t>
      </w:r>
      <w:r w:rsidRPr="009B6A42">
        <w:rPr>
          <w:rFonts w:cstheme="minorHAnsi"/>
          <w:u w:val="single"/>
        </w:rPr>
        <w:t>allis</w:t>
      </w:r>
      <w:r w:rsidR="00C435C4">
        <w:rPr>
          <w:rFonts w:cstheme="minorHAnsi"/>
          <w:u w:val="single"/>
        </w:rPr>
        <w:t xml:space="preserve"> models</w:t>
      </w:r>
      <w:r w:rsidR="00C6456D" w:rsidRPr="009B6A42">
        <w:rPr>
          <w:rFonts w:cstheme="minorHAnsi"/>
          <w:u w:val="single"/>
        </w:rPr>
        <w:t xml:space="preserve"> on subsets</w:t>
      </w:r>
      <w:r w:rsidR="00202838">
        <w:rPr>
          <w:rFonts w:cstheme="minorHAnsi"/>
          <w:u w:val="single"/>
        </w:rPr>
        <w:t xml:space="preserve"> of data</w:t>
      </w:r>
    </w:p>
    <w:p w14:paraId="7C11D7AC" w14:textId="22FB6C60" w:rsidR="00152A02" w:rsidRDefault="00152A02" w:rsidP="00152A02">
      <w:pPr>
        <w:pStyle w:val="NoSpacing"/>
        <w:rPr>
          <w:rFonts w:cstheme="minorHAnsi"/>
        </w:rPr>
      </w:pPr>
    </w:p>
    <w:p w14:paraId="22795D98" w14:textId="7199C688" w:rsidR="004D0FBB" w:rsidRPr="004D0FBB" w:rsidRDefault="004D0FBB" w:rsidP="00C435C4">
      <w:pPr>
        <w:pStyle w:val="NoSpacing"/>
        <w:spacing w:line="480" w:lineRule="auto"/>
        <w:rPr>
          <w:rFonts w:cstheme="minorHAnsi"/>
        </w:rPr>
      </w:pPr>
      <w:r>
        <w:rPr>
          <w:rFonts w:cstheme="minorHAnsi"/>
          <w:i/>
        </w:rPr>
        <w:t>General Interest</w:t>
      </w:r>
    </w:p>
    <w:p w14:paraId="23AD50FB" w14:textId="52B87FF0" w:rsidR="00202838" w:rsidRDefault="00F8390F" w:rsidP="00C435C4">
      <w:pPr>
        <w:pStyle w:val="NoSpacing"/>
        <w:spacing w:line="480" w:lineRule="auto"/>
        <w:rPr>
          <w:rFonts w:cstheme="minorHAnsi"/>
        </w:rPr>
      </w:pPr>
      <w:r>
        <w:rPr>
          <w:rFonts w:cstheme="minorHAnsi"/>
        </w:rPr>
        <w:tab/>
        <w:t>The average difference in pre- and post-test general interest was 0.084</w:t>
      </w:r>
      <w:r w:rsidR="00D10888">
        <w:rPr>
          <w:rFonts w:cstheme="minorHAnsi"/>
        </w:rPr>
        <w:t xml:space="preserve"> (</w:t>
      </w:r>
      <w:proofErr w:type="spellStart"/>
      <w:r w:rsidR="00D10888">
        <w:rPr>
          <w:rFonts w:cstheme="minorHAnsi"/>
        </w:rPr>
        <w:t>s.d.</w:t>
      </w:r>
      <w:proofErr w:type="spellEnd"/>
      <w:r w:rsidR="00D10888">
        <w:rPr>
          <w:rFonts w:cstheme="minorHAnsi"/>
        </w:rPr>
        <w:t xml:space="preserve"> = 1.380</w:t>
      </w:r>
      <w:r w:rsidR="00107940">
        <w:rPr>
          <w:rFonts w:cstheme="minorHAnsi"/>
        </w:rPr>
        <w:t xml:space="preserve">, N = </w:t>
      </w:r>
      <w:r w:rsidR="00107940" w:rsidRPr="00107940">
        <w:rPr>
          <w:rFonts w:cstheme="minorHAnsi"/>
        </w:rPr>
        <w:t>429</w:t>
      </w:r>
      <w:r w:rsidR="00D10888">
        <w:rPr>
          <w:rFonts w:cstheme="minorHAnsi"/>
        </w:rPr>
        <w:t>)</w:t>
      </w:r>
      <w:r>
        <w:rPr>
          <w:rFonts w:cstheme="minorHAnsi"/>
        </w:rPr>
        <w:t xml:space="preserve"> among those who received the control manipulation. The same pre- and post-test difference among those who received the treatment was 0.044</w:t>
      </w:r>
      <w:r w:rsidR="00D10888">
        <w:rPr>
          <w:rFonts w:cstheme="minorHAnsi"/>
        </w:rPr>
        <w:t xml:space="preserve"> (</w:t>
      </w:r>
      <w:proofErr w:type="spellStart"/>
      <w:r w:rsidR="00D10888">
        <w:rPr>
          <w:rFonts w:cstheme="minorHAnsi"/>
        </w:rPr>
        <w:t>s.d.</w:t>
      </w:r>
      <w:proofErr w:type="spellEnd"/>
      <w:r w:rsidR="00D10888">
        <w:rPr>
          <w:rFonts w:cstheme="minorHAnsi"/>
        </w:rPr>
        <w:t xml:space="preserve"> = 1.694</w:t>
      </w:r>
      <w:r w:rsidR="00107940">
        <w:rPr>
          <w:rFonts w:cstheme="minorHAnsi"/>
        </w:rPr>
        <w:t xml:space="preserve">, N = </w:t>
      </w:r>
      <w:r w:rsidR="00107940" w:rsidRPr="00107940">
        <w:rPr>
          <w:rFonts w:cstheme="minorHAnsi"/>
        </w:rPr>
        <w:t>431</w:t>
      </w:r>
      <w:r w:rsidR="00D10888">
        <w:rPr>
          <w:rFonts w:cstheme="minorHAnsi"/>
        </w:rPr>
        <w:t>)</w:t>
      </w:r>
      <w:r>
        <w:rPr>
          <w:rFonts w:cstheme="minorHAnsi"/>
        </w:rPr>
        <w:t xml:space="preserve">, suggesting that while the interest in this group also rose on average, the increase was smaller than among the control group. </w:t>
      </w:r>
      <w:r w:rsidR="00D10888">
        <w:rPr>
          <w:rFonts w:cstheme="minorHAnsi"/>
        </w:rPr>
        <w:t>This difference is not statistically significant (Kruskal Wallis χ</w:t>
      </w:r>
      <w:r w:rsidR="00D10888" w:rsidRPr="004A1EEA">
        <w:rPr>
          <w:rFonts w:cstheme="minorHAnsi"/>
          <w:vertAlign w:val="superscript"/>
        </w:rPr>
        <w:t>2</w:t>
      </w:r>
      <w:r w:rsidR="00D10888">
        <w:rPr>
          <w:rFonts w:cstheme="minorHAnsi"/>
        </w:rPr>
        <w:t xml:space="preserve"> = </w:t>
      </w:r>
      <w:r w:rsidR="00202838" w:rsidRPr="00202838">
        <w:rPr>
          <w:rFonts w:cstheme="minorHAnsi"/>
        </w:rPr>
        <w:t>0.026</w:t>
      </w:r>
      <w:r w:rsidR="00D10888">
        <w:rPr>
          <w:rFonts w:cstheme="minorHAnsi"/>
        </w:rPr>
        <w:t xml:space="preserve">, p = 0.873). </w:t>
      </w:r>
    </w:p>
    <w:p w14:paraId="47EA40E5" w14:textId="4E4409F2" w:rsidR="004D0FBB" w:rsidRDefault="00202838" w:rsidP="00C435C4">
      <w:pPr>
        <w:pStyle w:val="NoSpacing"/>
        <w:spacing w:line="480" w:lineRule="auto"/>
        <w:rPr>
          <w:rFonts w:cstheme="minorHAnsi"/>
        </w:rPr>
      </w:pPr>
      <w:r>
        <w:rPr>
          <w:rFonts w:cstheme="minorHAnsi"/>
        </w:rPr>
        <w:tab/>
      </w:r>
      <w:r w:rsidR="00D10888">
        <w:rPr>
          <w:rFonts w:cstheme="minorHAnsi"/>
        </w:rPr>
        <w:t>Gamers who received the control manipulation barely changed in their self-declared general interest, with the average change of only 0.</w:t>
      </w:r>
      <w:r w:rsidR="00D10888">
        <w:t>007 (</w:t>
      </w:r>
      <w:proofErr w:type="spellStart"/>
      <w:r w:rsidR="00D10888">
        <w:t>s.d.</w:t>
      </w:r>
      <w:proofErr w:type="spellEnd"/>
      <w:r w:rsidR="00D10888">
        <w:t xml:space="preserve"> = 1.500</w:t>
      </w:r>
      <w:r w:rsidR="00107940">
        <w:t xml:space="preserve">, N = </w:t>
      </w:r>
      <w:r w:rsidR="00107940" w:rsidRPr="00107940">
        <w:t>145</w:t>
      </w:r>
      <w:r w:rsidR="00D10888">
        <w:t>)</w:t>
      </w:r>
      <w:r w:rsidR="00D10888">
        <w:rPr>
          <w:rFonts w:cstheme="minorHAnsi"/>
        </w:rPr>
        <w:t>, while gamers who received the treatment manipulation reported average increase of interest in the magnitude of 0</w:t>
      </w:r>
      <w:r w:rsidR="00D10888" w:rsidRPr="00D10888">
        <w:rPr>
          <w:rFonts w:cstheme="minorHAnsi"/>
        </w:rPr>
        <w:t>.279</w:t>
      </w:r>
      <w:r w:rsidR="00D10888">
        <w:rPr>
          <w:rFonts w:cstheme="minorHAnsi"/>
        </w:rPr>
        <w:t xml:space="preserve"> (</w:t>
      </w:r>
      <w:proofErr w:type="spellStart"/>
      <w:r w:rsidR="00D10888">
        <w:rPr>
          <w:rFonts w:cstheme="minorHAnsi"/>
        </w:rPr>
        <w:t>s.d.</w:t>
      </w:r>
      <w:proofErr w:type="spellEnd"/>
      <w:r w:rsidR="00D10888">
        <w:rPr>
          <w:rFonts w:cstheme="minorHAnsi"/>
        </w:rPr>
        <w:t xml:space="preserve"> = 1.838</w:t>
      </w:r>
      <w:r w:rsidR="00107940">
        <w:rPr>
          <w:rFonts w:cstheme="minorHAnsi"/>
        </w:rPr>
        <w:t xml:space="preserve">, N = </w:t>
      </w:r>
      <w:r w:rsidR="00107940" w:rsidRPr="00107940">
        <w:rPr>
          <w:rFonts w:cstheme="minorHAnsi"/>
        </w:rPr>
        <w:t>154</w:t>
      </w:r>
      <w:r w:rsidR="00D10888">
        <w:rPr>
          <w:rFonts w:cstheme="minorHAnsi"/>
        </w:rPr>
        <w:t xml:space="preserve">). </w:t>
      </w:r>
      <w:r>
        <w:rPr>
          <w:rFonts w:cstheme="minorHAnsi"/>
        </w:rPr>
        <w:t>This difference between the groups is statistically significant (Kruskal Wallis χ</w:t>
      </w:r>
      <w:r w:rsidRPr="004A1EEA">
        <w:rPr>
          <w:rFonts w:cstheme="minorHAnsi"/>
          <w:vertAlign w:val="superscript"/>
        </w:rPr>
        <w:t>2</w:t>
      </w:r>
      <w:r>
        <w:rPr>
          <w:rFonts w:cstheme="minorHAnsi"/>
        </w:rPr>
        <w:t xml:space="preserve"> = </w:t>
      </w:r>
      <w:r w:rsidRPr="00202838">
        <w:rPr>
          <w:rFonts w:cstheme="minorHAnsi"/>
        </w:rPr>
        <w:t>4.116</w:t>
      </w:r>
      <w:r>
        <w:rPr>
          <w:rFonts w:cstheme="minorHAnsi"/>
        </w:rPr>
        <w:t xml:space="preserve">, p = </w:t>
      </w:r>
      <w:r w:rsidRPr="00202838">
        <w:rPr>
          <w:rFonts w:cstheme="minorHAnsi"/>
        </w:rPr>
        <w:t>0.04</w:t>
      </w:r>
      <w:r>
        <w:rPr>
          <w:rFonts w:cstheme="minorHAnsi"/>
        </w:rPr>
        <w:t>3), which lends credence to my hypothesis that gamers who received the treatment manipulation would increase their interest in U.S. foreign trade policy more than gamers who did not.</w:t>
      </w:r>
    </w:p>
    <w:p w14:paraId="2D54CE92" w14:textId="2940261B" w:rsidR="000F5ED4" w:rsidRDefault="004D0FBB" w:rsidP="00C435C4">
      <w:pPr>
        <w:pStyle w:val="NoSpacing"/>
        <w:spacing w:line="480" w:lineRule="auto"/>
        <w:rPr>
          <w:rFonts w:cstheme="minorHAnsi"/>
        </w:rPr>
      </w:pPr>
      <w:r>
        <w:rPr>
          <w:rFonts w:cstheme="minorHAnsi"/>
        </w:rPr>
        <w:tab/>
      </w:r>
      <w:r w:rsidR="00202838">
        <w:rPr>
          <w:rFonts w:cstheme="minorHAnsi"/>
        </w:rPr>
        <w:t>The average difference in general interest among non-gamers in the control group increased by 0</w:t>
      </w:r>
      <w:r w:rsidR="00202838" w:rsidRPr="00202838">
        <w:rPr>
          <w:rFonts w:cstheme="minorHAnsi"/>
        </w:rPr>
        <w:t>.123</w:t>
      </w:r>
      <w:r w:rsidR="00202838">
        <w:rPr>
          <w:rFonts w:cstheme="minorHAnsi"/>
        </w:rPr>
        <w:t xml:space="preserve"> (</w:t>
      </w:r>
      <w:proofErr w:type="spellStart"/>
      <w:r w:rsidR="00202838">
        <w:rPr>
          <w:rFonts w:cstheme="minorHAnsi"/>
        </w:rPr>
        <w:t>s.d.</w:t>
      </w:r>
      <w:proofErr w:type="spellEnd"/>
      <w:r w:rsidR="00202838">
        <w:rPr>
          <w:rFonts w:cstheme="minorHAnsi"/>
        </w:rPr>
        <w:t xml:space="preserve"> = </w:t>
      </w:r>
      <w:r w:rsidR="00202838" w:rsidRPr="00202838">
        <w:rPr>
          <w:rFonts w:cstheme="minorHAnsi"/>
        </w:rPr>
        <w:t>1.31</w:t>
      </w:r>
      <w:r w:rsidR="00202838">
        <w:rPr>
          <w:rFonts w:cstheme="minorHAnsi"/>
        </w:rPr>
        <w:t>7</w:t>
      </w:r>
      <w:r w:rsidR="00107940">
        <w:rPr>
          <w:rFonts w:cstheme="minorHAnsi"/>
        </w:rPr>
        <w:t xml:space="preserve">, N = </w:t>
      </w:r>
      <w:r w:rsidR="00107940" w:rsidRPr="00107940">
        <w:rPr>
          <w:rFonts w:cstheme="minorHAnsi"/>
        </w:rPr>
        <w:t>284</w:t>
      </w:r>
      <w:r w:rsidR="00202838">
        <w:rPr>
          <w:rFonts w:cstheme="minorHAnsi"/>
        </w:rPr>
        <w:t xml:space="preserve">) and </w:t>
      </w:r>
      <w:r w:rsidR="00202838">
        <w:rPr>
          <w:rFonts w:cstheme="minorHAnsi"/>
          <w:i/>
        </w:rPr>
        <w:t>decreased</w:t>
      </w:r>
      <w:r w:rsidR="00202838">
        <w:rPr>
          <w:rFonts w:cstheme="minorHAnsi"/>
        </w:rPr>
        <w:t xml:space="preserve"> by 0</w:t>
      </w:r>
      <w:r w:rsidR="00202838" w:rsidRPr="00202838">
        <w:rPr>
          <w:rFonts w:cstheme="minorHAnsi"/>
        </w:rPr>
        <w:t>.08</w:t>
      </w:r>
      <w:r w:rsidR="00202838">
        <w:rPr>
          <w:rFonts w:cstheme="minorHAnsi"/>
        </w:rPr>
        <w:t>7 (</w:t>
      </w:r>
      <w:proofErr w:type="spellStart"/>
      <w:r w:rsidR="00202838">
        <w:rPr>
          <w:rFonts w:cstheme="minorHAnsi"/>
        </w:rPr>
        <w:t>s.d.</w:t>
      </w:r>
      <w:proofErr w:type="spellEnd"/>
      <w:r w:rsidR="00202838">
        <w:rPr>
          <w:rFonts w:cstheme="minorHAnsi"/>
        </w:rPr>
        <w:t xml:space="preserve"> = </w:t>
      </w:r>
      <w:r w:rsidR="00202838" w:rsidRPr="00202838">
        <w:rPr>
          <w:rFonts w:cstheme="minorHAnsi"/>
        </w:rPr>
        <w:t>1.597</w:t>
      </w:r>
      <w:r w:rsidR="00107940">
        <w:rPr>
          <w:rFonts w:cstheme="minorHAnsi"/>
        </w:rPr>
        <w:t xml:space="preserve"> N = </w:t>
      </w:r>
      <w:r w:rsidR="00107940" w:rsidRPr="00107940">
        <w:rPr>
          <w:rFonts w:cstheme="minorHAnsi"/>
        </w:rPr>
        <w:t>277</w:t>
      </w:r>
      <w:r w:rsidR="00202838">
        <w:rPr>
          <w:rFonts w:cstheme="minorHAnsi"/>
        </w:rPr>
        <w:t>) among non-gamers in the treatment group. The resulting difference which can be attributed to the treatment translates to -0.210—ergo a decrease in interest due to the treatment—and this result approaches statistical significance at 0.05 level (Kruskal Wallis χ</w:t>
      </w:r>
      <w:r w:rsidR="00202838" w:rsidRPr="004A1EEA">
        <w:rPr>
          <w:rFonts w:cstheme="minorHAnsi"/>
          <w:vertAlign w:val="superscript"/>
        </w:rPr>
        <w:t>2</w:t>
      </w:r>
      <w:r w:rsidR="00202838">
        <w:rPr>
          <w:rFonts w:cstheme="minorHAnsi"/>
        </w:rPr>
        <w:t xml:space="preserve"> = </w:t>
      </w:r>
      <w:r w:rsidRPr="004D0FBB">
        <w:rPr>
          <w:rFonts w:cstheme="minorHAnsi"/>
        </w:rPr>
        <w:t>3.505</w:t>
      </w:r>
      <w:r w:rsidR="00202838">
        <w:rPr>
          <w:rFonts w:cstheme="minorHAnsi"/>
        </w:rPr>
        <w:t xml:space="preserve">, p = </w:t>
      </w:r>
      <w:r w:rsidRPr="004D0FBB">
        <w:rPr>
          <w:rFonts w:cstheme="minorHAnsi"/>
        </w:rPr>
        <w:t>0.061</w:t>
      </w:r>
      <w:r>
        <w:rPr>
          <w:rFonts w:cstheme="minorHAnsi"/>
        </w:rPr>
        <w:t>). These results are consistent with those reported elsewhere in this appendix and in the main body of the manuscript.</w:t>
      </w:r>
    </w:p>
    <w:p w14:paraId="1E040A13" w14:textId="607D3CC2" w:rsidR="004D0FBB" w:rsidRDefault="004D0FBB" w:rsidP="00C435C4">
      <w:pPr>
        <w:pStyle w:val="NoSpacing"/>
        <w:spacing w:line="480" w:lineRule="auto"/>
        <w:rPr>
          <w:rFonts w:cstheme="minorHAnsi"/>
        </w:rPr>
      </w:pPr>
      <w:r>
        <w:rPr>
          <w:rFonts w:cstheme="minorHAnsi"/>
          <w:i/>
        </w:rPr>
        <w:t>Specific Interest</w:t>
      </w:r>
    </w:p>
    <w:p w14:paraId="1DD31282" w14:textId="1CAD6F5D" w:rsidR="004D0FBB" w:rsidRDefault="004D0FBB" w:rsidP="00C435C4">
      <w:pPr>
        <w:pStyle w:val="NoSpacing"/>
        <w:spacing w:line="480" w:lineRule="auto"/>
        <w:rPr>
          <w:rFonts w:cstheme="minorHAnsi"/>
        </w:rPr>
      </w:pPr>
      <w:r>
        <w:rPr>
          <w:rFonts w:cstheme="minorHAnsi"/>
        </w:rPr>
        <w:tab/>
        <w:t xml:space="preserve">The average interest in the policy specifically discussed </w:t>
      </w:r>
      <w:r w:rsidR="0024726C">
        <w:rPr>
          <w:rFonts w:cstheme="minorHAnsi"/>
        </w:rPr>
        <w:t>among those research participants in the control group was 6.372</w:t>
      </w:r>
      <w:r>
        <w:rPr>
          <w:rFonts w:cstheme="minorHAnsi"/>
        </w:rPr>
        <w:t xml:space="preserve"> (</w:t>
      </w:r>
      <w:proofErr w:type="spellStart"/>
      <w:r>
        <w:rPr>
          <w:rFonts w:cstheme="minorHAnsi"/>
        </w:rPr>
        <w:t>s.d.</w:t>
      </w:r>
      <w:proofErr w:type="spellEnd"/>
      <w:r>
        <w:rPr>
          <w:rFonts w:cstheme="minorHAnsi"/>
        </w:rPr>
        <w:t xml:space="preserve"> = </w:t>
      </w:r>
      <w:r w:rsidR="0024726C">
        <w:rPr>
          <w:rFonts w:cstheme="minorHAnsi"/>
        </w:rPr>
        <w:t xml:space="preserve">2.420, N = 433). </w:t>
      </w:r>
      <w:r>
        <w:rPr>
          <w:rFonts w:cstheme="minorHAnsi"/>
        </w:rPr>
        <w:t xml:space="preserve">The value among those who received the treatment was </w:t>
      </w:r>
      <w:r w:rsidR="0024726C">
        <w:rPr>
          <w:rFonts w:cstheme="minorHAnsi"/>
        </w:rPr>
        <w:t>5.840</w:t>
      </w:r>
      <w:r>
        <w:rPr>
          <w:rFonts w:cstheme="minorHAnsi"/>
        </w:rPr>
        <w:t xml:space="preserve"> (</w:t>
      </w:r>
      <w:proofErr w:type="spellStart"/>
      <w:r>
        <w:rPr>
          <w:rFonts w:cstheme="minorHAnsi"/>
        </w:rPr>
        <w:t>s.d.</w:t>
      </w:r>
      <w:proofErr w:type="spellEnd"/>
      <w:r>
        <w:rPr>
          <w:rFonts w:cstheme="minorHAnsi"/>
        </w:rPr>
        <w:t xml:space="preserve"> = </w:t>
      </w:r>
      <w:r w:rsidR="0024726C">
        <w:rPr>
          <w:rFonts w:cstheme="minorHAnsi"/>
        </w:rPr>
        <w:t>2.709</w:t>
      </w:r>
      <w:r>
        <w:rPr>
          <w:rFonts w:cstheme="minorHAnsi"/>
        </w:rPr>
        <w:t xml:space="preserve">), suggesting that </w:t>
      </w:r>
      <w:r w:rsidR="0024726C">
        <w:rPr>
          <w:rFonts w:cstheme="minorHAnsi"/>
        </w:rPr>
        <w:t xml:space="preserve">among all respondents, receiving the treatment decreased the </w:t>
      </w:r>
      <w:r w:rsidR="0024726C">
        <w:rPr>
          <w:rFonts w:cstheme="minorHAnsi"/>
        </w:rPr>
        <w:lastRenderedPageBreak/>
        <w:t>interest in the U.S. foreign trade policy with China</w:t>
      </w:r>
      <w:r>
        <w:rPr>
          <w:rFonts w:cstheme="minorHAnsi"/>
        </w:rPr>
        <w:t xml:space="preserve">. This difference </w:t>
      </w:r>
      <w:r w:rsidR="0024726C">
        <w:rPr>
          <w:rFonts w:cstheme="minorHAnsi"/>
        </w:rPr>
        <w:t>is</w:t>
      </w:r>
      <w:r>
        <w:rPr>
          <w:rFonts w:cstheme="minorHAnsi"/>
        </w:rPr>
        <w:t xml:space="preserve"> statistically significant (Kruskal Wallis χ</w:t>
      </w:r>
      <w:r w:rsidRPr="004A1EEA">
        <w:rPr>
          <w:rFonts w:cstheme="minorHAnsi"/>
          <w:vertAlign w:val="superscript"/>
        </w:rPr>
        <w:t>2</w:t>
      </w:r>
      <w:r>
        <w:rPr>
          <w:rFonts w:cstheme="minorHAnsi"/>
        </w:rPr>
        <w:t xml:space="preserve"> = </w:t>
      </w:r>
      <w:r w:rsidR="0024726C">
        <w:rPr>
          <w:rFonts w:cstheme="minorHAnsi"/>
        </w:rPr>
        <w:t>7.094</w:t>
      </w:r>
      <w:r>
        <w:rPr>
          <w:rFonts w:cstheme="minorHAnsi"/>
        </w:rPr>
        <w:t xml:space="preserve">, p </w:t>
      </w:r>
      <w:r w:rsidR="0024726C">
        <w:rPr>
          <w:rFonts w:cstheme="minorHAnsi"/>
        </w:rPr>
        <w:t>=</w:t>
      </w:r>
      <w:r>
        <w:rPr>
          <w:rFonts w:cstheme="minorHAnsi"/>
        </w:rPr>
        <w:t xml:space="preserve"> </w:t>
      </w:r>
      <w:r w:rsidR="0024726C">
        <w:rPr>
          <w:rFonts w:cstheme="minorHAnsi"/>
        </w:rPr>
        <w:t>0.008</w:t>
      </w:r>
      <w:r>
        <w:rPr>
          <w:rFonts w:cstheme="minorHAnsi"/>
        </w:rPr>
        <w:t xml:space="preserve">). </w:t>
      </w:r>
    </w:p>
    <w:p w14:paraId="4579B448" w14:textId="3BC8AD99" w:rsidR="004D0FBB" w:rsidRDefault="004D0FBB" w:rsidP="00C435C4">
      <w:pPr>
        <w:pStyle w:val="NoSpacing"/>
        <w:spacing w:line="480" w:lineRule="auto"/>
        <w:rPr>
          <w:rFonts w:cstheme="minorHAnsi"/>
        </w:rPr>
      </w:pPr>
      <w:r>
        <w:rPr>
          <w:rFonts w:cstheme="minorHAnsi"/>
        </w:rPr>
        <w:tab/>
      </w:r>
      <w:r w:rsidR="00E30D03">
        <w:rPr>
          <w:rFonts w:cstheme="minorHAnsi"/>
        </w:rPr>
        <w:t>Control group gamers recorded the average specific interest of 6.852</w:t>
      </w:r>
      <w:r>
        <w:t xml:space="preserve"> (</w:t>
      </w:r>
      <w:proofErr w:type="spellStart"/>
      <w:r>
        <w:t>s.d.</w:t>
      </w:r>
      <w:proofErr w:type="spellEnd"/>
      <w:r>
        <w:t xml:space="preserve"> = </w:t>
      </w:r>
      <w:r w:rsidR="00E30D03">
        <w:t>2.328, N = 142</w:t>
      </w:r>
      <w:r>
        <w:t>)</w:t>
      </w:r>
      <w:r>
        <w:rPr>
          <w:rFonts w:cstheme="minorHAnsi"/>
        </w:rPr>
        <w:t xml:space="preserve">, while gamers who received the treatment manipulation </w:t>
      </w:r>
      <w:r w:rsidR="00D2014B">
        <w:rPr>
          <w:rFonts w:cstheme="minorHAnsi"/>
        </w:rPr>
        <w:t>return the average of</w:t>
      </w:r>
      <w:r>
        <w:rPr>
          <w:rFonts w:cstheme="minorHAnsi"/>
        </w:rPr>
        <w:t xml:space="preserve"> </w:t>
      </w:r>
      <w:r w:rsidR="00E30D03">
        <w:rPr>
          <w:rFonts w:cstheme="minorHAnsi"/>
        </w:rPr>
        <w:t>7.529</w:t>
      </w:r>
      <w:r>
        <w:rPr>
          <w:rFonts w:cstheme="minorHAnsi"/>
        </w:rPr>
        <w:t xml:space="preserve"> (</w:t>
      </w:r>
      <w:proofErr w:type="spellStart"/>
      <w:r>
        <w:rPr>
          <w:rFonts w:cstheme="minorHAnsi"/>
        </w:rPr>
        <w:t>s.d.</w:t>
      </w:r>
      <w:proofErr w:type="spellEnd"/>
      <w:r>
        <w:rPr>
          <w:rFonts w:cstheme="minorHAnsi"/>
        </w:rPr>
        <w:t xml:space="preserve"> = </w:t>
      </w:r>
      <w:r w:rsidR="00E30D03">
        <w:rPr>
          <w:rFonts w:cstheme="minorHAnsi"/>
        </w:rPr>
        <w:t>1.900, N = 157</w:t>
      </w:r>
      <w:r>
        <w:rPr>
          <w:rFonts w:cstheme="minorHAnsi"/>
        </w:rPr>
        <w:t>). This difference</w:t>
      </w:r>
      <w:r w:rsidR="00E30D03">
        <w:rPr>
          <w:rFonts w:cstheme="minorHAnsi"/>
        </w:rPr>
        <w:t xml:space="preserve"> of 0.677</w:t>
      </w:r>
      <w:r>
        <w:rPr>
          <w:rFonts w:cstheme="minorHAnsi"/>
        </w:rPr>
        <w:t xml:space="preserve"> between the groups is </w:t>
      </w:r>
      <w:r w:rsidR="00E30D03">
        <w:rPr>
          <w:rFonts w:cstheme="minorHAnsi"/>
        </w:rPr>
        <w:t>statistically significant</w:t>
      </w:r>
      <w:r>
        <w:rPr>
          <w:rFonts w:cstheme="minorHAnsi"/>
        </w:rPr>
        <w:t xml:space="preserve"> (Kruskal Wallis χ</w:t>
      </w:r>
      <w:r w:rsidRPr="004A1EEA">
        <w:rPr>
          <w:rFonts w:cstheme="minorHAnsi"/>
          <w:vertAlign w:val="superscript"/>
        </w:rPr>
        <w:t>2</w:t>
      </w:r>
      <w:r>
        <w:rPr>
          <w:rFonts w:cstheme="minorHAnsi"/>
        </w:rPr>
        <w:t xml:space="preserve"> = </w:t>
      </w:r>
      <w:r w:rsidR="00E30D03">
        <w:rPr>
          <w:rFonts w:cstheme="minorHAnsi"/>
        </w:rPr>
        <w:t>6.013</w:t>
      </w:r>
      <w:r>
        <w:rPr>
          <w:rFonts w:cstheme="minorHAnsi"/>
        </w:rPr>
        <w:t xml:space="preserve">, p = </w:t>
      </w:r>
      <w:r w:rsidR="00E30D03">
        <w:rPr>
          <w:rFonts w:cstheme="minorHAnsi"/>
        </w:rPr>
        <w:t>0.014</w:t>
      </w:r>
      <w:r>
        <w:rPr>
          <w:rFonts w:cstheme="minorHAnsi"/>
        </w:rPr>
        <w:t xml:space="preserve">), which </w:t>
      </w:r>
      <w:r w:rsidR="00E30D03">
        <w:rPr>
          <w:rFonts w:cstheme="minorHAnsi"/>
        </w:rPr>
        <w:t>further supports my</w:t>
      </w:r>
      <w:r>
        <w:rPr>
          <w:rFonts w:cstheme="minorHAnsi"/>
        </w:rPr>
        <w:t xml:space="preserve"> hypothesis that gamers who received the treatment manipulation would increase their interest in U.S. foreign trade policy more than gamers who did not.</w:t>
      </w:r>
    </w:p>
    <w:p w14:paraId="69060AB1" w14:textId="58BC9ED1" w:rsidR="004D0FBB" w:rsidRDefault="004D0FBB" w:rsidP="00C435C4">
      <w:pPr>
        <w:pStyle w:val="NoSpacing"/>
        <w:spacing w:line="480" w:lineRule="auto"/>
        <w:rPr>
          <w:rFonts w:cstheme="minorHAnsi"/>
        </w:rPr>
      </w:pPr>
      <w:r>
        <w:rPr>
          <w:rFonts w:cstheme="minorHAnsi"/>
        </w:rPr>
        <w:tab/>
        <w:t xml:space="preserve">The average </w:t>
      </w:r>
      <w:r w:rsidR="00D2014B">
        <w:rPr>
          <w:rFonts w:cstheme="minorHAnsi"/>
        </w:rPr>
        <w:t>specific</w:t>
      </w:r>
      <w:r>
        <w:rPr>
          <w:rFonts w:cstheme="minorHAnsi"/>
        </w:rPr>
        <w:t xml:space="preserve"> interest among non-gamers in the control group </w:t>
      </w:r>
      <w:r w:rsidR="00D2014B">
        <w:rPr>
          <w:rFonts w:cstheme="minorHAnsi"/>
        </w:rPr>
        <w:t>equals</w:t>
      </w:r>
      <w:r>
        <w:rPr>
          <w:rFonts w:cstheme="minorHAnsi"/>
        </w:rPr>
        <w:t xml:space="preserve"> </w:t>
      </w:r>
      <w:r w:rsidR="00E30D03">
        <w:rPr>
          <w:rFonts w:cstheme="minorHAnsi"/>
        </w:rPr>
        <w:t>6.137</w:t>
      </w:r>
      <w:r>
        <w:rPr>
          <w:rFonts w:cstheme="minorHAnsi"/>
        </w:rPr>
        <w:t xml:space="preserve"> (</w:t>
      </w:r>
      <w:proofErr w:type="spellStart"/>
      <w:r>
        <w:rPr>
          <w:rFonts w:cstheme="minorHAnsi"/>
        </w:rPr>
        <w:t>s.d.</w:t>
      </w:r>
      <w:proofErr w:type="spellEnd"/>
      <w:r>
        <w:rPr>
          <w:rFonts w:cstheme="minorHAnsi"/>
        </w:rPr>
        <w:t xml:space="preserve"> = </w:t>
      </w:r>
      <w:r w:rsidR="00E30D03">
        <w:rPr>
          <w:rFonts w:cstheme="minorHAnsi"/>
        </w:rPr>
        <w:t>2.434, N = 291</w:t>
      </w:r>
      <w:r>
        <w:rPr>
          <w:rFonts w:cstheme="minorHAnsi"/>
        </w:rPr>
        <w:t xml:space="preserve">) and </w:t>
      </w:r>
      <w:r w:rsidR="00E30D03">
        <w:t>4.901</w:t>
      </w:r>
      <w:r>
        <w:rPr>
          <w:rFonts w:cstheme="minorHAnsi"/>
        </w:rPr>
        <w:t>(</w:t>
      </w:r>
      <w:proofErr w:type="spellStart"/>
      <w:r>
        <w:rPr>
          <w:rFonts w:cstheme="minorHAnsi"/>
        </w:rPr>
        <w:t>s.d.</w:t>
      </w:r>
      <w:proofErr w:type="spellEnd"/>
      <w:r>
        <w:rPr>
          <w:rFonts w:cstheme="minorHAnsi"/>
        </w:rPr>
        <w:t xml:space="preserve"> = </w:t>
      </w:r>
      <w:r w:rsidR="00E30D03">
        <w:rPr>
          <w:rFonts w:cstheme="minorHAnsi"/>
        </w:rPr>
        <w:t>2.638, N = 282</w:t>
      </w:r>
      <w:r>
        <w:rPr>
          <w:rFonts w:cstheme="minorHAnsi"/>
        </w:rPr>
        <w:t xml:space="preserve">) among non-gamers in the treatment group. </w:t>
      </w:r>
      <w:r w:rsidR="00E30D03">
        <w:rPr>
          <w:rFonts w:cstheme="minorHAnsi"/>
        </w:rPr>
        <w:t xml:space="preserve">As the apparent result of the experimental treatment, the interest among non-gamers </w:t>
      </w:r>
      <w:r w:rsidR="00E30D03">
        <w:rPr>
          <w:rFonts w:cstheme="minorHAnsi"/>
          <w:i/>
          <w:iCs/>
        </w:rPr>
        <w:t>decreased</w:t>
      </w:r>
      <w:r w:rsidR="00E30D03">
        <w:rPr>
          <w:rFonts w:cstheme="minorHAnsi"/>
        </w:rPr>
        <w:t xml:space="preserve"> by 1.236. This difference is statistically significant </w:t>
      </w:r>
      <w:r>
        <w:rPr>
          <w:rFonts w:cstheme="minorHAnsi"/>
        </w:rPr>
        <w:t>(Kruskal Wallis χ</w:t>
      </w:r>
      <w:r w:rsidRPr="004A1EEA">
        <w:rPr>
          <w:rFonts w:cstheme="minorHAnsi"/>
          <w:vertAlign w:val="superscript"/>
        </w:rPr>
        <w:t>2</w:t>
      </w:r>
      <w:r>
        <w:rPr>
          <w:rFonts w:cstheme="minorHAnsi"/>
        </w:rPr>
        <w:t xml:space="preserve"> = </w:t>
      </w:r>
      <w:r w:rsidR="00E30D03">
        <w:rPr>
          <w:rFonts w:cstheme="minorHAnsi"/>
        </w:rPr>
        <w:t>31.278</w:t>
      </w:r>
      <w:r>
        <w:rPr>
          <w:rFonts w:cstheme="minorHAnsi"/>
        </w:rPr>
        <w:t xml:space="preserve">, p </w:t>
      </w:r>
      <w:r w:rsidR="00E30D03">
        <w:rPr>
          <w:rFonts w:cstheme="minorHAnsi"/>
        </w:rPr>
        <w:t>&lt;</w:t>
      </w:r>
      <w:r>
        <w:rPr>
          <w:rFonts w:cstheme="minorHAnsi"/>
        </w:rPr>
        <w:t xml:space="preserve"> </w:t>
      </w:r>
      <w:r w:rsidR="00E30D03">
        <w:rPr>
          <w:rFonts w:cstheme="minorHAnsi"/>
        </w:rPr>
        <w:t>0.001</w:t>
      </w:r>
      <w:r>
        <w:rPr>
          <w:rFonts w:cstheme="minorHAnsi"/>
        </w:rPr>
        <w:t>). These results are consistent with those reported elsewhere in this appendix and in the main body of the manuscript.</w:t>
      </w:r>
    </w:p>
    <w:p w14:paraId="08A55404" w14:textId="6912C4FE" w:rsidR="00202838" w:rsidRDefault="00174FD0" w:rsidP="00C435C4">
      <w:pPr>
        <w:pStyle w:val="NoSpacing"/>
        <w:spacing w:line="480" w:lineRule="auto"/>
        <w:rPr>
          <w:rFonts w:cstheme="minorHAnsi"/>
          <w:u w:val="single"/>
        </w:rPr>
      </w:pPr>
      <w:r>
        <w:rPr>
          <w:rFonts w:cstheme="minorHAnsi"/>
          <w:u w:val="single"/>
        </w:rPr>
        <w:t xml:space="preserve">Results of Testing </w:t>
      </w:r>
      <w:r w:rsidR="00C47BC0">
        <w:rPr>
          <w:rFonts w:cstheme="minorHAnsi"/>
          <w:u w:val="single"/>
        </w:rPr>
        <w:t>for</w:t>
      </w:r>
      <w:r w:rsidR="002D6C3F">
        <w:rPr>
          <w:rFonts w:cstheme="minorHAnsi"/>
          <w:u w:val="single"/>
        </w:rPr>
        <w:t xml:space="preserve"> the Linearity of Interaction</w:t>
      </w:r>
    </w:p>
    <w:p w14:paraId="0817B4E0" w14:textId="6F5DB1E4" w:rsidR="002D6C3F" w:rsidRDefault="002D6C3F" w:rsidP="00C435C4">
      <w:pPr>
        <w:pStyle w:val="NoSpacing"/>
        <w:spacing w:line="480" w:lineRule="auto"/>
        <w:rPr>
          <w:rFonts w:cstheme="minorHAnsi"/>
        </w:rPr>
      </w:pPr>
      <w:r>
        <w:rPr>
          <w:rFonts w:cstheme="minorHAnsi"/>
        </w:rPr>
        <w:tab/>
      </w:r>
      <w:r w:rsidR="002E67C8">
        <w:rPr>
          <w:rFonts w:cstheme="minorHAnsi"/>
        </w:rPr>
        <w:t xml:space="preserve">Using the methodology developed by </w:t>
      </w:r>
      <w:proofErr w:type="spellStart"/>
      <w:r w:rsidR="002E67C8">
        <w:rPr>
          <w:rFonts w:cstheme="minorHAnsi"/>
        </w:rPr>
        <w:t>Hainmueller</w:t>
      </w:r>
      <w:proofErr w:type="spellEnd"/>
      <w:r w:rsidR="002E67C8">
        <w:rPr>
          <w:rFonts w:cstheme="minorHAnsi"/>
        </w:rPr>
        <w:t xml:space="preserve"> and colleagues </w:t>
      </w:r>
      <w:r w:rsidR="002E67C8">
        <w:rPr>
          <w:rFonts w:cstheme="minorHAnsi"/>
        </w:rPr>
        <w:fldChar w:fldCharType="begin"/>
      </w:r>
      <w:r w:rsidR="002E67C8">
        <w:rPr>
          <w:rFonts w:cstheme="minorHAnsi"/>
        </w:rPr>
        <w:instrText xml:space="preserve"> ADDIN ZOTERO_ITEM CSL_CITATION {"citationID":"Lhl6UqZP","properties":{"formattedCitation":"(2019)","plainCitation":"(2019)","noteIndex":0},"citationItems":[{"id":1389,"uris":["http://zotero.org/users/5644676/items/DWHCXEYE"],"itemData":{"id":1389,"type":"article-journal","abstract":"Multiplicative interaction models are widely used in social science to examine whether the relationship between an outcome and an independent variable changes with a moderating variable. Current empirical practice tends to overlook two important problems. First, these models assume a linear interaction effect that changes at a constant rate with the moderator. Second, estimates of the conditional effects of the independent variable can be misleading if there is a lack of common support of the moderator. Replicating 46 interaction effects from 22 recent publications in five top political science journals, we find that these core assumptions often fail in practice, suggesting that a large portion of findings across all political science subfields based on interaction models are fragile and model dependent. We propose a checklist of simple diagnostics to assess the validity of these assumptions and offer flexible estimation strategies that allow for nonlinear interaction effects and safeguard against excessive extrapolation. These statistical routines are available in both R and STATA.","container-title":"Political Analysis","DOI":"10.1017/pan.2018.46","ISSN":"1047-1987, 1476-4989","issue":"2","language":"en","note":"publisher: Cambridge University Press","page":"163-192","source":"Cambridge University Press","title":"How Much Should We Trust Estimates from Multiplicative Interaction Models? Simple Tools to Improve Empirical Practice","title-short":"How Much Should We Trust Estimates from Multiplicative Interaction Models?","volume":"27","author":[{"family":"Hainmueller","given":"Jens"},{"family":"Mummolo","given":"Jonathan"},{"family":"Xu","given":"Yiqing"}],"issued":{"date-parts":[["2019",4]]}},"label":"page","suppress-author":true}],"schema":"https://github.com/citation-style-language/schema/raw/master/csl-citation.json"} </w:instrText>
      </w:r>
      <w:r w:rsidR="002E67C8">
        <w:rPr>
          <w:rFonts w:cstheme="minorHAnsi"/>
        </w:rPr>
        <w:fldChar w:fldCharType="separate"/>
      </w:r>
      <w:r w:rsidR="002E67C8" w:rsidRPr="002E67C8">
        <w:rPr>
          <w:rFonts w:ascii="Calibri" w:hAnsi="Calibri" w:cs="Calibri"/>
        </w:rPr>
        <w:t>(2019)</w:t>
      </w:r>
      <w:r w:rsidR="002E67C8">
        <w:rPr>
          <w:rFonts w:cstheme="minorHAnsi"/>
        </w:rPr>
        <w:fldChar w:fldCharType="end"/>
      </w:r>
      <w:r w:rsidR="002E67C8">
        <w:rPr>
          <w:rFonts w:cstheme="minorHAnsi"/>
        </w:rPr>
        <w:t xml:space="preserve"> I tested whether the interaction was linear. Figures A3.5 and A3.6 demonstrate that we can assume a linear nature of the interactive relationship.</w:t>
      </w:r>
      <w:r w:rsidR="00C435C4">
        <w:rPr>
          <w:rFonts w:cstheme="minorHAnsi"/>
        </w:rPr>
        <w:t xml:space="preserve"> </w:t>
      </w:r>
    </w:p>
    <w:p w14:paraId="120F7B05" w14:textId="76EF3AB7" w:rsidR="002E67C8" w:rsidRDefault="002E67C8" w:rsidP="00D10888">
      <w:pPr>
        <w:pStyle w:val="NoSpacing"/>
        <w:rPr>
          <w:rFonts w:cstheme="minorHAnsi"/>
        </w:rPr>
      </w:pPr>
    </w:p>
    <w:p w14:paraId="37BAECE9" w14:textId="77777777" w:rsidR="00C435C4" w:rsidRDefault="00C435C4" w:rsidP="00D10888">
      <w:pPr>
        <w:pStyle w:val="NoSpacing"/>
        <w:rPr>
          <w:rFonts w:cstheme="minorHAnsi"/>
        </w:rPr>
      </w:pPr>
    </w:p>
    <w:p w14:paraId="6851A990" w14:textId="77777777" w:rsidR="00C435C4" w:rsidRDefault="00C435C4" w:rsidP="00D10888">
      <w:pPr>
        <w:pStyle w:val="NoSpacing"/>
        <w:rPr>
          <w:rFonts w:cstheme="minorHAnsi"/>
        </w:rPr>
      </w:pPr>
    </w:p>
    <w:p w14:paraId="5DD0B98F" w14:textId="77777777" w:rsidR="00C435C4" w:rsidRDefault="00C435C4" w:rsidP="00D10888">
      <w:pPr>
        <w:pStyle w:val="NoSpacing"/>
        <w:rPr>
          <w:rFonts w:cstheme="minorHAnsi"/>
        </w:rPr>
      </w:pPr>
    </w:p>
    <w:p w14:paraId="595F37DC" w14:textId="77777777" w:rsidR="00C435C4" w:rsidRDefault="00C435C4" w:rsidP="00D10888">
      <w:pPr>
        <w:pStyle w:val="NoSpacing"/>
        <w:rPr>
          <w:rFonts w:cstheme="minorHAnsi"/>
        </w:rPr>
      </w:pPr>
    </w:p>
    <w:p w14:paraId="48D31F45" w14:textId="77777777" w:rsidR="00C435C4" w:rsidRDefault="00C435C4" w:rsidP="00D10888">
      <w:pPr>
        <w:pStyle w:val="NoSpacing"/>
        <w:rPr>
          <w:rFonts w:cstheme="minorHAnsi"/>
        </w:rPr>
      </w:pPr>
    </w:p>
    <w:p w14:paraId="103A1EC4" w14:textId="77777777" w:rsidR="00C435C4" w:rsidRDefault="00C435C4" w:rsidP="00D10888">
      <w:pPr>
        <w:pStyle w:val="NoSpacing"/>
        <w:rPr>
          <w:rFonts w:cstheme="minorHAnsi"/>
        </w:rPr>
      </w:pPr>
    </w:p>
    <w:p w14:paraId="42B75C4B" w14:textId="77777777" w:rsidR="00C435C4" w:rsidRDefault="00C435C4" w:rsidP="00D10888">
      <w:pPr>
        <w:pStyle w:val="NoSpacing"/>
        <w:rPr>
          <w:rFonts w:cstheme="minorHAnsi"/>
        </w:rPr>
      </w:pPr>
    </w:p>
    <w:p w14:paraId="6AA4FA18" w14:textId="77777777" w:rsidR="00C435C4" w:rsidRDefault="00C435C4" w:rsidP="00D10888">
      <w:pPr>
        <w:pStyle w:val="NoSpacing"/>
        <w:rPr>
          <w:rFonts w:cstheme="minorHAnsi"/>
        </w:rPr>
      </w:pPr>
    </w:p>
    <w:p w14:paraId="7201D283" w14:textId="77777777" w:rsidR="00C435C4" w:rsidRDefault="00C435C4" w:rsidP="00D10888">
      <w:pPr>
        <w:pStyle w:val="NoSpacing"/>
        <w:rPr>
          <w:rFonts w:cstheme="minorHAnsi"/>
        </w:rPr>
      </w:pPr>
    </w:p>
    <w:p w14:paraId="54727E60" w14:textId="77777777" w:rsidR="00C435C4" w:rsidRDefault="00C435C4" w:rsidP="00D10888">
      <w:pPr>
        <w:pStyle w:val="NoSpacing"/>
        <w:rPr>
          <w:rFonts w:cstheme="minorHAnsi"/>
        </w:rPr>
      </w:pPr>
    </w:p>
    <w:p w14:paraId="57AEC354" w14:textId="77777777" w:rsidR="00C435C4" w:rsidRDefault="00C435C4" w:rsidP="00D10888">
      <w:pPr>
        <w:pStyle w:val="NoSpacing"/>
        <w:rPr>
          <w:rFonts w:cstheme="minorHAnsi"/>
        </w:rPr>
      </w:pPr>
    </w:p>
    <w:p w14:paraId="1922B1D3" w14:textId="77777777" w:rsidR="00C435C4" w:rsidRDefault="00C435C4" w:rsidP="00D10888">
      <w:pPr>
        <w:pStyle w:val="NoSpacing"/>
        <w:rPr>
          <w:rFonts w:cstheme="minorHAnsi"/>
        </w:rPr>
      </w:pPr>
    </w:p>
    <w:p w14:paraId="7569F05B" w14:textId="77777777" w:rsidR="00C435C4" w:rsidRDefault="00C435C4" w:rsidP="00D10888">
      <w:pPr>
        <w:pStyle w:val="NoSpacing"/>
        <w:rPr>
          <w:rFonts w:cstheme="minorHAnsi"/>
        </w:rPr>
      </w:pPr>
    </w:p>
    <w:p w14:paraId="5E95A02F" w14:textId="77777777" w:rsidR="00C435C4" w:rsidRDefault="00C435C4" w:rsidP="00D10888">
      <w:pPr>
        <w:pStyle w:val="NoSpacing"/>
        <w:rPr>
          <w:rFonts w:cstheme="minorHAnsi"/>
        </w:rPr>
      </w:pPr>
    </w:p>
    <w:p w14:paraId="04EF9C3A" w14:textId="77777777" w:rsidR="00C435C4" w:rsidRDefault="00C435C4" w:rsidP="00D10888">
      <w:pPr>
        <w:pStyle w:val="NoSpacing"/>
        <w:rPr>
          <w:rFonts w:cstheme="minorHAnsi"/>
        </w:rPr>
      </w:pPr>
    </w:p>
    <w:p w14:paraId="52AC7EC2" w14:textId="6145AB90" w:rsidR="002E67C8" w:rsidRDefault="002E67C8" w:rsidP="002E67C8">
      <w:pPr>
        <w:pStyle w:val="NoSpacing"/>
        <w:jc w:val="center"/>
        <w:rPr>
          <w:rFonts w:cstheme="minorHAnsi"/>
        </w:rPr>
      </w:pPr>
      <w:r>
        <w:rPr>
          <w:rFonts w:cstheme="minorHAnsi"/>
        </w:rPr>
        <w:lastRenderedPageBreak/>
        <w:t>Figure A3.5: Conditional marginal effects from binning estimators using post-test general interest as dependent variable in both plots demonstrate linearity of the interactive relationship. Panel A uses Gamer Identity Index as the moderat</w:t>
      </w:r>
      <w:r w:rsidR="006251D8">
        <w:rPr>
          <w:rFonts w:cstheme="minorHAnsi"/>
        </w:rPr>
        <w:t>or</w:t>
      </w:r>
      <w:r>
        <w:rPr>
          <w:rFonts w:cstheme="minorHAnsi"/>
        </w:rPr>
        <w:t xml:space="preserve"> and Panel B uses </w:t>
      </w:r>
      <w:r w:rsidR="006251D8">
        <w:rPr>
          <w:rFonts w:cstheme="minorHAnsi"/>
        </w:rPr>
        <w:t>gaming time</w:t>
      </w:r>
      <w:r>
        <w:rPr>
          <w:rFonts w:cstheme="minorHAnsi"/>
        </w:rPr>
        <w:t xml:space="preserve"> </w:t>
      </w:r>
      <w:r w:rsidR="006251D8">
        <w:rPr>
          <w:rFonts w:cstheme="minorHAnsi"/>
        </w:rPr>
        <w:t>as the moderator</w:t>
      </w:r>
      <w:r>
        <w:rPr>
          <w:rFonts w:cstheme="minorHAnsi"/>
        </w:rPr>
        <w:t>.</w:t>
      </w:r>
    </w:p>
    <w:tbl>
      <w:tblPr>
        <w:tblStyle w:val="TableGrid"/>
        <w:tblW w:w="0" w:type="auto"/>
        <w:tblLook w:val="04A0" w:firstRow="1" w:lastRow="0" w:firstColumn="1" w:lastColumn="0" w:noHBand="0" w:noVBand="1"/>
      </w:tblPr>
      <w:tblGrid>
        <w:gridCol w:w="4675"/>
        <w:gridCol w:w="4675"/>
      </w:tblGrid>
      <w:tr w:rsidR="002E67C8" w14:paraId="22BDAC87" w14:textId="77777777" w:rsidTr="006251D8">
        <w:tc>
          <w:tcPr>
            <w:tcW w:w="4675" w:type="dxa"/>
            <w:tcBorders>
              <w:bottom w:val="single" w:sz="4" w:space="0" w:color="FFFFFF" w:themeColor="background1"/>
            </w:tcBorders>
          </w:tcPr>
          <w:p w14:paraId="6AF12F4B" w14:textId="2DE1CF9E" w:rsidR="002E67C8" w:rsidRDefault="006251D8" w:rsidP="006251D8">
            <w:pPr>
              <w:pStyle w:val="NoSpacing"/>
              <w:rPr>
                <w:rFonts w:cstheme="minorHAnsi"/>
              </w:rPr>
            </w:pPr>
            <w:r>
              <w:rPr>
                <w:rFonts w:cstheme="minorHAnsi"/>
              </w:rPr>
              <w:t>Panel A: Gamer Identity Index Moderator</w:t>
            </w:r>
          </w:p>
        </w:tc>
        <w:tc>
          <w:tcPr>
            <w:tcW w:w="4675" w:type="dxa"/>
            <w:tcBorders>
              <w:bottom w:val="single" w:sz="4" w:space="0" w:color="FFFFFF" w:themeColor="background1"/>
            </w:tcBorders>
          </w:tcPr>
          <w:p w14:paraId="41B047C2" w14:textId="4FE9D184" w:rsidR="002E67C8" w:rsidRDefault="006251D8" w:rsidP="006251D8">
            <w:pPr>
              <w:pStyle w:val="NoSpacing"/>
              <w:rPr>
                <w:rFonts w:cstheme="minorHAnsi"/>
              </w:rPr>
            </w:pPr>
            <w:r>
              <w:rPr>
                <w:rFonts w:cstheme="minorHAnsi"/>
              </w:rPr>
              <w:t>Panel B: Gaming Time Moderator</w:t>
            </w:r>
          </w:p>
        </w:tc>
      </w:tr>
      <w:tr w:rsidR="006251D8" w14:paraId="6485740C" w14:textId="77777777" w:rsidTr="006251D8">
        <w:tc>
          <w:tcPr>
            <w:tcW w:w="4675" w:type="dxa"/>
            <w:tcBorders>
              <w:top w:val="single" w:sz="4" w:space="0" w:color="FFFFFF" w:themeColor="background1"/>
            </w:tcBorders>
            <w:vAlign w:val="center"/>
          </w:tcPr>
          <w:p w14:paraId="51694756" w14:textId="6028B742" w:rsidR="006251D8" w:rsidRDefault="00EF7E78" w:rsidP="006251D8">
            <w:pPr>
              <w:pStyle w:val="NoSpacing"/>
              <w:jc w:val="center"/>
              <w:rPr>
                <w:rFonts w:cstheme="minorHAnsi"/>
              </w:rPr>
            </w:pPr>
            <w:r w:rsidRPr="00EF7E78">
              <w:rPr>
                <w:rFonts w:cstheme="minorHAnsi"/>
                <w:noProof/>
              </w:rPr>
              <w:drawing>
                <wp:inline distT="0" distB="0" distL="0" distR="0" wp14:anchorId="4A5B846B" wp14:editId="6C1949E1">
                  <wp:extent cx="2743200" cy="2743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tc>
          <w:tcPr>
            <w:tcW w:w="4675" w:type="dxa"/>
            <w:tcBorders>
              <w:top w:val="single" w:sz="4" w:space="0" w:color="FFFFFF" w:themeColor="background1"/>
            </w:tcBorders>
            <w:vAlign w:val="center"/>
          </w:tcPr>
          <w:p w14:paraId="4EE28E99" w14:textId="2BFCB680" w:rsidR="006251D8" w:rsidRDefault="00EF7E78" w:rsidP="006251D8">
            <w:pPr>
              <w:pStyle w:val="NoSpacing"/>
              <w:jc w:val="center"/>
              <w:rPr>
                <w:rFonts w:cstheme="minorHAnsi"/>
              </w:rPr>
            </w:pPr>
            <w:r w:rsidRPr="00EF7E78">
              <w:rPr>
                <w:rFonts w:cstheme="minorHAnsi"/>
                <w:noProof/>
              </w:rPr>
              <w:drawing>
                <wp:inline distT="0" distB="0" distL="0" distR="0" wp14:anchorId="4D5DDA4C" wp14:editId="1AAD60B0">
                  <wp:extent cx="2743200" cy="2743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tr>
    </w:tbl>
    <w:p w14:paraId="2AB55CC4" w14:textId="77777777" w:rsidR="00692DEA" w:rsidRPr="005B6E1D" w:rsidRDefault="00692DEA" w:rsidP="00692DEA">
      <w:pPr>
        <w:pStyle w:val="NoSpacing"/>
        <w:rPr>
          <w:rFonts w:cstheme="minorHAnsi"/>
          <w:bCs/>
        </w:rPr>
      </w:pPr>
      <w:r>
        <w:rPr>
          <w:rFonts w:cstheme="minorHAnsi"/>
          <w:bCs/>
        </w:rPr>
        <w:t xml:space="preserve">Note: </w:t>
      </w:r>
      <w:r>
        <w:rPr>
          <w:rFonts w:cstheme="minorHAnsi"/>
          <w:bCs/>
        </w:rPr>
        <w:tab/>
        <w:t>Error bars and shaded regions represent 95% confidence intervals.</w:t>
      </w:r>
    </w:p>
    <w:p w14:paraId="68AC60F9" w14:textId="748371BD" w:rsidR="002E67C8" w:rsidRDefault="002E67C8" w:rsidP="002E67C8">
      <w:pPr>
        <w:pStyle w:val="NoSpacing"/>
        <w:jc w:val="center"/>
        <w:rPr>
          <w:rFonts w:cstheme="minorHAnsi"/>
        </w:rPr>
      </w:pPr>
    </w:p>
    <w:p w14:paraId="6BFB4146" w14:textId="4828FF36" w:rsidR="00284DD2" w:rsidRDefault="00284DD2" w:rsidP="00284DD2">
      <w:pPr>
        <w:pStyle w:val="NoSpacing"/>
        <w:jc w:val="center"/>
        <w:rPr>
          <w:rFonts w:cstheme="minorHAnsi"/>
        </w:rPr>
      </w:pPr>
      <w:r>
        <w:rPr>
          <w:rFonts w:cstheme="minorHAnsi"/>
        </w:rPr>
        <w:t>Figure A3.6: Conditional marginal effects from binning estimators using post-test specific interest as dependent variable in both plots demonstrate linearity of the interactive relationship. Panel A uses Gamer Identity Index as the moderator and Panel B uses gaming time as the moderator.</w:t>
      </w:r>
    </w:p>
    <w:tbl>
      <w:tblPr>
        <w:tblStyle w:val="TableGrid"/>
        <w:tblW w:w="0" w:type="auto"/>
        <w:tblLook w:val="04A0" w:firstRow="1" w:lastRow="0" w:firstColumn="1" w:lastColumn="0" w:noHBand="0" w:noVBand="1"/>
      </w:tblPr>
      <w:tblGrid>
        <w:gridCol w:w="4675"/>
        <w:gridCol w:w="4675"/>
      </w:tblGrid>
      <w:tr w:rsidR="00284DD2" w14:paraId="03505EE0" w14:textId="77777777" w:rsidTr="00C11F28">
        <w:tc>
          <w:tcPr>
            <w:tcW w:w="4675" w:type="dxa"/>
            <w:tcBorders>
              <w:bottom w:val="single" w:sz="4" w:space="0" w:color="FFFFFF" w:themeColor="background1"/>
            </w:tcBorders>
          </w:tcPr>
          <w:p w14:paraId="28BB2208" w14:textId="77777777" w:rsidR="00284DD2" w:rsidRDefault="00284DD2" w:rsidP="00C11F28">
            <w:pPr>
              <w:pStyle w:val="NoSpacing"/>
              <w:rPr>
                <w:rFonts w:cstheme="minorHAnsi"/>
              </w:rPr>
            </w:pPr>
            <w:r>
              <w:rPr>
                <w:rFonts w:cstheme="minorHAnsi"/>
              </w:rPr>
              <w:t>Panel A: Gamer Identity Index Moderator</w:t>
            </w:r>
          </w:p>
        </w:tc>
        <w:tc>
          <w:tcPr>
            <w:tcW w:w="4675" w:type="dxa"/>
            <w:tcBorders>
              <w:bottom w:val="single" w:sz="4" w:space="0" w:color="FFFFFF" w:themeColor="background1"/>
            </w:tcBorders>
          </w:tcPr>
          <w:p w14:paraId="2E155450" w14:textId="77777777" w:rsidR="00284DD2" w:rsidRDefault="00284DD2" w:rsidP="00C11F28">
            <w:pPr>
              <w:pStyle w:val="NoSpacing"/>
              <w:rPr>
                <w:rFonts w:cstheme="minorHAnsi"/>
              </w:rPr>
            </w:pPr>
            <w:r>
              <w:rPr>
                <w:rFonts w:cstheme="minorHAnsi"/>
              </w:rPr>
              <w:t>Panel B: Gaming Time Moderator</w:t>
            </w:r>
          </w:p>
        </w:tc>
      </w:tr>
      <w:tr w:rsidR="00284DD2" w14:paraId="1CF52BDD" w14:textId="77777777" w:rsidTr="00C11F28">
        <w:tc>
          <w:tcPr>
            <w:tcW w:w="4675" w:type="dxa"/>
            <w:tcBorders>
              <w:top w:val="single" w:sz="4" w:space="0" w:color="FFFFFF" w:themeColor="background1"/>
            </w:tcBorders>
            <w:vAlign w:val="center"/>
          </w:tcPr>
          <w:p w14:paraId="3D547ABC" w14:textId="5A8DAD12" w:rsidR="00284DD2" w:rsidRDefault="00D95D12" w:rsidP="00C11F28">
            <w:pPr>
              <w:pStyle w:val="NoSpacing"/>
              <w:jc w:val="center"/>
              <w:rPr>
                <w:rFonts w:cstheme="minorHAnsi"/>
              </w:rPr>
            </w:pPr>
            <w:r w:rsidRPr="00D95D12">
              <w:rPr>
                <w:rFonts w:cstheme="minorHAnsi"/>
                <w:noProof/>
              </w:rPr>
              <w:drawing>
                <wp:inline distT="0" distB="0" distL="0" distR="0" wp14:anchorId="05333CD9" wp14:editId="06450BF8">
                  <wp:extent cx="2743200" cy="2743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tc>
          <w:tcPr>
            <w:tcW w:w="4675" w:type="dxa"/>
            <w:tcBorders>
              <w:top w:val="single" w:sz="4" w:space="0" w:color="FFFFFF" w:themeColor="background1"/>
            </w:tcBorders>
            <w:vAlign w:val="center"/>
          </w:tcPr>
          <w:p w14:paraId="6CF56373" w14:textId="63A5674A" w:rsidR="00284DD2" w:rsidRDefault="00D95D12" w:rsidP="00C11F28">
            <w:pPr>
              <w:pStyle w:val="NoSpacing"/>
              <w:jc w:val="center"/>
              <w:rPr>
                <w:rFonts w:cstheme="minorHAnsi"/>
              </w:rPr>
            </w:pPr>
            <w:bookmarkStart w:id="2" w:name="_GoBack"/>
            <w:r w:rsidRPr="00D95D12">
              <w:rPr>
                <w:rFonts w:cstheme="minorHAnsi"/>
                <w:noProof/>
              </w:rPr>
              <w:drawing>
                <wp:inline distT="0" distB="0" distL="0" distR="0" wp14:anchorId="05202992" wp14:editId="3374D91B">
                  <wp:extent cx="2743200" cy="2743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bookmarkEnd w:id="2"/>
          </w:p>
        </w:tc>
      </w:tr>
    </w:tbl>
    <w:p w14:paraId="0AB48520" w14:textId="77777777" w:rsidR="00692DEA" w:rsidRPr="005B6E1D" w:rsidRDefault="00692DEA" w:rsidP="00692DEA">
      <w:pPr>
        <w:pStyle w:val="NoSpacing"/>
        <w:rPr>
          <w:rFonts w:cstheme="minorHAnsi"/>
          <w:bCs/>
        </w:rPr>
      </w:pPr>
      <w:r>
        <w:rPr>
          <w:rFonts w:cstheme="minorHAnsi"/>
          <w:bCs/>
        </w:rPr>
        <w:t xml:space="preserve">Note: </w:t>
      </w:r>
      <w:r>
        <w:rPr>
          <w:rFonts w:cstheme="minorHAnsi"/>
          <w:bCs/>
        </w:rPr>
        <w:tab/>
        <w:t>Error bars and shaded regions represent 95% confidence intervals.</w:t>
      </w:r>
    </w:p>
    <w:p w14:paraId="5B9DE65F" w14:textId="539BAA58" w:rsidR="00C47BC0" w:rsidRDefault="00C47BC0" w:rsidP="002E67C8">
      <w:pPr>
        <w:pStyle w:val="NoSpacing"/>
        <w:jc w:val="center"/>
        <w:rPr>
          <w:rFonts w:cstheme="minorHAnsi"/>
        </w:rPr>
      </w:pPr>
    </w:p>
    <w:p w14:paraId="07FD1BD9" w14:textId="77777777" w:rsidR="00C435C4" w:rsidRDefault="00C435C4" w:rsidP="00C47BC0">
      <w:pPr>
        <w:pStyle w:val="NoSpacing"/>
        <w:rPr>
          <w:rFonts w:cstheme="minorHAnsi"/>
          <w:u w:val="single"/>
        </w:rPr>
      </w:pPr>
    </w:p>
    <w:p w14:paraId="78A1B1D1" w14:textId="77777777" w:rsidR="00C435C4" w:rsidRDefault="00C435C4" w:rsidP="00C47BC0">
      <w:pPr>
        <w:pStyle w:val="NoSpacing"/>
        <w:rPr>
          <w:rFonts w:cstheme="minorHAnsi"/>
          <w:u w:val="single"/>
        </w:rPr>
      </w:pPr>
    </w:p>
    <w:p w14:paraId="323DDAA7" w14:textId="77777777" w:rsidR="00C435C4" w:rsidRDefault="00C435C4" w:rsidP="00C47BC0">
      <w:pPr>
        <w:pStyle w:val="NoSpacing"/>
        <w:rPr>
          <w:rFonts w:cstheme="minorHAnsi"/>
          <w:u w:val="single"/>
        </w:rPr>
      </w:pPr>
    </w:p>
    <w:p w14:paraId="15E2D806" w14:textId="3FACAAE8" w:rsidR="00C47BC0" w:rsidRDefault="00C47BC0" w:rsidP="00C435C4">
      <w:pPr>
        <w:pStyle w:val="NoSpacing"/>
        <w:spacing w:line="480" w:lineRule="auto"/>
        <w:rPr>
          <w:rFonts w:cstheme="minorHAnsi"/>
        </w:rPr>
      </w:pPr>
      <w:r>
        <w:rPr>
          <w:rFonts w:cstheme="minorHAnsi"/>
          <w:u w:val="single"/>
        </w:rPr>
        <w:lastRenderedPageBreak/>
        <w:t xml:space="preserve">Conditional Treatment </w:t>
      </w:r>
      <w:r w:rsidR="0069694D">
        <w:rPr>
          <w:rFonts w:cstheme="minorHAnsi"/>
          <w:u w:val="single"/>
        </w:rPr>
        <w:t xml:space="preserve">Effect </w:t>
      </w:r>
      <w:r>
        <w:rPr>
          <w:rFonts w:cstheme="minorHAnsi"/>
          <w:u w:val="single"/>
        </w:rPr>
        <w:t>Plots</w:t>
      </w:r>
    </w:p>
    <w:p w14:paraId="43E1F881" w14:textId="26F3330A" w:rsidR="00911E27" w:rsidRDefault="00C435C4" w:rsidP="00C435C4">
      <w:pPr>
        <w:pStyle w:val="NoSpacing"/>
        <w:spacing w:line="480" w:lineRule="auto"/>
        <w:ind w:firstLine="720"/>
        <w:rPr>
          <w:rFonts w:cstheme="minorHAnsi"/>
        </w:rPr>
      </w:pPr>
      <w:r>
        <w:rPr>
          <w:rFonts w:cstheme="minorHAnsi"/>
        </w:rPr>
        <w:t>In addition to the predicted values plots presented in Figures 4 and 5 in the main manuscript, I also constructed conditional treatment effects plots presented below as figures A3.7 and A3.8. The relationships visualized in those figures support the hypothesis that gamers who receive the treatment manipulation become more interested in the U.S. foreign trade policy than non-gamers.</w:t>
      </w:r>
    </w:p>
    <w:p w14:paraId="6FDB647E" w14:textId="0E509147" w:rsidR="00C47BC0" w:rsidRDefault="00C47BC0" w:rsidP="00C435C4">
      <w:pPr>
        <w:pStyle w:val="NoSpacing"/>
        <w:jc w:val="center"/>
        <w:rPr>
          <w:rFonts w:cstheme="minorHAnsi"/>
        </w:rPr>
      </w:pPr>
      <w:r>
        <w:rPr>
          <w:rFonts w:cstheme="minorHAnsi"/>
        </w:rPr>
        <w:t xml:space="preserve">Figure A3.7: Conditional </w:t>
      </w:r>
      <w:r w:rsidR="006A54A8">
        <w:rPr>
          <w:rFonts w:cstheme="minorHAnsi"/>
        </w:rPr>
        <w:t>treatment effects plots constructed based on regressions presented in Table 2. The visuals suggest positive effect of the treatment on general interest in U.S foreign policy among gamers and negative effect of the treatment among non-gamers.</w:t>
      </w:r>
    </w:p>
    <w:p w14:paraId="6E726B91" w14:textId="6EE3DFE0" w:rsidR="006A54A8" w:rsidRDefault="006A54A8" w:rsidP="006A54A8">
      <w:pPr>
        <w:pStyle w:val="NoSpacing"/>
        <w:jc w:val="center"/>
        <w:rPr>
          <w:rFonts w:cstheme="minorHAnsi"/>
        </w:rPr>
      </w:pPr>
      <w:r>
        <w:rPr>
          <w:noProof/>
        </w:rPr>
        <w:drawing>
          <wp:inline distT="0" distB="0" distL="0" distR="0" wp14:anchorId="7A522296" wp14:editId="1ACDA7A9">
            <wp:extent cx="5943600" cy="3147425"/>
            <wp:effectExtent l="19050" t="19050" r="19050" b="152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3147425"/>
                    </a:xfrm>
                    <a:prstGeom prst="rect">
                      <a:avLst/>
                    </a:prstGeom>
                    <a:noFill/>
                    <a:ln>
                      <a:solidFill>
                        <a:schemeClr val="tx1"/>
                      </a:solidFill>
                    </a:ln>
                  </pic:spPr>
                </pic:pic>
              </a:graphicData>
            </a:graphic>
          </wp:inline>
        </w:drawing>
      </w:r>
    </w:p>
    <w:p w14:paraId="37BF68D4" w14:textId="65ADB299" w:rsidR="00692DEA" w:rsidRPr="005B6E1D" w:rsidRDefault="00692DEA" w:rsidP="00692DEA">
      <w:pPr>
        <w:pStyle w:val="NoSpacing"/>
        <w:rPr>
          <w:rFonts w:cstheme="minorHAnsi"/>
          <w:bCs/>
        </w:rPr>
      </w:pPr>
      <w:r>
        <w:rPr>
          <w:rFonts w:cstheme="minorHAnsi"/>
          <w:bCs/>
        </w:rPr>
        <w:t xml:space="preserve">Note: </w:t>
      </w:r>
      <w:r>
        <w:rPr>
          <w:rFonts w:cstheme="minorHAnsi"/>
          <w:bCs/>
        </w:rPr>
        <w:tab/>
        <w:t>Error bars and shaded regions represent 95% confidence intervals.</w:t>
      </w:r>
    </w:p>
    <w:p w14:paraId="3BDB11DB" w14:textId="2A7ABE6E" w:rsidR="0069694D" w:rsidRDefault="0069694D" w:rsidP="0069694D">
      <w:pPr>
        <w:pStyle w:val="NoSpacing"/>
        <w:rPr>
          <w:rFonts w:cstheme="minorHAnsi"/>
        </w:rPr>
      </w:pPr>
    </w:p>
    <w:p w14:paraId="4A325629" w14:textId="77777777" w:rsidR="00C435C4" w:rsidRDefault="00C435C4" w:rsidP="0069694D">
      <w:pPr>
        <w:pStyle w:val="NoSpacing"/>
        <w:rPr>
          <w:rFonts w:cstheme="minorHAnsi"/>
        </w:rPr>
      </w:pPr>
    </w:p>
    <w:p w14:paraId="58B27F5D" w14:textId="77777777" w:rsidR="00C435C4" w:rsidRDefault="00C435C4" w:rsidP="0069694D">
      <w:pPr>
        <w:pStyle w:val="NoSpacing"/>
        <w:rPr>
          <w:rFonts w:cstheme="minorHAnsi"/>
        </w:rPr>
      </w:pPr>
    </w:p>
    <w:p w14:paraId="1BA6FBE7" w14:textId="77777777" w:rsidR="00C435C4" w:rsidRDefault="00C435C4" w:rsidP="0069694D">
      <w:pPr>
        <w:pStyle w:val="NoSpacing"/>
        <w:rPr>
          <w:rFonts w:cstheme="minorHAnsi"/>
        </w:rPr>
      </w:pPr>
    </w:p>
    <w:p w14:paraId="4457AD61" w14:textId="77777777" w:rsidR="00C435C4" w:rsidRDefault="00C435C4" w:rsidP="0069694D">
      <w:pPr>
        <w:pStyle w:val="NoSpacing"/>
        <w:rPr>
          <w:rFonts w:cstheme="minorHAnsi"/>
        </w:rPr>
      </w:pPr>
    </w:p>
    <w:p w14:paraId="7C589085" w14:textId="77777777" w:rsidR="00C435C4" w:rsidRDefault="00C435C4" w:rsidP="0069694D">
      <w:pPr>
        <w:pStyle w:val="NoSpacing"/>
        <w:rPr>
          <w:rFonts w:cstheme="minorHAnsi"/>
        </w:rPr>
      </w:pPr>
    </w:p>
    <w:p w14:paraId="4B6CDB46" w14:textId="77777777" w:rsidR="00C435C4" w:rsidRDefault="00C435C4" w:rsidP="0069694D">
      <w:pPr>
        <w:pStyle w:val="NoSpacing"/>
        <w:rPr>
          <w:rFonts w:cstheme="minorHAnsi"/>
        </w:rPr>
      </w:pPr>
    </w:p>
    <w:p w14:paraId="636C44B4" w14:textId="77777777" w:rsidR="00C435C4" w:rsidRDefault="00C435C4" w:rsidP="0069694D">
      <w:pPr>
        <w:pStyle w:val="NoSpacing"/>
        <w:rPr>
          <w:rFonts w:cstheme="minorHAnsi"/>
        </w:rPr>
      </w:pPr>
    </w:p>
    <w:p w14:paraId="1F78CD0D" w14:textId="77777777" w:rsidR="00C435C4" w:rsidRDefault="00C435C4" w:rsidP="0069694D">
      <w:pPr>
        <w:pStyle w:val="NoSpacing"/>
        <w:rPr>
          <w:rFonts w:cstheme="minorHAnsi"/>
        </w:rPr>
      </w:pPr>
    </w:p>
    <w:p w14:paraId="776194FC" w14:textId="77777777" w:rsidR="00C435C4" w:rsidRDefault="00C435C4" w:rsidP="0069694D">
      <w:pPr>
        <w:pStyle w:val="NoSpacing"/>
        <w:rPr>
          <w:rFonts w:cstheme="minorHAnsi"/>
        </w:rPr>
      </w:pPr>
    </w:p>
    <w:p w14:paraId="36EF2830" w14:textId="77777777" w:rsidR="00C435C4" w:rsidRDefault="00C435C4" w:rsidP="0069694D">
      <w:pPr>
        <w:pStyle w:val="NoSpacing"/>
        <w:rPr>
          <w:rFonts w:cstheme="minorHAnsi"/>
        </w:rPr>
      </w:pPr>
    </w:p>
    <w:p w14:paraId="74BA6330" w14:textId="77777777" w:rsidR="00C435C4" w:rsidRDefault="00C435C4" w:rsidP="0069694D">
      <w:pPr>
        <w:pStyle w:val="NoSpacing"/>
        <w:rPr>
          <w:rFonts w:cstheme="minorHAnsi"/>
        </w:rPr>
      </w:pPr>
    </w:p>
    <w:p w14:paraId="0CBD4985" w14:textId="77777777" w:rsidR="00C435C4" w:rsidRDefault="00C435C4" w:rsidP="0069694D">
      <w:pPr>
        <w:pStyle w:val="NoSpacing"/>
        <w:rPr>
          <w:rFonts w:cstheme="minorHAnsi"/>
        </w:rPr>
      </w:pPr>
    </w:p>
    <w:p w14:paraId="07D0447F" w14:textId="77777777" w:rsidR="00C435C4" w:rsidRDefault="00C435C4" w:rsidP="0069694D">
      <w:pPr>
        <w:pStyle w:val="NoSpacing"/>
        <w:rPr>
          <w:rFonts w:cstheme="minorHAnsi"/>
        </w:rPr>
      </w:pPr>
    </w:p>
    <w:p w14:paraId="445F9DC8" w14:textId="2F2F3F01" w:rsidR="006169F4" w:rsidRDefault="006169F4" w:rsidP="006169F4">
      <w:pPr>
        <w:pStyle w:val="NoSpacing"/>
        <w:jc w:val="center"/>
        <w:rPr>
          <w:rFonts w:cstheme="minorHAnsi"/>
        </w:rPr>
      </w:pPr>
      <w:r>
        <w:rPr>
          <w:rFonts w:cstheme="minorHAnsi"/>
        </w:rPr>
        <w:lastRenderedPageBreak/>
        <w:t>Figure A3.8: Conditional treatment effects plots constructed based on regressions presented in Table 3. The visuals suggest that the treatment on the specific U.S. foreign trade policy topic in the vignette is positive among gamers and negative among non-gamers.</w:t>
      </w:r>
    </w:p>
    <w:p w14:paraId="0B15006F" w14:textId="4A63DFC3" w:rsidR="0069694D" w:rsidRDefault="006169F4" w:rsidP="00C435C4">
      <w:pPr>
        <w:pStyle w:val="NoSpacing"/>
        <w:jc w:val="center"/>
        <w:rPr>
          <w:rFonts w:cstheme="minorHAnsi"/>
        </w:rPr>
      </w:pPr>
      <w:r>
        <w:rPr>
          <w:noProof/>
        </w:rPr>
        <w:drawing>
          <wp:inline distT="0" distB="0" distL="0" distR="0" wp14:anchorId="0EDD1707" wp14:editId="543377F7">
            <wp:extent cx="5943600" cy="3147425"/>
            <wp:effectExtent l="19050" t="19050" r="19050"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3147425"/>
                    </a:xfrm>
                    <a:prstGeom prst="rect">
                      <a:avLst/>
                    </a:prstGeom>
                    <a:noFill/>
                    <a:ln>
                      <a:solidFill>
                        <a:schemeClr val="tx1"/>
                      </a:solidFill>
                    </a:ln>
                  </pic:spPr>
                </pic:pic>
              </a:graphicData>
            </a:graphic>
          </wp:inline>
        </w:drawing>
      </w:r>
    </w:p>
    <w:p w14:paraId="3BB89670" w14:textId="77777777" w:rsidR="00692DEA" w:rsidRPr="005B6E1D" w:rsidRDefault="00692DEA" w:rsidP="00692DEA">
      <w:pPr>
        <w:pStyle w:val="NoSpacing"/>
        <w:rPr>
          <w:rFonts w:cstheme="minorHAnsi"/>
          <w:bCs/>
        </w:rPr>
      </w:pPr>
      <w:r>
        <w:rPr>
          <w:rFonts w:cstheme="minorHAnsi"/>
          <w:bCs/>
        </w:rPr>
        <w:t xml:space="preserve">Note: </w:t>
      </w:r>
      <w:r>
        <w:rPr>
          <w:rFonts w:cstheme="minorHAnsi"/>
          <w:bCs/>
        </w:rPr>
        <w:tab/>
        <w:t>Error bars and shaded regions represent 95% confidence intervals.</w:t>
      </w:r>
    </w:p>
    <w:p w14:paraId="748C0C16" w14:textId="77777777" w:rsidR="00692DEA" w:rsidRPr="00C47BC0" w:rsidRDefault="00692DEA" w:rsidP="00C435C4">
      <w:pPr>
        <w:pStyle w:val="NoSpacing"/>
        <w:jc w:val="center"/>
        <w:rPr>
          <w:rFonts w:cstheme="minorHAnsi"/>
        </w:rPr>
      </w:pPr>
    </w:p>
    <w:sectPr w:rsidR="00692DEA" w:rsidRPr="00C47BC0">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B7EC3" w14:textId="77777777" w:rsidR="00B340B4" w:rsidRDefault="00B340B4" w:rsidP="00E11349">
      <w:pPr>
        <w:spacing w:after="0" w:line="240" w:lineRule="auto"/>
      </w:pPr>
      <w:r>
        <w:separator/>
      </w:r>
    </w:p>
  </w:endnote>
  <w:endnote w:type="continuationSeparator" w:id="0">
    <w:p w14:paraId="1FE196FE" w14:textId="77777777" w:rsidR="00B340B4" w:rsidRDefault="00B340B4" w:rsidP="00E1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BBC94" w14:textId="77777777" w:rsidR="00B340B4" w:rsidRDefault="00B340B4" w:rsidP="00E11349">
      <w:pPr>
        <w:spacing w:after="0" w:line="240" w:lineRule="auto"/>
      </w:pPr>
      <w:r>
        <w:separator/>
      </w:r>
    </w:p>
  </w:footnote>
  <w:footnote w:type="continuationSeparator" w:id="0">
    <w:p w14:paraId="7E813645" w14:textId="77777777" w:rsidR="00B340B4" w:rsidRDefault="00B340B4" w:rsidP="00E11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C969D" w14:textId="59E41AC9" w:rsidR="00E11349" w:rsidRDefault="00E11349">
    <w:pPr>
      <w:pStyle w:val="Header"/>
    </w:pPr>
    <w:r>
      <w:t>LEVEL UP</w:t>
    </w:r>
    <w:r w:rsidR="004E4DE7">
      <w:t xml:space="preserve"> Online Appendix </w:t>
    </w:r>
    <w:r w:rsidR="00194AC8">
      <w:t>3</w:t>
    </w:r>
    <w:r>
      <w:tab/>
    </w:r>
    <w:r>
      <w:tab/>
      <w:t>A</w:t>
    </w:r>
    <w:r w:rsidR="00194AC8">
      <w:t>3</w:t>
    </w:r>
    <w:r>
      <w:t>.</w:t>
    </w:r>
    <w:r>
      <w:fldChar w:fldCharType="begin"/>
    </w:r>
    <w:r>
      <w:instrText xml:space="preserve"> PAGE   \* MERGEFORMAT </w:instrText>
    </w:r>
    <w:r>
      <w:fldChar w:fldCharType="separate"/>
    </w:r>
    <w:r>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1NTcxMze2tDQyMzdT0lEKTi0uzszPAykwrAUAe4X1dywAAAA="/>
  </w:docVars>
  <w:rsids>
    <w:rsidRoot w:val="00E11349"/>
    <w:rsid w:val="0001540E"/>
    <w:rsid w:val="00042A48"/>
    <w:rsid w:val="000A46B1"/>
    <w:rsid w:val="000E2D49"/>
    <w:rsid w:val="000F5ED4"/>
    <w:rsid w:val="00107940"/>
    <w:rsid w:val="0015112C"/>
    <w:rsid w:val="00152A02"/>
    <w:rsid w:val="00174FD0"/>
    <w:rsid w:val="00184AEF"/>
    <w:rsid w:val="00194AC8"/>
    <w:rsid w:val="00200B57"/>
    <w:rsid w:val="002012B4"/>
    <w:rsid w:val="00202838"/>
    <w:rsid w:val="0022725E"/>
    <w:rsid w:val="0024726C"/>
    <w:rsid w:val="002543CA"/>
    <w:rsid w:val="00270CDE"/>
    <w:rsid w:val="00284DD2"/>
    <w:rsid w:val="002D6C3F"/>
    <w:rsid w:val="002E67C8"/>
    <w:rsid w:val="00355AA8"/>
    <w:rsid w:val="003D238C"/>
    <w:rsid w:val="003D2DBB"/>
    <w:rsid w:val="004A1EEA"/>
    <w:rsid w:val="004B15C8"/>
    <w:rsid w:val="004B25F9"/>
    <w:rsid w:val="004D0FBB"/>
    <w:rsid w:val="004D34F9"/>
    <w:rsid w:val="004E4DE7"/>
    <w:rsid w:val="00523F72"/>
    <w:rsid w:val="00541A3C"/>
    <w:rsid w:val="005670B1"/>
    <w:rsid w:val="005B1E62"/>
    <w:rsid w:val="005B7C55"/>
    <w:rsid w:val="005E5D49"/>
    <w:rsid w:val="006169F4"/>
    <w:rsid w:val="006251D8"/>
    <w:rsid w:val="00630867"/>
    <w:rsid w:val="00642292"/>
    <w:rsid w:val="006738C8"/>
    <w:rsid w:val="0068505A"/>
    <w:rsid w:val="00685304"/>
    <w:rsid w:val="00692DEA"/>
    <w:rsid w:val="0069694D"/>
    <w:rsid w:val="006A54A8"/>
    <w:rsid w:val="006E7A4F"/>
    <w:rsid w:val="00762AC3"/>
    <w:rsid w:val="007E7628"/>
    <w:rsid w:val="00816045"/>
    <w:rsid w:val="008734C6"/>
    <w:rsid w:val="008755F3"/>
    <w:rsid w:val="00911E27"/>
    <w:rsid w:val="009A1EF0"/>
    <w:rsid w:val="009B6A42"/>
    <w:rsid w:val="009D3642"/>
    <w:rsid w:val="009E2AC0"/>
    <w:rsid w:val="009F5C68"/>
    <w:rsid w:val="00A463BB"/>
    <w:rsid w:val="00A74E97"/>
    <w:rsid w:val="00AF53D4"/>
    <w:rsid w:val="00B20CFD"/>
    <w:rsid w:val="00B24F5E"/>
    <w:rsid w:val="00B340B4"/>
    <w:rsid w:val="00B5518E"/>
    <w:rsid w:val="00C435C4"/>
    <w:rsid w:val="00C47BC0"/>
    <w:rsid w:val="00C5029D"/>
    <w:rsid w:val="00C52A44"/>
    <w:rsid w:val="00C550DF"/>
    <w:rsid w:val="00C63805"/>
    <w:rsid w:val="00C6415C"/>
    <w:rsid w:val="00C6456D"/>
    <w:rsid w:val="00C7058E"/>
    <w:rsid w:val="00C761DD"/>
    <w:rsid w:val="00C9089C"/>
    <w:rsid w:val="00CD1BC9"/>
    <w:rsid w:val="00D10888"/>
    <w:rsid w:val="00D2014B"/>
    <w:rsid w:val="00D4650E"/>
    <w:rsid w:val="00D605D0"/>
    <w:rsid w:val="00D6671C"/>
    <w:rsid w:val="00D739B9"/>
    <w:rsid w:val="00D95D12"/>
    <w:rsid w:val="00E11349"/>
    <w:rsid w:val="00E30D03"/>
    <w:rsid w:val="00E604A6"/>
    <w:rsid w:val="00E95558"/>
    <w:rsid w:val="00EB2882"/>
    <w:rsid w:val="00EB6A5D"/>
    <w:rsid w:val="00ED4EA0"/>
    <w:rsid w:val="00EE4477"/>
    <w:rsid w:val="00EF7E78"/>
    <w:rsid w:val="00F26DEF"/>
    <w:rsid w:val="00F8390F"/>
    <w:rsid w:val="00FF7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503F6"/>
  <w15:chartTrackingRefBased/>
  <w15:docId w15:val="{9BAB1717-188A-4025-AC24-4B0A9D09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1349"/>
    <w:pPr>
      <w:spacing w:after="0" w:line="240" w:lineRule="auto"/>
    </w:pPr>
  </w:style>
  <w:style w:type="paragraph" w:styleId="Header">
    <w:name w:val="header"/>
    <w:basedOn w:val="Normal"/>
    <w:link w:val="HeaderChar"/>
    <w:uiPriority w:val="99"/>
    <w:unhideWhenUsed/>
    <w:rsid w:val="00E11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349"/>
  </w:style>
  <w:style w:type="paragraph" w:styleId="Footer">
    <w:name w:val="footer"/>
    <w:basedOn w:val="Normal"/>
    <w:link w:val="FooterChar"/>
    <w:uiPriority w:val="99"/>
    <w:unhideWhenUsed/>
    <w:rsid w:val="00E11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349"/>
  </w:style>
  <w:style w:type="table" w:styleId="TableGrid">
    <w:name w:val="Table Grid"/>
    <w:basedOn w:val="TableNormal"/>
    <w:uiPriority w:val="39"/>
    <w:rsid w:val="00E60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E4D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4DE7"/>
    <w:rPr>
      <w:sz w:val="20"/>
      <w:szCs w:val="20"/>
    </w:rPr>
  </w:style>
  <w:style w:type="character" w:styleId="FootnoteReference">
    <w:name w:val="footnote reference"/>
    <w:basedOn w:val="DefaultParagraphFont"/>
    <w:uiPriority w:val="99"/>
    <w:semiHidden/>
    <w:unhideWhenUsed/>
    <w:rsid w:val="004E4DE7"/>
    <w:rPr>
      <w:vertAlign w:val="superscript"/>
    </w:rPr>
  </w:style>
  <w:style w:type="character" w:styleId="Hyperlink">
    <w:name w:val="Hyperlink"/>
    <w:basedOn w:val="DefaultParagraphFont"/>
    <w:uiPriority w:val="99"/>
    <w:unhideWhenUsed/>
    <w:rsid w:val="00C52A44"/>
    <w:rPr>
      <w:color w:val="0563C1" w:themeColor="hyperlink"/>
      <w:u w:val="single"/>
    </w:rPr>
  </w:style>
  <w:style w:type="character" w:styleId="UnresolvedMention">
    <w:name w:val="Unresolved Mention"/>
    <w:basedOn w:val="DefaultParagraphFont"/>
    <w:uiPriority w:val="99"/>
    <w:semiHidden/>
    <w:unhideWhenUsed/>
    <w:rsid w:val="00C52A44"/>
    <w:rPr>
      <w:color w:val="605E5C"/>
      <w:shd w:val="clear" w:color="auto" w:fill="E1DFDD"/>
    </w:rPr>
  </w:style>
  <w:style w:type="character" w:styleId="CommentReference">
    <w:name w:val="annotation reference"/>
    <w:basedOn w:val="DefaultParagraphFont"/>
    <w:uiPriority w:val="99"/>
    <w:semiHidden/>
    <w:unhideWhenUsed/>
    <w:rsid w:val="005E5D49"/>
    <w:rPr>
      <w:sz w:val="16"/>
      <w:szCs w:val="16"/>
    </w:rPr>
  </w:style>
  <w:style w:type="paragraph" w:styleId="CommentText">
    <w:name w:val="annotation text"/>
    <w:basedOn w:val="Normal"/>
    <w:link w:val="CommentTextChar"/>
    <w:uiPriority w:val="99"/>
    <w:semiHidden/>
    <w:unhideWhenUsed/>
    <w:rsid w:val="005E5D49"/>
    <w:pPr>
      <w:spacing w:line="240" w:lineRule="auto"/>
    </w:pPr>
    <w:rPr>
      <w:sz w:val="20"/>
      <w:szCs w:val="20"/>
    </w:rPr>
  </w:style>
  <w:style w:type="character" w:customStyle="1" w:styleId="CommentTextChar">
    <w:name w:val="Comment Text Char"/>
    <w:basedOn w:val="DefaultParagraphFont"/>
    <w:link w:val="CommentText"/>
    <w:uiPriority w:val="99"/>
    <w:semiHidden/>
    <w:rsid w:val="005E5D49"/>
    <w:rPr>
      <w:sz w:val="20"/>
      <w:szCs w:val="20"/>
    </w:rPr>
  </w:style>
  <w:style w:type="paragraph" w:styleId="CommentSubject">
    <w:name w:val="annotation subject"/>
    <w:basedOn w:val="CommentText"/>
    <w:next w:val="CommentText"/>
    <w:link w:val="CommentSubjectChar"/>
    <w:uiPriority w:val="99"/>
    <w:semiHidden/>
    <w:unhideWhenUsed/>
    <w:rsid w:val="005E5D49"/>
    <w:rPr>
      <w:b/>
      <w:bCs/>
    </w:rPr>
  </w:style>
  <w:style w:type="character" w:customStyle="1" w:styleId="CommentSubjectChar">
    <w:name w:val="Comment Subject Char"/>
    <w:basedOn w:val="CommentTextChar"/>
    <w:link w:val="CommentSubject"/>
    <w:uiPriority w:val="99"/>
    <w:semiHidden/>
    <w:rsid w:val="005E5D49"/>
    <w:rPr>
      <w:b/>
      <w:bCs/>
      <w:sz w:val="20"/>
      <w:szCs w:val="20"/>
    </w:rPr>
  </w:style>
  <w:style w:type="paragraph" w:styleId="BalloonText">
    <w:name w:val="Balloon Text"/>
    <w:basedOn w:val="Normal"/>
    <w:link w:val="BalloonTextChar"/>
    <w:uiPriority w:val="99"/>
    <w:semiHidden/>
    <w:unhideWhenUsed/>
    <w:rsid w:val="005E5D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D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196545">
      <w:bodyDiv w:val="1"/>
      <w:marLeft w:val="0"/>
      <w:marRight w:val="0"/>
      <w:marTop w:val="0"/>
      <w:marBottom w:val="0"/>
      <w:divBdr>
        <w:top w:val="none" w:sz="0" w:space="0" w:color="auto"/>
        <w:left w:val="none" w:sz="0" w:space="0" w:color="auto"/>
        <w:bottom w:val="none" w:sz="0" w:space="0" w:color="auto"/>
        <w:right w:val="none" w:sz="0" w:space="0" w:color="auto"/>
      </w:divBdr>
      <w:divsChild>
        <w:div w:id="883639085">
          <w:marLeft w:val="480"/>
          <w:marRight w:val="0"/>
          <w:marTop w:val="0"/>
          <w:marBottom w:val="0"/>
          <w:divBdr>
            <w:top w:val="none" w:sz="0" w:space="0" w:color="auto"/>
            <w:left w:val="none" w:sz="0" w:space="0" w:color="auto"/>
            <w:bottom w:val="none" w:sz="0" w:space="0" w:color="auto"/>
            <w:right w:val="none" w:sz="0" w:space="0" w:color="auto"/>
          </w:divBdr>
          <w:divsChild>
            <w:div w:id="59987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30416">
      <w:bodyDiv w:val="1"/>
      <w:marLeft w:val="0"/>
      <w:marRight w:val="0"/>
      <w:marTop w:val="0"/>
      <w:marBottom w:val="0"/>
      <w:divBdr>
        <w:top w:val="none" w:sz="0" w:space="0" w:color="auto"/>
        <w:left w:val="none" w:sz="0" w:space="0" w:color="auto"/>
        <w:bottom w:val="none" w:sz="0" w:space="0" w:color="auto"/>
        <w:right w:val="none" w:sz="0" w:space="0" w:color="auto"/>
      </w:divBdr>
      <w:divsChild>
        <w:div w:id="2131431086">
          <w:marLeft w:val="480"/>
          <w:marRight w:val="0"/>
          <w:marTop w:val="0"/>
          <w:marBottom w:val="0"/>
          <w:divBdr>
            <w:top w:val="none" w:sz="0" w:space="0" w:color="auto"/>
            <w:left w:val="none" w:sz="0" w:space="0" w:color="auto"/>
            <w:bottom w:val="none" w:sz="0" w:space="0" w:color="auto"/>
            <w:right w:val="none" w:sz="0" w:space="0" w:color="auto"/>
          </w:divBdr>
          <w:divsChild>
            <w:div w:id="20681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7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100A7-F746-420B-9553-E0B2BF8CD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10</Pages>
  <Words>1807</Words>
  <Characters>10301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Pavel Bacovsky</cp:lastModifiedBy>
  <cp:revision>3</cp:revision>
  <cp:lastPrinted>2021-04-10T19:44:00Z</cp:lastPrinted>
  <dcterms:created xsi:type="dcterms:W3CDTF">2023-05-23T16:01:00Z</dcterms:created>
  <dcterms:modified xsi:type="dcterms:W3CDTF">2024-05-21T18:58:00Z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a698030260af3d65da2a8e3ba0d0481b11d0e18d17bbd37d71f333b2bd83123b</vt:lpwstr>
  </property>
  <property fmtid="{D5CDD505-2E9C-101B-9397-08002B2CF9AE}" pid="3" name="ZOTERO_PREF_1">
    <vt:lpwstr>&lt;data data-version="3" zotero-version="6.0.26"&gt;&lt;session id="Jtm0ZMGb"/&gt;&lt;style id="http://www.zotero.org/styles/apa" locale="en-US" hasBibliography="1" bibliographyStyleHasBeenSet="0"/&gt;&lt;prefs&gt;&lt;pref name="fieldType" value="Field"/&gt;&lt;pref name="automaticJourn</vt:lpwstr>
  </property>
  <property fmtid="{D5CDD505-2E9C-101B-9397-08002B2CF9AE}" pid="4" name="ZOTERO_PREF_2">
    <vt:lpwstr>alAbbreviations" value="true"/&gt;&lt;/prefs&gt;&lt;/data&gt;</vt:lpwstr>
  </property>
</Properties>
</file>