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910D" w14:textId="77777777" w:rsidR="00613822" w:rsidRPr="006237D3" w:rsidRDefault="0045011F" w:rsidP="00763A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5689107"/>
      <w:r w:rsidRPr="006237D3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</w:p>
    <w:p w14:paraId="3286F697" w14:textId="77777777" w:rsidR="00613822" w:rsidRPr="006237D3" w:rsidRDefault="00613822" w:rsidP="00763A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3E648" w14:textId="037C90ED" w:rsidR="0094779A" w:rsidRPr="006237D3" w:rsidRDefault="0045011F" w:rsidP="00613822">
      <w:pPr>
        <w:spacing w:line="360" w:lineRule="auto"/>
        <w:rPr>
          <w:rFonts w:ascii="Times New Roman" w:eastAsia="Yu Gothic" w:hAnsi="Times New Roman" w:cs="Times New Roman"/>
          <w:b/>
          <w:bCs/>
          <w:kern w:val="0"/>
          <w:sz w:val="24"/>
          <w:szCs w:val="24"/>
          <w:vertAlign w:val="superscript"/>
        </w:rPr>
      </w:pPr>
      <w:bookmarkStart w:id="1" w:name="_Hlk184403620"/>
      <w:bookmarkStart w:id="2" w:name="_Hlk176354252"/>
      <w:r w:rsidRPr="006237D3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613822" w:rsidRPr="006237D3">
        <w:rPr>
          <w:rFonts w:ascii="Times New Roman" w:hAnsi="Times New Roman" w:cs="Times New Roman"/>
          <w:b/>
          <w:bCs/>
          <w:sz w:val="24"/>
          <w:szCs w:val="24"/>
        </w:rPr>
        <w:t>ry</w:t>
      </w:r>
      <w:bookmarkEnd w:id="1"/>
      <w:r w:rsidRPr="00623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822" w:rsidRPr="006237D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237D3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EE01F7" w:rsidRPr="006237D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13822"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  <w:t xml:space="preserve">. </w:t>
      </w:r>
      <w:bookmarkStart w:id="3" w:name="_Hlk184395277"/>
      <w:r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  <w:t>Reference values for each nutrient</w:t>
      </w:r>
      <w:bookmarkEnd w:id="3"/>
      <w:r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  <w:vertAlign w:val="superscript"/>
        </w:rPr>
        <w:t>*</w:t>
      </w:r>
    </w:p>
    <w:p w14:paraId="4FCB9A0B" w14:textId="77777777" w:rsidR="0045011F" w:rsidRPr="006237D3" w:rsidRDefault="0045011F" w:rsidP="0061382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77"/>
        <w:gridCol w:w="1563"/>
        <w:gridCol w:w="1507"/>
        <w:gridCol w:w="1584"/>
        <w:gridCol w:w="1507"/>
      </w:tblGrid>
      <w:tr w:rsidR="006237D3" w:rsidRPr="006237D3" w14:paraId="202D1EB8" w14:textId="7BB0CD96" w:rsidTr="002E2D0C">
        <w:trPr>
          <w:trHeight w:val="630"/>
        </w:trPr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bookmarkEnd w:id="2"/>
          <w:p w14:paraId="2027ACF9" w14:textId="77777777" w:rsidR="009A3830" w:rsidRPr="006237D3" w:rsidRDefault="009A3830" w:rsidP="00763A5F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C6BFA" w14:textId="3D7EAF8C" w:rsidR="009A3830" w:rsidRPr="006237D3" w:rsidRDefault="009A3830" w:rsidP="00763A5F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Males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BFA10" w14:textId="363717D3" w:rsidR="009A3830" w:rsidRPr="006237D3" w:rsidRDefault="009A3830" w:rsidP="00763A5F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Females</w:t>
            </w:r>
          </w:p>
        </w:tc>
      </w:tr>
      <w:tr w:rsidR="006237D3" w:rsidRPr="006237D3" w14:paraId="442BA736" w14:textId="6498AF4F" w:rsidTr="00B9158F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0492A" w14:textId="33A59B64" w:rsidR="009A3830" w:rsidRPr="006237D3" w:rsidRDefault="009A3830" w:rsidP="009A3830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Energy with EER (kcal)</w:t>
            </w: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53DB" w14:textId="26DD57C2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2650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6375" w14:textId="41F63B8F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2000</w:t>
            </w:r>
          </w:p>
        </w:tc>
      </w:tr>
      <w:tr w:rsidR="006237D3" w:rsidRPr="006237D3" w14:paraId="5855535D" w14:textId="77777777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BAE82" w14:textId="77777777" w:rsidR="009A3830" w:rsidRPr="006237D3" w:rsidRDefault="009A3830" w:rsidP="009A3830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2684D" w14:textId="7D2B5257" w:rsidR="009A3830" w:rsidRPr="006237D3" w:rsidRDefault="007D70D8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Min</w:t>
            </w:r>
            <w:r w:rsidR="00FD4503"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imum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 RV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818DB" w14:textId="3C9B8830" w:rsidR="009A3830" w:rsidRPr="006237D3" w:rsidRDefault="007D70D8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Max</w:t>
            </w:r>
            <w:r w:rsidR="00FD4503"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imum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 RV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E5CF5" w14:textId="4AEE1C19" w:rsidR="009A3830" w:rsidRPr="006237D3" w:rsidRDefault="007D70D8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Min</w:t>
            </w:r>
            <w:r w:rsidR="00FD4503"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imum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 RV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0DCD9" w14:textId="76E5DAB2" w:rsidR="009A3830" w:rsidRPr="006237D3" w:rsidRDefault="007D70D8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Max</w:t>
            </w:r>
            <w:r w:rsidR="00FD4503"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imum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 RV</w:t>
            </w:r>
          </w:p>
        </w:tc>
      </w:tr>
      <w:tr w:rsidR="006237D3" w:rsidRPr="006237D3" w14:paraId="3A3B47CE" w14:textId="68165FB6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AAA77" w14:textId="1E60D390" w:rsidR="009A3830" w:rsidRPr="006237D3" w:rsidRDefault="009A3830" w:rsidP="009A3830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Nutrient with EAR</w:t>
            </w:r>
            <w:r w:rsidRPr="00623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8DFD" w14:textId="77777777" w:rsidR="009A3830" w:rsidRPr="006237D3" w:rsidRDefault="009A3830" w:rsidP="009A3830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EF53716" w14:textId="77777777" w:rsidR="009A3830" w:rsidRPr="006237D3" w:rsidRDefault="009A3830" w:rsidP="009A38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1F4B" w14:textId="6C4DC7C1" w:rsidR="009A3830" w:rsidRPr="006237D3" w:rsidRDefault="009A3830" w:rsidP="009A38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D62ABA6" w14:textId="77777777" w:rsidR="009A3830" w:rsidRPr="006237D3" w:rsidRDefault="009A3830" w:rsidP="009A38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187A6EA0" w14:textId="0D5FD3AD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6F39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Protein (g)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98D3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DCF8AE0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BC8D" w14:textId="204F507D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0485B8E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67C845CA" w14:textId="62ED29E8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2BE47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Vitamin A (µ</w:t>
            </w:r>
            <w:proofErr w:type="spellStart"/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gRAE</w:t>
            </w:r>
            <w:proofErr w:type="spellEnd"/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A6E94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4CBF29C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0F3DD" w14:textId="3E0F8772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450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F6D8285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2E2097AA" w14:textId="67350EF7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54CA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Vitamin B1 (mg)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8D45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D2ED610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5945" w14:textId="4F272E7A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98C1416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72A95B8E" w14:textId="0DEB8196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7284E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Vitamin B2 (mg)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001F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6915F520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592F" w14:textId="78D6F22F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ED7190F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0369E376" w14:textId="3CE90574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3D9C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Niacin (</w:t>
            </w:r>
            <w:proofErr w:type="spellStart"/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mgNE</w:t>
            </w:r>
            <w:proofErr w:type="spellEnd"/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8094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49698B6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B815" w14:textId="0A69B6CD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52830509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0EF51AB6" w14:textId="07651891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D394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Vitamin B6 (mg)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809A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B5BC021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5163" w14:textId="706D4778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1.0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4C6C348A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0C33067F" w14:textId="6E285F02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6020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Vitamin B12 (mg)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ABAD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A672E85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F606" w14:textId="79E67D70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DD1B781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40FBA9EA" w14:textId="1179995F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E019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Folate (µg)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EE21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0B712F8E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5A07" w14:textId="03706F79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00FD8C42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679C5141" w14:textId="19FA830A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5B17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Vitamin C (mg)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361C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E798AA4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7EDA" w14:textId="103A0FB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A81DFEA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716B11DD" w14:textId="2377EBB7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1635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Calcium (mg)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EE929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650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20AE660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3B81E" w14:textId="37C88108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550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4A9A833A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39455BC1" w14:textId="24A9274E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499E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Magnesium (mg)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EF78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280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5D1879C2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837F" w14:textId="1734BBE2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230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0855B002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48F08EE4" w14:textId="5A4DF9F1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D2EE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Iron (mg)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C9CE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6.5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4632107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7B968" w14:textId="0F03EB36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9.3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C7A7BBF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4832B47F" w14:textId="01EA4F7E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9EF0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Zinc (mg)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3C6C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5E6444F2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CFE8" w14:textId="09F6DC0B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4F8470E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3B53230D" w14:textId="13CA92FF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5556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Copper (mg)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9EFC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83388A5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DBBF" w14:textId="47B5E589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5D75FFE0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509D6A05" w14:textId="12E619E8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47C71" w14:textId="2A4F15F7" w:rsidR="009A3830" w:rsidRPr="006237D3" w:rsidRDefault="009A3830" w:rsidP="009A3830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Nutrient with DG</w:t>
            </w:r>
            <w:r w:rsidRPr="00623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E945" w14:textId="77777777" w:rsidR="009A3830" w:rsidRPr="006237D3" w:rsidRDefault="009A3830" w:rsidP="009A3830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D5ED1E7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DD65" w14:textId="5C0DED8B" w:rsidR="009A3830" w:rsidRPr="006237D3" w:rsidRDefault="009A3830" w:rsidP="009A38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07C917B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0F461FD7" w14:textId="65E5D800" w:rsidTr="0045011F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253F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Protein (%energy)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BD27" w14:textId="36A4A379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BDFFC" w14:textId="71A088FC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3DCA" w14:textId="471AC511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C5A4E" w14:textId="56388816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  <w:tr w:rsidR="006237D3" w:rsidRPr="006237D3" w14:paraId="66BEC058" w14:textId="3241482A" w:rsidTr="0045011F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2A17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Fat (%energy)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B6390" w14:textId="01B8D9E6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44F1" w14:textId="605E8E6D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4F6C" w14:textId="0C7C3C9A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A4755" w14:textId="5CD8BBAF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  <w:tr w:rsidR="006237D3" w:rsidRPr="006237D3" w14:paraId="0D67733F" w14:textId="270F33B7" w:rsidTr="0045011F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CF34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SFA (%energy)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D290" w14:textId="6F6472A4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8ADB7" w14:textId="4698D71F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9B87" w14:textId="436767B1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B0ED" w14:textId="5A96DC29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237D3" w:rsidRPr="006237D3" w14:paraId="16F93EED" w14:textId="5F732579" w:rsidTr="0045011F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EC43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Carbohydrate (%energy)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9EE7" w14:textId="221B0A05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B7140" w14:textId="19A2BBAA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F894" w14:textId="6C950DBE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187B2" w14:textId="498FCD3A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65</w:t>
            </w:r>
          </w:p>
        </w:tc>
      </w:tr>
      <w:tr w:rsidR="006237D3" w:rsidRPr="006237D3" w14:paraId="3C3A71C2" w14:textId="216F915B" w:rsidTr="0045011F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D8FF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Total dietary fibre (g)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92BD" w14:textId="67729D5A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F168" w14:textId="77777777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5047" w14:textId="0F620A6E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13CB" w14:textId="77777777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6EA528B0" w14:textId="2C8C3461" w:rsidTr="0045011F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01A2" w14:textId="6F40B4FD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Sodium (salt-equivalent) (g)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7BBD" w14:textId="667F1E9E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506D8" w14:textId="0184F40A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0456" w14:textId="304FDE19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3AB7" w14:textId="67F6AE14" w:rsidR="009A3830" w:rsidRPr="006237D3" w:rsidRDefault="009A3830" w:rsidP="00D20D2E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6.5</w:t>
            </w:r>
          </w:p>
        </w:tc>
      </w:tr>
      <w:tr w:rsidR="009A3830" w:rsidRPr="006237D3" w14:paraId="073F6E73" w14:textId="4B535147" w:rsidTr="004D2995">
        <w:trPr>
          <w:trHeight w:val="375"/>
        </w:trPr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6D2C9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Potassium (mg)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143C1" w14:textId="24FFD8CA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0DEE8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1420C" w14:textId="0FE92BB9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DF9E" w14:textId="77777777" w:rsidR="009A3830" w:rsidRPr="006237D3" w:rsidRDefault="009A3830" w:rsidP="009A3830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bookmarkEnd w:id="0"/>
    </w:tbl>
    <w:p w14:paraId="0BD7029B" w14:textId="77777777" w:rsidR="0045011F" w:rsidRPr="006237D3" w:rsidRDefault="0045011F" w:rsidP="00C02855">
      <w:pPr>
        <w:spacing w:line="240" w:lineRule="exact"/>
        <w:rPr>
          <w:rFonts w:ascii="Times New Roman" w:hAnsi="Times New Roman" w:cs="Times New Roman"/>
          <w:szCs w:val="21"/>
        </w:rPr>
      </w:pPr>
    </w:p>
    <w:p w14:paraId="68EC299D" w14:textId="071D5874" w:rsidR="00846783" w:rsidRPr="006237D3" w:rsidRDefault="009A3830" w:rsidP="00C02855">
      <w:pPr>
        <w:spacing w:line="240" w:lineRule="exact"/>
        <w:rPr>
          <w:rFonts w:ascii="Times New Roman" w:hAnsi="Times New Roman" w:cs="Times New Roman"/>
          <w:szCs w:val="21"/>
        </w:rPr>
      </w:pPr>
      <w:r w:rsidRPr="006237D3">
        <w:rPr>
          <w:rFonts w:ascii="Times New Roman" w:hAnsi="Times New Roman" w:cs="Times New Roman"/>
          <w:szCs w:val="21"/>
        </w:rPr>
        <w:t xml:space="preserve">EER, </w:t>
      </w:r>
      <w:r w:rsidRPr="006237D3">
        <w:rPr>
          <w:rFonts w:ascii="Times New Roman" w:eastAsia="Yu Mincho" w:hAnsi="Times New Roman" w:cs="Times New Roman"/>
          <w:szCs w:val="21"/>
        </w:rPr>
        <w:t>estimated energy requirement</w:t>
      </w:r>
      <w:r w:rsidRPr="006237D3">
        <w:rPr>
          <w:rFonts w:ascii="Times New Roman" w:hAnsi="Times New Roman" w:cs="Times New Roman"/>
          <w:szCs w:val="21"/>
        </w:rPr>
        <w:t xml:space="preserve">; DG, </w:t>
      </w:r>
      <w:r w:rsidR="008073FE" w:rsidRPr="006237D3">
        <w:rPr>
          <w:rFonts w:ascii="Times New Roman" w:hAnsi="Times New Roman" w:cs="Times New Roman"/>
          <w:szCs w:val="21"/>
        </w:rPr>
        <w:t>dietary goal</w:t>
      </w:r>
      <w:r w:rsidRPr="006237D3">
        <w:rPr>
          <w:rFonts w:ascii="Times New Roman" w:hAnsi="Times New Roman" w:cs="Times New Roman"/>
          <w:szCs w:val="21"/>
        </w:rPr>
        <w:t xml:space="preserve">; </w:t>
      </w:r>
      <w:r w:rsidR="00576B29" w:rsidRPr="006237D3">
        <w:rPr>
          <w:rFonts w:ascii="Times New Roman" w:hAnsi="Times New Roman" w:cs="Times New Roman"/>
          <w:szCs w:val="21"/>
        </w:rPr>
        <w:t xml:space="preserve">EAR, </w:t>
      </w:r>
      <w:r w:rsidRPr="006237D3">
        <w:rPr>
          <w:rFonts w:ascii="Times New Roman" w:eastAsia="Yu Mincho" w:hAnsi="Times New Roman" w:cs="Times New Roman"/>
          <w:szCs w:val="21"/>
        </w:rPr>
        <w:t>estimated average requirement</w:t>
      </w:r>
      <w:r w:rsidR="00576B29" w:rsidRPr="006237D3">
        <w:rPr>
          <w:rFonts w:ascii="Times New Roman" w:hAnsi="Times New Roman" w:cs="Times New Roman"/>
          <w:szCs w:val="21"/>
        </w:rPr>
        <w:t xml:space="preserve">; </w:t>
      </w:r>
      <w:r w:rsidR="004058AF" w:rsidRPr="006237D3">
        <w:rPr>
          <w:rFonts w:ascii="Times New Roman" w:hAnsi="Times New Roman" w:cs="Times New Roman"/>
          <w:szCs w:val="21"/>
        </w:rPr>
        <w:t xml:space="preserve">NE, niacin equivalent, </w:t>
      </w:r>
      <w:r w:rsidR="00576B29" w:rsidRPr="006237D3">
        <w:rPr>
          <w:rFonts w:ascii="Times New Roman" w:hAnsi="Times New Roman" w:cs="Times New Roman"/>
          <w:szCs w:val="21"/>
        </w:rPr>
        <w:t xml:space="preserve">RAE, </w:t>
      </w:r>
      <w:r w:rsidR="00B00AD0" w:rsidRPr="006237D3">
        <w:rPr>
          <w:rFonts w:ascii="Times New Roman" w:hAnsi="Times New Roman" w:cs="Times New Roman"/>
          <w:szCs w:val="21"/>
        </w:rPr>
        <w:t>retinol activity equivalent</w:t>
      </w:r>
      <w:r w:rsidR="00576B29" w:rsidRPr="006237D3">
        <w:rPr>
          <w:rFonts w:ascii="Times New Roman" w:hAnsi="Times New Roman" w:cs="Times New Roman"/>
          <w:szCs w:val="21"/>
        </w:rPr>
        <w:t xml:space="preserve">; </w:t>
      </w:r>
      <w:r w:rsidRPr="006237D3">
        <w:rPr>
          <w:rFonts w:ascii="Times New Roman" w:hAnsi="Times New Roman" w:cs="Times New Roman"/>
          <w:szCs w:val="21"/>
        </w:rPr>
        <w:t>SFA, saturated fatty acid</w:t>
      </w:r>
      <w:r w:rsidR="007D70D8" w:rsidRPr="006237D3">
        <w:rPr>
          <w:rFonts w:ascii="Times New Roman" w:hAnsi="Times New Roman" w:cs="Times New Roman"/>
          <w:szCs w:val="21"/>
        </w:rPr>
        <w:t>; RV, reference value</w:t>
      </w:r>
      <w:r w:rsidRPr="006237D3">
        <w:rPr>
          <w:rFonts w:ascii="Times New Roman" w:hAnsi="Times New Roman" w:cs="Times New Roman"/>
          <w:szCs w:val="21"/>
        </w:rPr>
        <w:t>. </w:t>
      </w:r>
    </w:p>
    <w:p w14:paraId="47054CB1" w14:textId="4C57122D" w:rsidR="00846783" w:rsidRPr="006237D3" w:rsidRDefault="0045011F" w:rsidP="00C02855">
      <w:pPr>
        <w:spacing w:line="240" w:lineRule="exact"/>
        <w:rPr>
          <w:rFonts w:ascii="Times New Roman" w:hAnsi="Times New Roman" w:cs="Times New Roman"/>
          <w:szCs w:val="21"/>
        </w:rPr>
      </w:pPr>
      <w:r w:rsidRPr="006237D3">
        <w:rPr>
          <w:rFonts w:ascii="Times New Roman" w:hAnsi="Times New Roman" w:cs="Times New Roman"/>
          <w:szCs w:val="21"/>
          <w:vertAlign w:val="superscript"/>
        </w:rPr>
        <w:t>*</w:t>
      </w:r>
      <w:r w:rsidRPr="006237D3">
        <w:rPr>
          <w:rFonts w:ascii="Times New Roman" w:hAnsi="Times New Roman" w:cs="Times New Roman"/>
          <w:szCs w:val="21"/>
        </w:rPr>
        <w:t xml:space="preserve"> </w:t>
      </w:r>
      <w:r w:rsidR="00613822" w:rsidRPr="006237D3">
        <w:rPr>
          <w:rFonts w:ascii="Times New Roman" w:hAnsi="Times New Roman" w:cs="Times New Roman"/>
          <w:szCs w:val="21"/>
        </w:rPr>
        <w:t>Dietary reference intakes (</w:t>
      </w:r>
      <w:r w:rsidRPr="006237D3">
        <w:rPr>
          <w:rFonts w:ascii="Times New Roman" w:hAnsi="Times New Roman" w:cs="Times New Roman"/>
          <w:szCs w:val="21"/>
        </w:rPr>
        <w:t>DRIs</w:t>
      </w:r>
      <w:r w:rsidR="00613822" w:rsidRPr="006237D3">
        <w:rPr>
          <w:rFonts w:ascii="Times New Roman" w:hAnsi="Times New Roman" w:cs="Times New Roman"/>
          <w:szCs w:val="21"/>
        </w:rPr>
        <w:t>)</w:t>
      </w:r>
      <w:r w:rsidRPr="006237D3">
        <w:rPr>
          <w:rFonts w:ascii="Times New Roman" w:hAnsi="Times New Roman" w:cs="Times New Roman"/>
          <w:szCs w:val="21"/>
        </w:rPr>
        <w:t xml:space="preserve"> for Japanese males and females aged 18–29 years.</w:t>
      </w:r>
    </w:p>
    <w:p w14:paraId="315C0848" w14:textId="26A1BB07" w:rsidR="00846783" w:rsidRPr="006237D3" w:rsidRDefault="0045011F" w:rsidP="00C02855">
      <w:pPr>
        <w:spacing w:line="240" w:lineRule="exact"/>
        <w:rPr>
          <w:rFonts w:ascii="Times New Roman" w:hAnsi="Times New Roman" w:cs="Times New Roman"/>
          <w:szCs w:val="21"/>
        </w:rPr>
      </w:pPr>
      <w:r w:rsidRPr="006237D3">
        <w:rPr>
          <w:rFonts w:ascii="Times New Roman" w:hAnsi="Times New Roman" w:cs="Times New Roman"/>
          <w:szCs w:val="21"/>
          <w:vertAlign w:val="superscript"/>
        </w:rPr>
        <w:t>†</w:t>
      </w:r>
      <w:r w:rsidRPr="006237D3">
        <w:rPr>
          <w:rFonts w:ascii="Times New Roman" w:hAnsi="Times New Roman" w:cs="Times New Roman"/>
          <w:szCs w:val="21"/>
        </w:rPr>
        <w:t xml:space="preserve"> </w:t>
      </w:r>
      <w:r w:rsidR="00613822" w:rsidRPr="006237D3">
        <w:rPr>
          <w:rFonts w:ascii="Times New Roman" w:hAnsi="Times New Roman" w:cs="Times New Roman"/>
          <w:szCs w:val="21"/>
        </w:rPr>
        <w:t>E</w:t>
      </w:r>
      <w:r w:rsidRPr="006237D3">
        <w:rPr>
          <w:rFonts w:ascii="Times New Roman" w:hAnsi="Times New Roman" w:cs="Times New Roman"/>
          <w:szCs w:val="21"/>
        </w:rPr>
        <w:t>stimated energy requirement for physical activity level Ⅱ for 18</w:t>
      </w:r>
      <w:r w:rsidR="00F43B4E" w:rsidRPr="006237D3">
        <w:rPr>
          <w:rFonts w:ascii="Times New Roman" w:hAnsi="Times New Roman" w:cs="Times New Roman"/>
          <w:szCs w:val="21"/>
        </w:rPr>
        <w:t>–</w:t>
      </w:r>
      <w:r w:rsidRPr="006237D3">
        <w:rPr>
          <w:rFonts w:ascii="Times New Roman" w:hAnsi="Times New Roman" w:cs="Times New Roman"/>
          <w:szCs w:val="21"/>
        </w:rPr>
        <w:t>29-year-old Japanese males and females.</w:t>
      </w:r>
    </w:p>
    <w:p w14:paraId="32B66DCD" w14:textId="0E5C365E" w:rsidR="00846783" w:rsidRPr="006237D3" w:rsidRDefault="0045011F" w:rsidP="00C02855">
      <w:pPr>
        <w:spacing w:line="240" w:lineRule="exact"/>
        <w:rPr>
          <w:rFonts w:ascii="Times New Roman" w:hAnsi="Times New Roman" w:cs="Times New Roman"/>
          <w:szCs w:val="21"/>
        </w:rPr>
      </w:pPr>
      <w:r w:rsidRPr="006237D3">
        <w:rPr>
          <w:rFonts w:ascii="Times New Roman" w:hAnsi="Times New Roman" w:cs="Times New Roman"/>
          <w:szCs w:val="21"/>
          <w:vertAlign w:val="superscript"/>
        </w:rPr>
        <w:t>‡</w:t>
      </w:r>
      <w:r w:rsidRPr="006237D3">
        <w:rPr>
          <w:rFonts w:ascii="Times New Roman" w:hAnsi="Times New Roman" w:cs="Times New Roman"/>
          <w:szCs w:val="21"/>
        </w:rPr>
        <w:t xml:space="preserve"> </w:t>
      </w:r>
      <w:r w:rsidR="00B001A4" w:rsidRPr="006237D3">
        <w:rPr>
          <w:rFonts w:ascii="Times New Roman" w:hAnsi="Times New Roman" w:cs="Times New Roman"/>
          <w:szCs w:val="21"/>
        </w:rPr>
        <w:t xml:space="preserve">Nutritional </w:t>
      </w:r>
      <w:r w:rsidRPr="006237D3">
        <w:rPr>
          <w:rFonts w:ascii="Times New Roman" w:hAnsi="Times New Roman" w:cs="Times New Roman"/>
          <w:szCs w:val="21"/>
        </w:rPr>
        <w:t>inadequacy</w:t>
      </w:r>
      <w:r w:rsidR="00141893" w:rsidRPr="006237D3">
        <w:rPr>
          <w:rFonts w:ascii="Times New Roman" w:hAnsi="Times New Roman" w:cs="Times New Roman"/>
          <w:szCs w:val="21"/>
        </w:rPr>
        <w:t xml:space="preserve"> was</w:t>
      </w:r>
      <w:r w:rsidR="00005F46" w:rsidRPr="006237D3">
        <w:rPr>
          <w:rFonts w:ascii="Times New Roman" w:hAnsi="Times New Roman" w:cs="Times New Roman"/>
          <w:szCs w:val="21"/>
        </w:rPr>
        <w:t xml:space="preserve"> id</w:t>
      </w:r>
      <w:r w:rsidR="00141893" w:rsidRPr="006237D3">
        <w:rPr>
          <w:rFonts w:ascii="Times New Roman" w:hAnsi="Times New Roman" w:cs="Times New Roman"/>
          <w:szCs w:val="21"/>
        </w:rPr>
        <w:t>entified</w:t>
      </w:r>
      <w:r w:rsidRPr="006237D3">
        <w:rPr>
          <w:rFonts w:ascii="Times New Roman" w:hAnsi="Times New Roman" w:cs="Times New Roman"/>
          <w:szCs w:val="21"/>
        </w:rPr>
        <w:t xml:space="preserve"> if </w:t>
      </w:r>
      <w:r w:rsidR="00613822" w:rsidRPr="006237D3">
        <w:rPr>
          <w:rFonts w:ascii="Times New Roman" w:hAnsi="Times New Roman" w:cs="Times New Roman"/>
          <w:szCs w:val="21"/>
        </w:rPr>
        <w:t xml:space="preserve">the </w:t>
      </w:r>
      <w:r w:rsidRPr="006237D3">
        <w:rPr>
          <w:rFonts w:ascii="Times New Roman" w:hAnsi="Times New Roman" w:cs="Times New Roman"/>
          <w:szCs w:val="21"/>
        </w:rPr>
        <w:t xml:space="preserve">intake </w:t>
      </w:r>
      <w:r w:rsidR="00613822" w:rsidRPr="006237D3">
        <w:rPr>
          <w:rFonts w:ascii="Times New Roman" w:hAnsi="Times New Roman" w:cs="Times New Roman"/>
          <w:szCs w:val="21"/>
        </w:rPr>
        <w:t xml:space="preserve">of a nutrient </w:t>
      </w:r>
      <w:r w:rsidRPr="006237D3">
        <w:rPr>
          <w:rFonts w:ascii="Times New Roman" w:hAnsi="Times New Roman" w:cs="Times New Roman"/>
          <w:szCs w:val="21"/>
        </w:rPr>
        <w:t xml:space="preserve">was below the EAR or outside the range of the </w:t>
      </w:r>
      <w:r w:rsidRPr="006237D3">
        <w:rPr>
          <w:rFonts w:ascii="Times New Roman" w:hAnsi="Times New Roman" w:cs="Times New Roman"/>
          <w:szCs w:val="21"/>
        </w:rPr>
        <w:lastRenderedPageBreak/>
        <w:t>DG.</w:t>
      </w:r>
    </w:p>
    <w:p w14:paraId="071DD4DA" w14:textId="6E6BCBA5" w:rsidR="007D70D8" w:rsidRPr="006237D3" w:rsidRDefault="0045011F" w:rsidP="00C028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237D3">
        <w:rPr>
          <w:rFonts w:ascii="Times New Roman" w:hAnsi="Times New Roman" w:cs="Times New Roman"/>
          <w:szCs w:val="21"/>
        </w:rPr>
        <w:t>§ A probability of inadequacy &gt;50% for menstruating women whose iron bioavailability was 15% (&lt;9.3 mg/day) was considered inadequate.</w:t>
      </w:r>
      <w:r w:rsidR="007D70D8" w:rsidRPr="006237D3">
        <w:rPr>
          <w:rFonts w:ascii="Times New Roman" w:hAnsi="Times New Roman" w:cs="Times New Roman"/>
          <w:sz w:val="24"/>
          <w:szCs w:val="24"/>
        </w:rPr>
        <w:br w:type="page"/>
      </w:r>
    </w:p>
    <w:p w14:paraId="5B68607D" w14:textId="65C4D00A" w:rsidR="002F6BC0" w:rsidRPr="006237D3" w:rsidRDefault="002F6BC0" w:rsidP="002F6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7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2. Comparison of </w:t>
      </w:r>
      <w:r w:rsidR="0061101F" w:rsidRPr="006237D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6237D3">
        <w:rPr>
          <w:rFonts w:ascii="Times New Roman" w:hAnsi="Times New Roman" w:cs="Times New Roman"/>
          <w:b/>
          <w:bCs/>
          <w:sz w:val="24"/>
          <w:szCs w:val="24"/>
        </w:rPr>
        <w:t>characteristics of included and excluded participants</w:t>
      </w:r>
    </w:p>
    <w:p w14:paraId="269B8C23" w14:textId="77777777" w:rsidR="0045011F" w:rsidRPr="006237D3" w:rsidRDefault="0045011F" w:rsidP="002F6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21" w:type="pct"/>
        <w:tblLook w:val="01E0" w:firstRow="1" w:lastRow="1" w:firstColumn="1" w:lastColumn="1" w:noHBand="0" w:noVBand="0"/>
      </w:tblPr>
      <w:tblGrid>
        <w:gridCol w:w="4109"/>
        <w:gridCol w:w="696"/>
        <w:gridCol w:w="797"/>
        <w:gridCol w:w="696"/>
        <w:gridCol w:w="797"/>
        <w:gridCol w:w="696"/>
        <w:gridCol w:w="797"/>
        <w:gridCol w:w="890"/>
        <w:gridCol w:w="8"/>
      </w:tblGrid>
      <w:tr w:rsidR="006237D3" w:rsidRPr="006237D3" w14:paraId="0920DAFE" w14:textId="77777777" w:rsidTr="009B3D2D">
        <w:trPr>
          <w:gridAfter w:val="1"/>
          <w:wAfter w:w="4" w:type="pct"/>
          <w:trHeight w:val="553"/>
        </w:trPr>
        <w:tc>
          <w:tcPr>
            <w:tcW w:w="2166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hideMark/>
          </w:tcPr>
          <w:p w14:paraId="4E4A93F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1E1B74E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  <w:p w14:paraId="1E60734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23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</w:t>
            </w:r>
            <w:r w:rsidRPr="006237D3">
              <w:rPr>
                <w:rFonts w:ascii="Times New Roman" w:hAnsi="Times New Roman" w:cs="Times New Roman"/>
                <w:b/>
                <w:sz w:val="24"/>
                <w:szCs w:val="24"/>
              </w:rPr>
              <w:t>=1192)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533F8FB" w14:textId="77777777" w:rsidR="002F6BC0" w:rsidRPr="006237D3" w:rsidRDefault="002F6BC0" w:rsidP="00F71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b/>
                <w:sz w:val="24"/>
                <w:szCs w:val="24"/>
              </w:rPr>
              <w:t>Included participants</w:t>
            </w:r>
          </w:p>
          <w:p w14:paraId="65E3B53C" w14:textId="77777777" w:rsidR="002F6BC0" w:rsidRPr="006237D3" w:rsidRDefault="002F6BC0" w:rsidP="00F71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23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</w:t>
            </w:r>
            <w:r w:rsidRPr="006237D3">
              <w:rPr>
                <w:rFonts w:ascii="Times New Roman" w:hAnsi="Times New Roman" w:cs="Times New Roman"/>
                <w:b/>
                <w:sz w:val="24"/>
                <w:szCs w:val="24"/>
              </w:rPr>
              <w:t>= 801)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ACA8F8" w14:textId="77777777" w:rsidR="002F6BC0" w:rsidRPr="006237D3" w:rsidRDefault="002F6BC0" w:rsidP="00F71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b/>
                <w:sz w:val="24"/>
                <w:szCs w:val="24"/>
              </w:rPr>
              <w:t>Excluded participants</w:t>
            </w:r>
          </w:p>
          <w:p w14:paraId="59DB1AB1" w14:textId="77777777" w:rsidR="002F6BC0" w:rsidRPr="006237D3" w:rsidRDefault="002F6BC0" w:rsidP="00F71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23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</w:t>
            </w:r>
            <w:r w:rsidRPr="006237D3">
              <w:rPr>
                <w:rFonts w:ascii="Times New Roman" w:hAnsi="Times New Roman" w:cs="Times New Roman"/>
                <w:b/>
                <w:sz w:val="24"/>
                <w:szCs w:val="24"/>
              </w:rPr>
              <w:t>= 391)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hideMark/>
          </w:tcPr>
          <w:p w14:paraId="459BE80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6237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-value</w:t>
            </w:r>
          </w:p>
        </w:tc>
      </w:tr>
      <w:tr w:rsidR="006237D3" w:rsidRPr="006237D3" w14:paraId="1737DC23" w14:textId="77777777" w:rsidTr="009B3D2D">
        <w:trPr>
          <w:trHeight w:val="340"/>
        </w:trPr>
        <w:tc>
          <w:tcPr>
            <w:tcW w:w="2166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C7DE73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NKQ score, Mean, SD</w:t>
            </w:r>
          </w:p>
        </w:tc>
        <w:tc>
          <w:tcPr>
            <w:tcW w:w="367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1BF18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42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0D01D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367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0C410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64.7</w:t>
            </w:r>
          </w:p>
        </w:tc>
        <w:tc>
          <w:tcPr>
            <w:tcW w:w="42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326FB0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367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97883A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56.2</w:t>
            </w:r>
          </w:p>
        </w:tc>
        <w:tc>
          <w:tcPr>
            <w:tcW w:w="42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F5F3DD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D32B7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237D3" w:rsidRPr="006237D3" w14:paraId="58A288D8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5504E50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Sex,</w:t>
            </w:r>
            <w:r w:rsidRPr="00623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</w:p>
        </w:tc>
        <w:tc>
          <w:tcPr>
            <w:tcW w:w="367" w:type="pct"/>
          </w:tcPr>
          <w:p w14:paraId="37D263B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1D47D26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675F5D0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507FFA4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58B16CD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29A9D91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73F9FE6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237D3" w:rsidRPr="006237D3" w14:paraId="6C8BA799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6E689A0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367" w:type="pct"/>
          </w:tcPr>
          <w:p w14:paraId="3DE9533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420" w:type="pct"/>
          </w:tcPr>
          <w:p w14:paraId="3B2AFF3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(51.8)</w:t>
            </w:r>
          </w:p>
        </w:tc>
        <w:tc>
          <w:tcPr>
            <w:tcW w:w="367" w:type="pct"/>
          </w:tcPr>
          <w:p w14:paraId="7B8E83D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20" w:type="pct"/>
          </w:tcPr>
          <w:p w14:paraId="256520F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(47.6)</w:t>
            </w:r>
          </w:p>
        </w:tc>
        <w:tc>
          <w:tcPr>
            <w:tcW w:w="367" w:type="pct"/>
          </w:tcPr>
          <w:p w14:paraId="33AF0E7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20" w:type="pct"/>
          </w:tcPr>
          <w:p w14:paraId="5DCB619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(60.4)</w:t>
            </w:r>
          </w:p>
        </w:tc>
        <w:tc>
          <w:tcPr>
            <w:tcW w:w="473" w:type="pct"/>
            <w:gridSpan w:val="2"/>
          </w:tcPr>
          <w:p w14:paraId="5E6BE70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37B301A6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44A99C88" w14:textId="42679715" w:rsidR="002F6BC0" w:rsidRPr="006237D3" w:rsidRDefault="0061101F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367" w:type="pct"/>
          </w:tcPr>
          <w:p w14:paraId="39E6E24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420" w:type="pct"/>
          </w:tcPr>
          <w:p w14:paraId="6984761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(48.2)</w:t>
            </w:r>
          </w:p>
        </w:tc>
        <w:tc>
          <w:tcPr>
            <w:tcW w:w="367" w:type="pct"/>
          </w:tcPr>
          <w:p w14:paraId="19B3538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20" w:type="pct"/>
          </w:tcPr>
          <w:p w14:paraId="0F994A7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(52.4)</w:t>
            </w:r>
          </w:p>
        </w:tc>
        <w:tc>
          <w:tcPr>
            <w:tcW w:w="367" w:type="pct"/>
          </w:tcPr>
          <w:p w14:paraId="06C9EBC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0" w:type="pct"/>
          </w:tcPr>
          <w:p w14:paraId="0B670E8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(39.6)</w:t>
            </w:r>
          </w:p>
        </w:tc>
        <w:tc>
          <w:tcPr>
            <w:tcW w:w="473" w:type="pct"/>
            <w:gridSpan w:val="2"/>
          </w:tcPr>
          <w:p w14:paraId="0BA4433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7717608A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69531C6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Age (years), Mean, SD</w:t>
            </w:r>
          </w:p>
        </w:tc>
        <w:tc>
          <w:tcPr>
            <w:tcW w:w="367" w:type="pct"/>
          </w:tcPr>
          <w:p w14:paraId="3474EF1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420" w:type="pct"/>
          </w:tcPr>
          <w:p w14:paraId="0503FE4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7" w:type="pct"/>
          </w:tcPr>
          <w:p w14:paraId="053E858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420" w:type="pct"/>
            <w:hideMark/>
          </w:tcPr>
          <w:p w14:paraId="4A94FAB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7" w:type="pct"/>
            <w:hideMark/>
          </w:tcPr>
          <w:p w14:paraId="5063D9B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420" w:type="pct"/>
            <w:hideMark/>
          </w:tcPr>
          <w:p w14:paraId="21A3E5A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3" w:type="pct"/>
            <w:gridSpan w:val="2"/>
          </w:tcPr>
          <w:p w14:paraId="27AEC70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6237D3" w:rsidRPr="006237D3" w14:paraId="3E772468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56DF830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 xml:space="preserve">Grade, </w:t>
            </w:r>
            <w:r w:rsidRPr="00623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</w:p>
        </w:tc>
        <w:tc>
          <w:tcPr>
            <w:tcW w:w="367" w:type="pct"/>
          </w:tcPr>
          <w:p w14:paraId="57B23E71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6C1256E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169CE4A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1BFD144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56FF4B9E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1B04E13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2540B54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6237D3" w:rsidRPr="006237D3" w14:paraId="3A24BC50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7BBC8BC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Freshman (1st year)</w:t>
            </w:r>
          </w:p>
        </w:tc>
        <w:tc>
          <w:tcPr>
            <w:tcW w:w="367" w:type="pct"/>
          </w:tcPr>
          <w:p w14:paraId="0B4B8E5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  <w:p w14:paraId="6CA05DDE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14:paraId="5F3E0BA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  <w:p w14:paraId="6A52D9C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0" w:type="pct"/>
          </w:tcPr>
          <w:p w14:paraId="07791FF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(47.7)</w:t>
            </w:r>
          </w:p>
        </w:tc>
        <w:tc>
          <w:tcPr>
            <w:tcW w:w="367" w:type="pct"/>
          </w:tcPr>
          <w:p w14:paraId="4CCB8EC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420" w:type="pct"/>
          </w:tcPr>
          <w:p w14:paraId="38308E61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(50.4)</w:t>
            </w:r>
          </w:p>
        </w:tc>
        <w:tc>
          <w:tcPr>
            <w:tcW w:w="367" w:type="pct"/>
          </w:tcPr>
          <w:p w14:paraId="39D2FA4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20" w:type="pct"/>
          </w:tcPr>
          <w:p w14:paraId="6DD843DE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(41.9)</w:t>
            </w:r>
          </w:p>
        </w:tc>
        <w:tc>
          <w:tcPr>
            <w:tcW w:w="473" w:type="pct"/>
            <w:gridSpan w:val="2"/>
          </w:tcPr>
          <w:p w14:paraId="1CB07FD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034AE96F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2E5909C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Sophomore (2nd year)</w:t>
            </w:r>
          </w:p>
        </w:tc>
        <w:tc>
          <w:tcPr>
            <w:tcW w:w="367" w:type="pct"/>
          </w:tcPr>
          <w:p w14:paraId="28D9D4E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20" w:type="pct"/>
          </w:tcPr>
          <w:p w14:paraId="47C9EDD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(19.8)</w:t>
            </w:r>
          </w:p>
        </w:tc>
        <w:tc>
          <w:tcPr>
            <w:tcW w:w="367" w:type="pct"/>
          </w:tcPr>
          <w:p w14:paraId="28B76E3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0" w:type="pct"/>
          </w:tcPr>
          <w:p w14:paraId="200AE9A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(18.2)</w:t>
            </w:r>
          </w:p>
        </w:tc>
        <w:tc>
          <w:tcPr>
            <w:tcW w:w="367" w:type="pct"/>
          </w:tcPr>
          <w:p w14:paraId="5DB35B3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0" w:type="pct"/>
          </w:tcPr>
          <w:p w14:paraId="44BEAD1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(23.0)</w:t>
            </w:r>
          </w:p>
        </w:tc>
        <w:tc>
          <w:tcPr>
            <w:tcW w:w="473" w:type="pct"/>
            <w:gridSpan w:val="2"/>
          </w:tcPr>
          <w:p w14:paraId="62020A1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7467F8EA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6BE9F43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Junior (3rd year)</w:t>
            </w:r>
          </w:p>
        </w:tc>
        <w:tc>
          <w:tcPr>
            <w:tcW w:w="367" w:type="pct"/>
          </w:tcPr>
          <w:p w14:paraId="094A678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20" w:type="pct"/>
          </w:tcPr>
          <w:p w14:paraId="0672818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(24.8)</w:t>
            </w:r>
          </w:p>
        </w:tc>
        <w:tc>
          <w:tcPr>
            <w:tcW w:w="367" w:type="pct"/>
          </w:tcPr>
          <w:p w14:paraId="71E00FE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20" w:type="pct"/>
          </w:tcPr>
          <w:p w14:paraId="3BCFE8E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(24.8)</w:t>
            </w:r>
          </w:p>
        </w:tc>
        <w:tc>
          <w:tcPr>
            <w:tcW w:w="367" w:type="pct"/>
          </w:tcPr>
          <w:p w14:paraId="32272F8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0" w:type="pct"/>
          </w:tcPr>
          <w:p w14:paraId="2458063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(24.8)</w:t>
            </w:r>
          </w:p>
        </w:tc>
        <w:tc>
          <w:tcPr>
            <w:tcW w:w="473" w:type="pct"/>
            <w:gridSpan w:val="2"/>
          </w:tcPr>
          <w:p w14:paraId="5FF27B1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23B3DE17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53C51C9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Senior (4th year)</w:t>
            </w:r>
          </w:p>
        </w:tc>
        <w:tc>
          <w:tcPr>
            <w:tcW w:w="367" w:type="pct"/>
          </w:tcPr>
          <w:p w14:paraId="4BE7E41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0" w:type="pct"/>
          </w:tcPr>
          <w:p w14:paraId="1A26288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(7.7)</w:t>
            </w:r>
          </w:p>
        </w:tc>
        <w:tc>
          <w:tcPr>
            <w:tcW w:w="367" w:type="pct"/>
          </w:tcPr>
          <w:p w14:paraId="44ED017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0" w:type="pct"/>
          </w:tcPr>
          <w:p w14:paraId="535EA7F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(6.5)</w:t>
            </w:r>
          </w:p>
        </w:tc>
        <w:tc>
          <w:tcPr>
            <w:tcW w:w="367" w:type="pct"/>
          </w:tcPr>
          <w:p w14:paraId="715FB31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0" w:type="pct"/>
          </w:tcPr>
          <w:p w14:paraId="7F66177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(10.2)</w:t>
            </w:r>
          </w:p>
        </w:tc>
        <w:tc>
          <w:tcPr>
            <w:tcW w:w="473" w:type="pct"/>
            <w:gridSpan w:val="2"/>
          </w:tcPr>
          <w:p w14:paraId="0A9F7E1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35778434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465BEDA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 xml:space="preserve">Course, </w:t>
            </w:r>
            <w:r w:rsidRPr="00623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</w:p>
        </w:tc>
        <w:tc>
          <w:tcPr>
            <w:tcW w:w="367" w:type="pct"/>
          </w:tcPr>
          <w:p w14:paraId="4FB7E1B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5C5B64C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3936EA3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0AC3D60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15F5F401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179E85B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377C453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237D3" w:rsidRPr="006237D3" w14:paraId="15C921AF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45178E1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Non-health</w:t>
            </w:r>
          </w:p>
        </w:tc>
        <w:tc>
          <w:tcPr>
            <w:tcW w:w="367" w:type="pct"/>
          </w:tcPr>
          <w:p w14:paraId="33B2E1F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420" w:type="pct"/>
          </w:tcPr>
          <w:p w14:paraId="7093CA3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(50.8)</w:t>
            </w:r>
          </w:p>
        </w:tc>
        <w:tc>
          <w:tcPr>
            <w:tcW w:w="367" w:type="pct"/>
          </w:tcPr>
          <w:p w14:paraId="70C1D27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420" w:type="pct"/>
          </w:tcPr>
          <w:p w14:paraId="56B3C61E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(47.1)</w:t>
            </w:r>
          </w:p>
        </w:tc>
        <w:tc>
          <w:tcPr>
            <w:tcW w:w="367" w:type="pct"/>
          </w:tcPr>
          <w:p w14:paraId="49C4513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20" w:type="pct"/>
          </w:tcPr>
          <w:p w14:paraId="0B6D003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(58.3)</w:t>
            </w:r>
          </w:p>
        </w:tc>
        <w:tc>
          <w:tcPr>
            <w:tcW w:w="473" w:type="pct"/>
            <w:gridSpan w:val="2"/>
          </w:tcPr>
          <w:p w14:paraId="6FAE88F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2FA267F8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601DE1A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  <w:tc>
          <w:tcPr>
            <w:tcW w:w="367" w:type="pct"/>
          </w:tcPr>
          <w:p w14:paraId="7566D4E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420" w:type="pct"/>
          </w:tcPr>
          <w:p w14:paraId="0501965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(49.2)</w:t>
            </w:r>
          </w:p>
        </w:tc>
        <w:tc>
          <w:tcPr>
            <w:tcW w:w="367" w:type="pct"/>
          </w:tcPr>
          <w:p w14:paraId="28F0DF3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20" w:type="pct"/>
          </w:tcPr>
          <w:p w14:paraId="3BB044D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(52.9)</w:t>
            </w:r>
          </w:p>
        </w:tc>
        <w:tc>
          <w:tcPr>
            <w:tcW w:w="367" w:type="pct"/>
          </w:tcPr>
          <w:p w14:paraId="744E536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20" w:type="pct"/>
          </w:tcPr>
          <w:p w14:paraId="7BE2B26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(41.7)</w:t>
            </w:r>
          </w:p>
        </w:tc>
        <w:tc>
          <w:tcPr>
            <w:tcW w:w="473" w:type="pct"/>
            <w:gridSpan w:val="2"/>
          </w:tcPr>
          <w:p w14:paraId="42E3939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2AE88C9A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047B539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 xml:space="preserve">Living status, </w:t>
            </w:r>
            <w:r w:rsidRPr="00623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</w:p>
        </w:tc>
        <w:tc>
          <w:tcPr>
            <w:tcW w:w="367" w:type="pct"/>
          </w:tcPr>
          <w:p w14:paraId="0A4267B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30911F6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4A6FC44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3CC8F72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04BDC76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7F98153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08727B1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237D3" w:rsidRPr="006237D3" w14:paraId="0A65BE63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3666BDB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Living alone</w:t>
            </w:r>
          </w:p>
        </w:tc>
        <w:tc>
          <w:tcPr>
            <w:tcW w:w="367" w:type="pct"/>
          </w:tcPr>
          <w:p w14:paraId="1E892A8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20" w:type="pct"/>
          </w:tcPr>
          <w:p w14:paraId="0F30C84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(27.3)</w:t>
            </w:r>
          </w:p>
        </w:tc>
        <w:tc>
          <w:tcPr>
            <w:tcW w:w="367" w:type="pct"/>
          </w:tcPr>
          <w:p w14:paraId="5D80C3E1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0" w:type="pct"/>
          </w:tcPr>
          <w:p w14:paraId="2FE7786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(23.7)</w:t>
            </w:r>
          </w:p>
        </w:tc>
        <w:tc>
          <w:tcPr>
            <w:tcW w:w="367" w:type="pct"/>
          </w:tcPr>
          <w:p w14:paraId="5E024C2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0" w:type="pct"/>
          </w:tcPr>
          <w:p w14:paraId="1930340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(34.6)</w:t>
            </w:r>
          </w:p>
        </w:tc>
        <w:tc>
          <w:tcPr>
            <w:tcW w:w="473" w:type="pct"/>
            <w:gridSpan w:val="2"/>
          </w:tcPr>
          <w:p w14:paraId="6948014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5D70268C" w14:textId="77777777" w:rsidTr="009B3D2D">
        <w:trPr>
          <w:trHeight w:val="224"/>
        </w:trPr>
        <w:tc>
          <w:tcPr>
            <w:tcW w:w="2166" w:type="pct"/>
            <w:hideMark/>
          </w:tcPr>
          <w:p w14:paraId="7C459B47" w14:textId="77777777" w:rsidR="002F6BC0" w:rsidRPr="006237D3" w:rsidRDefault="002F6BC0" w:rsidP="00F7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Living with their family or living in a dormitory</w:t>
            </w:r>
          </w:p>
        </w:tc>
        <w:tc>
          <w:tcPr>
            <w:tcW w:w="367" w:type="pct"/>
            <w:vAlign w:val="center"/>
          </w:tcPr>
          <w:p w14:paraId="1562DF4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420" w:type="pct"/>
            <w:vAlign w:val="center"/>
          </w:tcPr>
          <w:p w14:paraId="0D1CF45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(72.7)</w:t>
            </w:r>
          </w:p>
        </w:tc>
        <w:tc>
          <w:tcPr>
            <w:tcW w:w="367" w:type="pct"/>
            <w:vAlign w:val="center"/>
          </w:tcPr>
          <w:p w14:paraId="2AD5D0D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20" w:type="pct"/>
            <w:vAlign w:val="center"/>
          </w:tcPr>
          <w:p w14:paraId="67B9CD4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(76.3)</w:t>
            </w:r>
          </w:p>
        </w:tc>
        <w:tc>
          <w:tcPr>
            <w:tcW w:w="367" w:type="pct"/>
            <w:vAlign w:val="center"/>
          </w:tcPr>
          <w:p w14:paraId="5E0407D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20" w:type="pct"/>
            <w:vAlign w:val="center"/>
          </w:tcPr>
          <w:p w14:paraId="5BAD72A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(65.4)</w:t>
            </w:r>
          </w:p>
        </w:tc>
        <w:tc>
          <w:tcPr>
            <w:tcW w:w="473" w:type="pct"/>
            <w:gridSpan w:val="2"/>
          </w:tcPr>
          <w:p w14:paraId="28158A8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352AB83C" w14:textId="77777777" w:rsidTr="009B3D2D">
        <w:trPr>
          <w:trHeight w:val="374"/>
        </w:trPr>
        <w:tc>
          <w:tcPr>
            <w:tcW w:w="2166" w:type="pct"/>
            <w:hideMark/>
          </w:tcPr>
          <w:p w14:paraId="3283A9F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 xml:space="preserve">Monthly discretionary spending, </w:t>
            </w:r>
            <w:r w:rsidRPr="00623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</w:p>
        </w:tc>
        <w:tc>
          <w:tcPr>
            <w:tcW w:w="367" w:type="pct"/>
          </w:tcPr>
          <w:p w14:paraId="001C522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598891C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674EA4C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4F13D10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464649D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118A95B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0C9E6F91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237D3" w:rsidRPr="006237D3" w14:paraId="346EC025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42EAB63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 xml:space="preserve">Less than JP¥20,000 </w:t>
            </w:r>
          </w:p>
        </w:tc>
        <w:tc>
          <w:tcPr>
            <w:tcW w:w="367" w:type="pct"/>
          </w:tcPr>
          <w:p w14:paraId="415DC68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20" w:type="pct"/>
          </w:tcPr>
          <w:p w14:paraId="4595313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(30.9)</w:t>
            </w:r>
          </w:p>
        </w:tc>
        <w:tc>
          <w:tcPr>
            <w:tcW w:w="367" w:type="pct"/>
          </w:tcPr>
          <w:p w14:paraId="078E93A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20" w:type="pct"/>
          </w:tcPr>
          <w:p w14:paraId="03C2503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(32.6)</w:t>
            </w:r>
          </w:p>
        </w:tc>
        <w:tc>
          <w:tcPr>
            <w:tcW w:w="367" w:type="pct"/>
          </w:tcPr>
          <w:p w14:paraId="508D42A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0" w:type="pct"/>
          </w:tcPr>
          <w:p w14:paraId="5643ACC1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(27.4)</w:t>
            </w:r>
          </w:p>
        </w:tc>
        <w:tc>
          <w:tcPr>
            <w:tcW w:w="473" w:type="pct"/>
            <w:gridSpan w:val="2"/>
          </w:tcPr>
          <w:p w14:paraId="7D47540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770BA431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17CE292E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 xml:space="preserve">JP¥20,000–30,000 </w:t>
            </w:r>
          </w:p>
        </w:tc>
        <w:tc>
          <w:tcPr>
            <w:tcW w:w="367" w:type="pct"/>
          </w:tcPr>
          <w:p w14:paraId="5B0E861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20" w:type="pct"/>
          </w:tcPr>
          <w:p w14:paraId="573B7CB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(18.0)</w:t>
            </w:r>
          </w:p>
        </w:tc>
        <w:tc>
          <w:tcPr>
            <w:tcW w:w="367" w:type="pct"/>
          </w:tcPr>
          <w:p w14:paraId="202C808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20" w:type="pct"/>
          </w:tcPr>
          <w:p w14:paraId="664C75A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(19.6)</w:t>
            </w:r>
          </w:p>
        </w:tc>
        <w:tc>
          <w:tcPr>
            <w:tcW w:w="367" w:type="pct"/>
          </w:tcPr>
          <w:p w14:paraId="1E4AEFC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0" w:type="pct"/>
          </w:tcPr>
          <w:p w14:paraId="3BDE344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(14.6)</w:t>
            </w:r>
          </w:p>
        </w:tc>
        <w:tc>
          <w:tcPr>
            <w:tcW w:w="473" w:type="pct"/>
            <w:gridSpan w:val="2"/>
          </w:tcPr>
          <w:p w14:paraId="5689945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6B8B4401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14A6D18E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 xml:space="preserve">JP¥30,000–50,000 </w:t>
            </w:r>
          </w:p>
        </w:tc>
        <w:tc>
          <w:tcPr>
            <w:tcW w:w="367" w:type="pct"/>
          </w:tcPr>
          <w:p w14:paraId="5EC201D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0" w:type="pct"/>
          </w:tcPr>
          <w:p w14:paraId="53CD52F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(25.4)</w:t>
            </w:r>
          </w:p>
        </w:tc>
        <w:tc>
          <w:tcPr>
            <w:tcW w:w="367" w:type="pct"/>
          </w:tcPr>
          <w:p w14:paraId="06F5DBD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20" w:type="pct"/>
          </w:tcPr>
          <w:p w14:paraId="20FF09A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(26.6)</w:t>
            </w:r>
          </w:p>
        </w:tc>
        <w:tc>
          <w:tcPr>
            <w:tcW w:w="367" w:type="pct"/>
          </w:tcPr>
          <w:p w14:paraId="73229AB1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0" w:type="pct"/>
          </w:tcPr>
          <w:p w14:paraId="119573A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(23.0)</w:t>
            </w:r>
          </w:p>
        </w:tc>
        <w:tc>
          <w:tcPr>
            <w:tcW w:w="473" w:type="pct"/>
            <w:gridSpan w:val="2"/>
          </w:tcPr>
          <w:p w14:paraId="2D81E71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05FDDAB8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58BCD4B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JP¥50,000 or more</w:t>
            </w:r>
          </w:p>
        </w:tc>
        <w:tc>
          <w:tcPr>
            <w:tcW w:w="367" w:type="pct"/>
          </w:tcPr>
          <w:p w14:paraId="5F39888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20" w:type="pct"/>
          </w:tcPr>
          <w:p w14:paraId="3D36D21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(25.8)</w:t>
            </w:r>
          </w:p>
        </w:tc>
        <w:tc>
          <w:tcPr>
            <w:tcW w:w="367" w:type="pct"/>
          </w:tcPr>
          <w:p w14:paraId="7B27C281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0" w:type="pct"/>
          </w:tcPr>
          <w:p w14:paraId="3F5DC78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(21.2)</w:t>
            </w:r>
          </w:p>
        </w:tc>
        <w:tc>
          <w:tcPr>
            <w:tcW w:w="367" w:type="pct"/>
          </w:tcPr>
          <w:p w14:paraId="0BBB3E1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0" w:type="pct"/>
          </w:tcPr>
          <w:p w14:paraId="2948A70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(35.0)</w:t>
            </w:r>
          </w:p>
        </w:tc>
        <w:tc>
          <w:tcPr>
            <w:tcW w:w="473" w:type="pct"/>
            <w:gridSpan w:val="2"/>
          </w:tcPr>
          <w:p w14:paraId="633BBE3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64E6FF3C" w14:textId="77777777" w:rsidTr="009B3D2D">
        <w:trPr>
          <w:trHeight w:val="103"/>
        </w:trPr>
        <w:tc>
          <w:tcPr>
            <w:tcW w:w="2166" w:type="pct"/>
            <w:hideMark/>
          </w:tcPr>
          <w:p w14:paraId="76BC6CE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Body mass index (kg/m</w:t>
            </w:r>
            <w:r w:rsidRPr="00623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), Mean, SD</w:t>
            </w:r>
          </w:p>
        </w:tc>
        <w:tc>
          <w:tcPr>
            <w:tcW w:w="367" w:type="pct"/>
          </w:tcPr>
          <w:p w14:paraId="35ABC71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20" w:type="pct"/>
          </w:tcPr>
          <w:p w14:paraId="1A02B00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7" w:type="pct"/>
          </w:tcPr>
          <w:p w14:paraId="7427C61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420" w:type="pct"/>
          </w:tcPr>
          <w:p w14:paraId="34E87B5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7" w:type="pct"/>
          </w:tcPr>
          <w:p w14:paraId="55D0779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420" w:type="pct"/>
          </w:tcPr>
          <w:p w14:paraId="3989DF6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3" w:type="pct"/>
            <w:gridSpan w:val="2"/>
          </w:tcPr>
          <w:p w14:paraId="794B9D8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</w:tr>
      <w:tr w:rsidR="006237D3" w:rsidRPr="006237D3" w14:paraId="177C392F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0CDA8DD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 xml:space="preserve">Body mass index, </w:t>
            </w:r>
            <w:r w:rsidRPr="00623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</w:p>
        </w:tc>
        <w:tc>
          <w:tcPr>
            <w:tcW w:w="367" w:type="pct"/>
          </w:tcPr>
          <w:p w14:paraId="377F6FC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2EF011DE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4AEA2CB1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14C1613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59BC19F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203C99B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4FE1761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6237D3" w:rsidRPr="006237D3" w14:paraId="041785BF" w14:textId="77777777" w:rsidTr="009B3D2D">
        <w:trPr>
          <w:trHeight w:val="74"/>
        </w:trPr>
        <w:tc>
          <w:tcPr>
            <w:tcW w:w="2166" w:type="pct"/>
            <w:hideMark/>
          </w:tcPr>
          <w:p w14:paraId="13AA77F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Underweight (less than 18.5 kg/m</w:t>
            </w:r>
            <w:r w:rsidRPr="00623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" w:type="pct"/>
          </w:tcPr>
          <w:p w14:paraId="0DC9524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0" w:type="pct"/>
          </w:tcPr>
          <w:p w14:paraId="7F65C72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(14.3)</w:t>
            </w:r>
          </w:p>
        </w:tc>
        <w:tc>
          <w:tcPr>
            <w:tcW w:w="367" w:type="pct"/>
          </w:tcPr>
          <w:p w14:paraId="7E95215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0" w:type="pct"/>
          </w:tcPr>
          <w:p w14:paraId="3A2C02A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(14.5)</w:t>
            </w:r>
          </w:p>
        </w:tc>
        <w:tc>
          <w:tcPr>
            <w:tcW w:w="367" w:type="pct"/>
          </w:tcPr>
          <w:p w14:paraId="456EC5F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0" w:type="pct"/>
          </w:tcPr>
          <w:p w14:paraId="45AD73E4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(13.8)</w:t>
            </w:r>
          </w:p>
        </w:tc>
        <w:tc>
          <w:tcPr>
            <w:tcW w:w="473" w:type="pct"/>
            <w:gridSpan w:val="2"/>
          </w:tcPr>
          <w:p w14:paraId="2A43BF8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313514E3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1572B2D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Normal weight (18.5–25 kg/m</w:t>
            </w:r>
            <w:r w:rsidRPr="00623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" w:type="pct"/>
          </w:tcPr>
          <w:p w14:paraId="6C440D1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20" w:type="pct"/>
          </w:tcPr>
          <w:p w14:paraId="09B7188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(77.6)</w:t>
            </w:r>
          </w:p>
        </w:tc>
        <w:tc>
          <w:tcPr>
            <w:tcW w:w="367" w:type="pct"/>
          </w:tcPr>
          <w:p w14:paraId="5034BF8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420" w:type="pct"/>
          </w:tcPr>
          <w:p w14:paraId="12A522C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(79.0)</w:t>
            </w:r>
          </w:p>
        </w:tc>
        <w:tc>
          <w:tcPr>
            <w:tcW w:w="367" w:type="pct"/>
          </w:tcPr>
          <w:p w14:paraId="6434A3C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20" w:type="pct"/>
          </w:tcPr>
          <w:p w14:paraId="527C07E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(74.7)</w:t>
            </w:r>
          </w:p>
        </w:tc>
        <w:tc>
          <w:tcPr>
            <w:tcW w:w="473" w:type="pct"/>
            <w:gridSpan w:val="2"/>
          </w:tcPr>
          <w:p w14:paraId="7B48C185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75A5C40A" w14:textId="77777777" w:rsidTr="009B3D2D">
        <w:trPr>
          <w:trHeight w:val="197"/>
        </w:trPr>
        <w:tc>
          <w:tcPr>
            <w:tcW w:w="2166" w:type="pct"/>
            <w:hideMark/>
          </w:tcPr>
          <w:p w14:paraId="5C6F0ED2" w14:textId="77777777" w:rsidR="002F6BC0" w:rsidRPr="006237D3" w:rsidRDefault="002F6BC0" w:rsidP="00F7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Overweight and obese (25 kg/m</w:t>
            </w:r>
            <w:r w:rsidRPr="006237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 xml:space="preserve"> and more)</w:t>
            </w:r>
          </w:p>
        </w:tc>
        <w:tc>
          <w:tcPr>
            <w:tcW w:w="367" w:type="pct"/>
            <w:vAlign w:val="center"/>
          </w:tcPr>
          <w:p w14:paraId="2B987DA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0" w:type="pct"/>
            <w:vAlign w:val="center"/>
          </w:tcPr>
          <w:p w14:paraId="1418868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(8.1)</w:t>
            </w:r>
          </w:p>
        </w:tc>
        <w:tc>
          <w:tcPr>
            <w:tcW w:w="367" w:type="pct"/>
            <w:vAlign w:val="center"/>
          </w:tcPr>
          <w:p w14:paraId="0BEE626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0" w:type="pct"/>
            <w:vAlign w:val="center"/>
          </w:tcPr>
          <w:p w14:paraId="5341F67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(6.5)</w:t>
            </w:r>
          </w:p>
        </w:tc>
        <w:tc>
          <w:tcPr>
            <w:tcW w:w="367" w:type="pct"/>
            <w:vAlign w:val="center"/>
          </w:tcPr>
          <w:p w14:paraId="24980B8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0" w:type="pct"/>
            <w:vAlign w:val="center"/>
          </w:tcPr>
          <w:p w14:paraId="77FF99B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(11.5)</w:t>
            </w:r>
          </w:p>
        </w:tc>
        <w:tc>
          <w:tcPr>
            <w:tcW w:w="473" w:type="pct"/>
            <w:gridSpan w:val="2"/>
          </w:tcPr>
          <w:p w14:paraId="23B86FC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2C5CBABF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5F1A563E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 xml:space="preserve">Current smoking, </w:t>
            </w:r>
            <w:r w:rsidRPr="006237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</w:p>
        </w:tc>
        <w:tc>
          <w:tcPr>
            <w:tcW w:w="367" w:type="pct"/>
          </w:tcPr>
          <w:p w14:paraId="106B5EFE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0228014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53C5D3D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675BB64B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14:paraId="446D430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2EB1069C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585768C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6237D3" w:rsidRPr="006237D3" w14:paraId="6049C576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7C74FA4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4050306"/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67" w:type="pct"/>
          </w:tcPr>
          <w:p w14:paraId="2EB2DEF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0" w:type="pct"/>
          </w:tcPr>
          <w:p w14:paraId="1F20B42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(9.1)</w:t>
            </w:r>
          </w:p>
        </w:tc>
        <w:tc>
          <w:tcPr>
            <w:tcW w:w="367" w:type="pct"/>
          </w:tcPr>
          <w:p w14:paraId="44AAF5E8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t>62</w:t>
            </w:r>
          </w:p>
        </w:tc>
        <w:tc>
          <w:tcPr>
            <w:tcW w:w="420" w:type="pct"/>
          </w:tcPr>
          <w:p w14:paraId="6DA8ADA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t>(7.7)</w:t>
            </w:r>
          </w:p>
        </w:tc>
        <w:tc>
          <w:tcPr>
            <w:tcW w:w="367" w:type="pct"/>
          </w:tcPr>
          <w:p w14:paraId="7B1AE0D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0" w:type="pct"/>
          </w:tcPr>
          <w:p w14:paraId="51309E00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(11.8)</w:t>
            </w:r>
          </w:p>
        </w:tc>
        <w:tc>
          <w:tcPr>
            <w:tcW w:w="473" w:type="pct"/>
            <w:gridSpan w:val="2"/>
          </w:tcPr>
          <w:p w14:paraId="512A569E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D3" w:rsidRPr="006237D3" w14:paraId="6A7E9116" w14:textId="77777777" w:rsidTr="009B3D2D">
        <w:trPr>
          <w:trHeight w:hRule="exact" w:val="340"/>
        </w:trPr>
        <w:tc>
          <w:tcPr>
            <w:tcW w:w="2166" w:type="pct"/>
            <w:hideMark/>
          </w:tcPr>
          <w:p w14:paraId="0929267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7" w:type="pct"/>
          </w:tcPr>
          <w:p w14:paraId="0AB4B07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420" w:type="pct"/>
          </w:tcPr>
          <w:p w14:paraId="50E1AE6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(90.9)</w:t>
            </w:r>
          </w:p>
        </w:tc>
        <w:tc>
          <w:tcPr>
            <w:tcW w:w="367" w:type="pct"/>
          </w:tcPr>
          <w:p w14:paraId="7CEC669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t>739</w:t>
            </w:r>
          </w:p>
        </w:tc>
        <w:tc>
          <w:tcPr>
            <w:tcW w:w="420" w:type="pct"/>
          </w:tcPr>
          <w:p w14:paraId="14292333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t>(92.3)</w:t>
            </w:r>
          </w:p>
        </w:tc>
        <w:tc>
          <w:tcPr>
            <w:tcW w:w="367" w:type="pct"/>
          </w:tcPr>
          <w:p w14:paraId="09381BB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20" w:type="pct"/>
          </w:tcPr>
          <w:p w14:paraId="488D150D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(88.2)</w:t>
            </w:r>
          </w:p>
        </w:tc>
        <w:tc>
          <w:tcPr>
            <w:tcW w:w="473" w:type="pct"/>
            <w:gridSpan w:val="2"/>
          </w:tcPr>
          <w:p w14:paraId="676D631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6237D3" w:rsidRPr="006237D3" w14:paraId="4231ECC7" w14:textId="77777777" w:rsidTr="009B3D2D">
        <w:trPr>
          <w:trHeight w:val="184"/>
        </w:trPr>
        <w:tc>
          <w:tcPr>
            <w:tcW w:w="21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90FA3F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Physical activity score (0–3), Mean, SD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D030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9E99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38C6A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EA5D6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CC8B9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D5412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F21D7" w14:textId="77777777" w:rsidR="002F6BC0" w:rsidRPr="006237D3" w:rsidRDefault="002F6BC0" w:rsidP="00F71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D3">
              <w:rPr>
                <w:rFonts w:ascii="Times New Roman" w:hAnsi="Times New Roman" w:cs="Times New Roman"/>
                <w:sz w:val="24"/>
                <w:szCs w:val="24"/>
              </w:rPr>
              <w:t>0.943</w:t>
            </w:r>
          </w:p>
        </w:tc>
      </w:tr>
    </w:tbl>
    <w:p w14:paraId="7CE0D16C" w14:textId="77777777" w:rsidR="0045011F" w:rsidRPr="006237D3" w:rsidRDefault="0045011F" w:rsidP="009B3D2D">
      <w:pPr>
        <w:spacing w:line="240" w:lineRule="exact"/>
        <w:rPr>
          <w:rFonts w:ascii="Times New Roman" w:hAnsi="Times New Roman" w:cs="Times New Roman"/>
          <w:szCs w:val="21"/>
        </w:rPr>
      </w:pPr>
    </w:p>
    <w:p w14:paraId="7D8A3A34" w14:textId="4A0E52AC" w:rsidR="009B3D2D" w:rsidRPr="006237D3" w:rsidRDefault="002F6BC0" w:rsidP="009B3D2D">
      <w:pPr>
        <w:spacing w:line="240" w:lineRule="exact"/>
        <w:rPr>
          <w:rFonts w:ascii="Times New Roman" w:hAnsi="Times New Roman" w:cs="Times New Roman"/>
          <w:szCs w:val="21"/>
        </w:rPr>
      </w:pPr>
      <w:r w:rsidRPr="006237D3">
        <w:rPr>
          <w:rFonts w:ascii="Times New Roman" w:hAnsi="Times New Roman" w:cs="Times New Roman"/>
          <w:szCs w:val="21"/>
        </w:rPr>
        <w:t xml:space="preserve">NKQ, nutrition knowledge questionnaire; SD, standard deviation. </w:t>
      </w:r>
      <w:r w:rsidRPr="006237D3">
        <w:rPr>
          <w:rFonts w:ascii="Times New Roman" w:hAnsi="Times New Roman" w:cs="Times New Roman"/>
          <w:i/>
          <w:iCs/>
          <w:szCs w:val="21"/>
        </w:rPr>
        <w:t>P</w:t>
      </w:r>
      <w:r w:rsidRPr="006237D3">
        <w:rPr>
          <w:rFonts w:ascii="Times New Roman" w:hAnsi="Times New Roman" w:cs="Times New Roman"/>
          <w:szCs w:val="21"/>
        </w:rPr>
        <w:t>-values were calculated using the chi-square test for categorical variables and the Mann</w:t>
      </w:r>
      <w:r w:rsidR="0061101F" w:rsidRPr="006237D3">
        <w:rPr>
          <w:rFonts w:ascii="Times New Roman" w:hAnsi="Times New Roman" w:cs="Times New Roman"/>
          <w:szCs w:val="21"/>
        </w:rPr>
        <w:t>–</w:t>
      </w:r>
      <w:r w:rsidRPr="006237D3">
        <w:rPr>
          <w:rFonts w:ascii="Times New Roman" w:hAnsi="Times New Roman" w:cs="Times New Roman"/>
          <w:szCs w:val="21"/>
        </w:rPr>
        <w:t xml:space="preserve">Whitney </w:t>
      </w:r>
      <w:r w:rsidRPr="006237D3">
        <w:rPr>
          <w:rFonts w:ascii="Times New Roman" w:hAnsi="Times New Roman" w:cs="Times New Roman"/>
          <w:i/>
          <w:iCs/>
          <w:szCs w:val="21"/>
        </w:rPr>
        <w:t>U</w:t>
      </w:r>
      <w:r w:rsidRPr="006237D3">
        <w:rPr>
          <w:rFonts w:ascii="Times New Roman" w:hAnsi="Times New Roman" w:cs="Times New Roman"/>
          <w:szCs w:val="21"/>
        </w:rPr>
        <w:t xml:space="preserve"> test for continuous variables between the included and excluded participants.</w:t>
      </w:r>
      <w:r w:rsidR="009B3D2D" w:rsidRPr="006237D3">
        <w:rPr>
          <w:rFonts w:ascii="Times New Roman" w:hAnsi="Times New Roman" w:cs="Times New Roman"/>
          <w:szCs w:val="21"/>
        </w:rPr>
        <w:br w:type="page"/>
      </w:r>
    </w:p>
    <w:p w14:paraId="06AD5F19" w14:textId="45D7202D" w:rsidR="002F6BC0" w:rsidRPr="006237D3" w:rsidRDefault="002F6BC0" w:rsidP="002F6B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37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3. Details on </w:t>
      </w:r>
      <w:r w:rsidR="0061101F" w:rsidRPr="006237D3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6237D3">
        <w:rPr>
          <w:rFonts w:ascii="Times New Roman" w:hAnsi="Times New Roman" w:cs="Times New Roman"/>
          <w:b/>
          <w:bCs/>
          <w:sz w:val="24"/>
          <w:szCs w:val="24"/>
        </w:rPr>
        <w:t xml:space="preserve"> participants </w:t>
      </w:r>
      <w:r w:rsidR="0061101F" w:rsidRPr="006237D3">
        <w:rPr>
          <w:rFonts w:ascii="Times New Roman" w:hAnsi="Times New Roman" w:cs="Times New Roman"/>
          <w:b/>
          <w:bCs/>
          <w:sz w:val="24"/>
          <w:szCs w:val="24"/>
        </w:rPr>
        <w:t xml:space="preserve">who </w:t>
      </w:r>
      <w:r w:rsidRPr="006237D3">
        <w:rPr>
          <w:rFonts w:ascii="Times New Roman" w:hAnsi="Times New Roman" w:cs="Times New Roman"/>
          <w:b/>
          <w:bCs/>
          <w:sz w:val="24"/>
          <w:szCs w:val="24"/>
        </w:rPr>
        <w:t>were above/below</w:t>
      </w:r>
      <w:r w:rsidR="0061101F" w:rsidRPr="006237D3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Pr="006237D3">
        <w:rPr>
          <w:rFonts w:ascii="Times New Roman" w:hAnsi="Times New Roman" w:cs="Times New Roman"/>
          <w:b/>
          <w:bCs/>
          <w:sz w:val="24"/>
          <w:szCs w:val="24"/>
        </w:rPr>
        <w:t xml:space="preserve"> recommendations for each nutrient intake group classified as inadequate</w:t>
      </w:r>
    </w:p>
    <w:p w14:paraId="4AE49576" w14:textId="77777777" w:rsidR="0045011F" w:rsidRPr="006237D3" w:rsidRDefault="0045011F" w:rsidP="002F6B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8"/>
        <w:gridCol w:w="635"/>
        <w:gridCol w:w="778"/>
        <w:gridCol w:w="635"/>
        <w:gridCol w:w="778"/>
        <w:gridCol w:w="635"/>
        <w:gridCol w:w="778"/>
        <w:gridCol w:w="635"/>
        <w:gridCol w:w="778"/>
        <w:gridCol w:w="1060"/>
      </w:tblGrid>
      <w:tr w:rsidR="006237D3" w:rsidRPr="006237D3" w14:paraId="0E127C9F" w14:textId="77777777" w:rsidTr="00F71891">
        <w:trPr>
          <w:trHeight w:val="375"/>
        </w:trPr>
        <w:tc>
          <w:tcPr>
            <w:tcW w:w="2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F243" w14:textId="77777777" w:rsidR="002F6BC0" w:rsidRPr="006237D3" w:rsidRDefault="002F6BC0" w:rsidP="00F71891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C64F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All 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B9F6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Low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F68C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Medium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2D14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High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BA3867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-value</w:t>
            </w:r>
          </w:p>
        </w:tc>
      </w:tr>
      <w:tr w:rsidR="006237D3" w:rsidRPr="006237D3" w14:paraId="134C564C" w14:textId="77777777" w:rsidTr="00F71891">
        <w:trPr>
          <w:trHeight w:val="390"/>
        </w:trPr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4391E3" w14:textId="77777777" w:rsidR="002F6BC0" w:rsidRPr="006237D3" w:rsidRDefault="002F6BC0" w:rsidP="00F71891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409F2A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n 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= 801)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26BEBC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n 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= 276)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702024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n 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= 261)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8DE9DC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 xml:space="preserve">n 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24"/>
                <w:szCs w:val="24"/>
              </w:rPr>
              <w:t>= 264)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515C3C" w14:textId="77777777" w:rsidR="002F6BC0" w:rsidRPr="006237D3" w:rsidRDefault="002F6BC0" w:rsidP="00F71891">
            <w:pPr>
              <w:widowControl/>
              <w:jc w:val="left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6237D3" w:rsidRPr="006237D3" w14:paraId="086D5A29" w14:textId="77777777" w:rsidTr="00F71891">
        <w:trPr>
          <w:trHeight w:val="3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55AF" w14:textId="77777777" w:rsidR="002F6BC0" w:rsidRPr="006237D3" w:rsidRDefault="002F6BC0" w:rsidP="00F71891">
            <w:pPr>
              <w:widowControl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Protein (%energy),</w:t>
            </w: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br/>
            </w:r>
            <w:r w:rsidRPr="006237D3">
              <w:rPr>
                <w:rFonts w:ascii="Times New Roman" w:eastAsia="Yu Gothic" w:hAnsi="Times New Roman" w:cs="Times New Roman"/>
                <w:i/>
                <w:iCs/>
                <w:kern w:val="0"/>
                <w:sz w:val="24"/>
                <w:szCs w:val="24"/>
              </w:rPr>
              <w:t xml:space="preserve"> n</w:t>
            </w: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, (%)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FDA1" w14:textId="77777777" w:rsidR="002F6BC0" w:rsidRPr="006237D3" w:rsidRDefault="002F6BC0" w:rsidP="00F71891">
            <w:pPr>
              <w:widowControl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E86C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5666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02E64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09A07" w14:textId="77777777" w:rsidR="002F6BC0" w:rsidRPr="006237D3" w:rsidRDefault="002F6BC0" w:rsidP="00F718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E75D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5DF68" w14:textId="77777777" w:rsidR="002F6BC0" w:rsidRPr="006237D3" w:rsidRDefault="002F6BC0" w:rsidP="00F718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861A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D6DE3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0.409</w:t>
            </w:r>
          </w:p>
        </w:tc>
      </w:tr>
      <w:tr w:rsidR="006237D3" w:rsidRPr="006237D3" w14:paraId="6EAC5A40" w14:textId="77777777" w:rsidTr="00F71891">
        <w:trPr>
          <w:trHeight w:val="3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8F50" w14:textId="16611D12" w:rsidR="002F6BC0" w:rsidRPr="006237D3" w:rsidRDefault="002F6BC0" w:rsidP="00886937">
            <w:pPr>
              <w:widowControl/>
              <w:ind w:firstLineChars="50" w:firstLine="120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Below</w:t>
            </w:r>
            <w:r w:rsidR="00D20D2E"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reference range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E7A6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241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A13E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(30.1)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D4D6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05C2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(31.9)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6D286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19A6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(28.7)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CD46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2B359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(29.5)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72AA8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78CD4323" w14:textId="77777777" w:rsidTr="00F71891">
        <w:trPr>
          <w:trHeight w:val="630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F46AE" w14:textId="5EC28D77" w:rsidR="002F6BC0" w:rsidRPr="006237D3" w:rsidRDefault="002F6BC0" w:rsidP="00886937">
            <w:pPr>
              <w:widowControl/>
              <w:ind w:leftChars="50" w:left="105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Within reference range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5DC0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509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4EBE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(63.1)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8726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67228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(62.0)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62899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34AC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(66.7)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8213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7F9B5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(62.1)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35053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5506BEB0" w14:textId="77777777" w:rsidTr="00F71891">
        <w:trPr>
          <w:trHeight w:val="3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57E63" w14:textId="0C973396" w:rsidR="002F6BC0" w:rsidRPr="006237D3" w:rsidRDefault="002F6BC0" w:rsidP="00886937">
            <w:pPr>
              <w:widowControl/>
              <w:ind w:firstLineChars="50" w:firstLine="120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Above</w:t>
            </w:r>
            <w:r w:rsidR="00D20D2E"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reference range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92BB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BFAA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(8.3)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AB48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FE7C9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(6.2)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BE2F5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C225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(4.6)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E9EC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CC8B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(8.3)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A0BF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7CAB5F2A" w14:textId="77777777" w:rsidTr="00F71891">
        <w:trPr>
          <w:trHeight w:val="3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5713" w14:textId="77777777" w:rsidR="002F6BC0" w:rsidRPr="006237D3" w:rsidRDefault="002F6BC0" w:rsidP="00F71891">
            <w:pPr>
              <w:widowControl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Fats (%energy),</w:t>
            </w: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br/>
            </w:r>
            <w:r w:rsidRPr="006237D3">
              <w:rPr>
                <w:rFonts w:ascii="Times New Roman" w:eastAsia="Yu Gothic" w:hAnsi="Times New Roman" w:cs="Times New Roman"/>
                <w:i/>
                <w:iCs/>
                <w:kern w:val="0"/>
                <w:sz w:val="24"/>
                <w:szCs w:val="24"/>
              </w:rPr>
              <w:t xml:space="preserve"> n</w:t>
            </w: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, (%)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7EBE" w14:textId="77777777" w:rsidR="002F6BC0" w:rsidRPr="006237D3" w:rsidRDefault="002F6BC0" w:rsidP="00F71891">
            <w:pPr>
              <w:widowControl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2F32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416B" w14:textId="77777777" w:rsidR="002F6BC0" w:rsidRPr="006237D3" w:rsidRDefault="002F6BC0" w:rsidP="00F718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7ED0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BC58" w14:textId="77777777" w:rsidR="002F6BC0" w:rsidRPr="006237D3" w:rsidRDefault="002F6BC0" w:rsidP="00F718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3A15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B27B9" w14:textId="77777777" w:rsidR="002F6BC0" w:rsidRPr="006237D3" w:rsidRDefault="002F6BC0" w:rsidP="00F718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B3DC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3B59F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0.564</w:t>
            </w:r>
          </w:p>
        </w:tc>
      </w:tr>
      <w:tr w:rsidR="006237D3" w:rsidRPr="006237D3" w14:paraId="66FB220F" w14:textId="77777777" w:rsidTr="00F71891">
        <w:trPr>
          <w:trHeight w:val="3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B642" w14:textId="0F426BD5" w:rsidR="002F6BC0" w:rsidRPr="006237D3" w:rsidRDefault="002F6BC0" w:rsidP="00886937">
            <w:pPr>
              <w:widowControl/>
              <w:ind w:firstLineChars="50" w:firstLine="120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Below</w:t>
            </w:r>
            <w:r w:rsidR="00D20D2E"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reference range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E050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2AD6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(9.6)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426A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9AED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(12.0)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3556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09C4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(8.4)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A91F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F1376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(8.3)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3975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6BAF9960" w14:textId="77777777" w:rsidTr="00F71891">
        <w:trPr>
          <w:trHeight w:val="630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759C" w14:textId="0521B572" w:rsidR="002F6BC0" w:rsidRPr="006237D3" w:rsidRDefault="002F6BC0" w:rsidP="00886937">
            <w:pPr>
              <w:widowControl/>
              <w:ind w:leftChars="50" w:left="105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Within reference range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CB8C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410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8697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(51.2)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0255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488D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(50.7)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229E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5AF44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(50.6)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6918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89B2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(52.3)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528D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26AEFB33" w14:textId="77777777" w:rsidTr="00F71891">
        <w:trPr>
          <w:trHeight w:val="3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F3E2" w14:textId="56996126" w:rsidR="002F6BC0" w:rsidRPr="006237D3" w:rsidRDefault="002F6BC0" w:rsidP="00886937">
            <w:pPr>
              <w:widowControl/>
              <w:ind w:firstLineChars="50" w:firstLine="120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Above</w:t>
            </w:r>
            <w:r w:rsidR="00D20D2E"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reference range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F041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8CE91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(39.2)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9287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16A4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(37.3)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63FF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2659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(41.0)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EFB5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E89E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(39.4)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CC498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6636BA28" w14:textId="77777777" w:rsidTr="00F71891">
        <w:trPr>
          <w:trHeight w:val="630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904C" w14:textId="16C9697E" w:rsidR="002F6BC0" w:rsidRPr="006237D3" w:rsidRDefault="002F6BC0" w:rsidP="00F71891">
            <w:pPr>
              <w:widowControl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Carbohydrates (%energy), </w:t>
            </w:r>
            <w:r w:rsidRPr="006237D3">
              <w:rPr>
                <w:rFonts w:ascii="Times New Roman" w:eastAsia="Yu Gothic" w:hAnsi="Times New Roman" w:cs="Times New Roman"/>
                <w:i/>
                <w:iCs/>
                <w:kern w:val="0"/>
                <w:sz w:val="24"/>
                <w:szCs w:val="24"/>
              </w:rPr>
              <w:t>n</w:t>
            </w: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, (%)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77300" w14:textId="77777777" w:rsidR="002F6BC0" w:rsidRPr="006237D3" w:rsidRDefault="002F6BC0" w:rsidP="00F71891">
            <w:pPr>
              <w:widowControl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3941B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57FC3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3F46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1554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1A7F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51F5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D2FB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E31D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0.348</w:t>
            </w:r>
          </w:p>
        </w:tc>
      </w:tr>
      <w:tr w:rsidR="006237D3" w:rsidRPr="006237D3" w14:paraId="369D6CAA" w14:textId="77777777" w:rsidTr="00F71891">
        <w:trPr>
          <w:trHeight w:val="3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7C94" w14:textId="69EE86F6" w:rsidR="002F6BC0" w:rsidRPr="006237D3" w:rsidRDefault="002F6BC0" w:rsidP="00886937">
            <w:pPr>
              <w:widowControl/>
              <w:ind w:firstLineChars="50" w:firstLine="120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Below</w:t>
            </w:r>
            <w:r w:rsidR="00D20D2E"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reference range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10C2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235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B7E6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(29.3)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A8BB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CDEB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(28.6)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FB538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0121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(27.6)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03C63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5CF0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(31.8)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14CB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237A2BAA" w14:textId="77777777" w:rsidTr="00F71891">
        <w:trPr>
          <w:trHeight w:val="630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8315" w14:textId="2CBAF07B" w:rsidR="002F6BC0" w:rsidRPr="006237D3" w:rsidRDefault="002F6BC0" w:rsidP="00886937">
            <w:pPr>
              <w:widowControl/>
              <w:ind w:leftChars="50" w:left="105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Within reference range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A7DA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498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2D42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(62.2)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83FBA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9B10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(60.5)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7C24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6E4A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(65.5)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AE13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6FAA6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(60.6)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93EF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6237D3" w:rsidRPr="006237D3" w14:paraId="72DF37F5" w14:textId="77777777" w:rsidTr="00F71891">
        <w:trPr>
          <w:trHeight w:val="390"/>
        </w:trPr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9EB8E" w14:textId="4E7E7756" w:rsidR="002F6BC0" w:rsidRPr="006237D3" w:rsidRDefault="002F6BC0" w:rsidP="00886937">
            <w:pPr>
              <w:widowControl/>
              <w:ind w:firstLineChars="50" w:firstLine="120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Above</w:t>
            </w:r>
            <w:r w:rsidR="00D20D2E"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 reference range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E7569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B1A47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(8.5)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C0D88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7FD7ED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(10.9)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8B5771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A67AAB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(6.9)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CCC2E" w14:textId="77777777" w:rsidR="002F6BC0" w:rsidRPr="006237D3" w:rsidRDefault="002F6BC0" w:rsidP="00F71891">
            <w:pPr>
              <w:widowControl/>
              <w:jc w:val="righ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20DA6" w14:textId="77777777" w:rsidR="002F6BC0" w:rsidRPr="006237D3" w:rsidRDefault="002F6BC0" w:rsidP="00F71891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>(7.6)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28CC4" w14:textId="77777777" w:rsidR="002F6BC0" w:rsidRPr="006237D3" w:rsidRDefault="002F6BC0" w:rsidP="00F71891">
            <w:pPr>
              <w:widowControl/>
              <w:jc w:val="left"/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8729C79" w14:textId="77777777" w:rsidR="002F6BC0" w:rsidRPr="006237D3" w:rsidRDefault="002F6BC0" w:rsidP="002F6BC0">
      <w:pPr>
        <w:spacing w:line="360" w:lineRule="auto"/>
        <w:rPr>
          <w:rFonts w:ascii="Times New Roman" w:hAnsi="Times New Roman" w:cs="Times New Roman"/>
          <w:szCs w:val="21"/>
        </w:rPr>
      </w:pPr>
      <w:r w:rsidRPr="006237D3">
        <w:rPr>
          <w:rFonts w:ascii="Times New Roman" w:hAnsi="Times New Roman" w:cs="Times New Roman"/>
          <w:i/>
          <w:iCs/>
          <w:szCs w:val="21"/>
        </w:rPr>
        <w:t>P</w:t>
      </w:r>
      <w:r w:rsidRPr="006237D3">
        <w:rPr>
          <w:rFonts w:ascii="Times New Roman" w:hAnsi="Times New Roman" w:cs="Times New Roman"/>
          <w:szCs w:val="21"/>
        </w:rPr>
        <w:t>-values were calculated using the chi-square test.</w:t>
      </w:r>
    </w:p>
    <w:p w14:paraId="6E79780B" w14:textId="065DA224" w:rsidR="002F6BC0" w:rsidRPr="006237D3" w:rsidRDefault="002F6BC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6237D3">
        <w:rPr>
          <w:rFonts w:ascii="Times New Roman" w:hAnsi="Times New Roman" w:cs="Times New Roman"/>
          <w:sz w:val="24"/>
          <w:szCs w:val="24"/>
        </w:rPr>
        <w:br w:type="page"/>
      </w:r>
    </w:p>
    <w:p w14:paraId="5CFCF571" w14:textId="3FAE9FD6" w:rsidR="00EE01F7" w:rsidRPr="006237D3" w:rsidRDefault="0045011F" w:rsidP="002F6BC0">
      <w:pPr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</w:pPr>
      <w:r w:rsidRPr="006237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06679C" w:rsidRPr="006237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  <w:t xml:space="preserve">. </w:t>
      </w:r>
      <w:r w:rsidR="007137A7"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  <w:t>Nutrition knowledge scores for the three nutrition knowledge groups by major</w:t>
      </w:r>
    </w:p>
    <w:p w14:paraId="79159E76" w14:textId="77777777" w:rsidR="0045011F" w:rsidRPr="006237D3" w:rsidRDefault="0045011F" w:rsidP="002F6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41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872"/>
        <w:gridCol w:w="873"/>
        <w:gridCol w:w="872"/>
        <w:gridCol w:w="872"/>
        <w:gridCol w:w="873"/>
        <w:gridCol w:w="1025"/>
        <w:gridCol w:w="873"/>
        <w:gridCol w:w="872"/>
        <w:gridCol w:w="811"/>
      </w:tblGrid>
      <w:tr w:rsidR="006237D3" w:rsidRPr="006237D3" w14:paraId="2F707413" w14:textId="77777777" w:rsidTr="000D453D">
        <w:trPr>
          <w:trHeight w:val="367"/>
        </w:trPr>
        <w:tc>
          <w:tcPr>
            <w:tcW w:w="22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900164" w14:textId="77777777" w:rsidR="000D453D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Nutrition knowledge score (%), Mean SD</w:t>
            </w:r>
          </w:p>
        </w:tc>
        <w:tc>
          <w:tcPr>
            <w:tcW w:w="17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92101B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All (n = 801)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C0E3CE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Low (n = 276)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1CA91D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Medium (n = 261)</w:t>
            </w:r>
          </w:p>
        </w:tc>
        <w:tc>
          <w:tcPr>
            <w:tcW w:w="17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14AF29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High (n = 264)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4B00F4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P</w:t>
            </w:r>
          </w:p>
        </w:tc>
      </w:tr>
      <w:tr w:rsidR="006237D3" w:rsidRPr="006237D3" w14:paraId="4AA53AF0" w14:textId="77777777" w:rsidTr="000D453D">
        <w:trPr>
          <w:trHeight w:val="367"/>
        </w:trPr>
        <w:tc>
          <w:tcPr>
            <w:tcW w:w="2298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0821BD45" w14:textId="77777777" w:rsidR="000D453D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All majors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1166B4AB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64.7</w:t>
            </w:r>
          </w:p>
        </w:tc>
        <w:tc>
          <w:tcPr>
            <w:tcW w:w="873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2C2DCB3B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15.4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73DA585E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48.1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1A7D085C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13.8</w:t>
            </w:r>
          </w:p>
        </w:tc>
        <w:tc>
          <w:tcPr>
            <w:tcW w:w="873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49B66ECA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68.3</w:t>
            </w:r>
          </w:p>
        </w:tc>
        <w:tc>
          <w:tcPr>
            <w:tcW w:w="1025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76C50C27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2.8</w:t>
            </w:r>
          </w:p>
        </w:tc>
        <w:tc>
          <w:tcPr>
            <w:tcW w:w="873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00702D08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78.5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6A7C3EEE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B87250D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&lt;0.001</w:t>
            </w:r>
          </w:p>
        </w:tc>
      </w:tr>
      <w:tr w:rsidR="006237D3" w:rsidRPr="006237D3" w14:paraId="34EA8B0F" w14:textId="77777777" w:rsidTr="000D453D">
        <w:trPr>
          <w:trHeight w:val="36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3FD2F383" w14:textId="77777777" w:rsidR="000D453D" w:rsidRPr="006237D3" w:rsidRDefault="000D453D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4B8C4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All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156)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30F59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Low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55)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4C5E8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Medium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50)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49110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High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51)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5540FAE" w14:textId="77777777" w:rsidR="000D453D" w:rsidRPr="006237D3" w:rsidRDefault="000D453D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</w:p>
        </w:tc>
      </w:tr>
      <w:tr w:rsidR="006237D3" w:rsidRPr="006237D3" w14:paraId="3B840959" w14:textId="77777777" w:rsidTr="000D453D">
        <w:trPr>
          <w:trHeight w:val="36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24E59A3D" w14:textId="77777777" w:rsidR="000D453D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Nutrition majors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175ADD32" w14:textId="56E9A885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72.5</w:t>
            </w:r>
            <w:r w:rsidR="004F64C2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13E48223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10.6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40612A51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60.8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6AA148B4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486F1514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74.5</w:t>
            </w:r>
          </w:p>
        </w:tc>
        <w:tc>
          <w:tcPr>
            <w:tcW w:w="1025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68888B7C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2.1</w:t>
            </w:r>
          </w:p>
        </w:tc>
        <w:tc>
          <w:tcPr>
            <w:tcW w:w="873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595C117A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83.1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3C1751B5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5A6652B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&lt;0.001</w:t>
            </w:r>
          </w:p>
        </w:tc>
      </w:tr>
      <w:tr w:rsidR="006237D3" w:rsidRPr="006237D3" w14:paraId="13821522" w14:textId="77777777" w:rsidTr="000D453D">
        <w:trPr>
          <w:trHeight w:val="367"/>
        </w:trPr>
        <w:tc>
          <w:tcPr>
            <w:tcW w:w="2298" w:type="dxa"/>
            <w:tcBorders>
              <w:top w:val="dashSmallGap" w:sz="6" w:space="0" w:color="auto"/>
              <w:left w:val="nil"/>
              <w:bottom w:val="nil"/>
              <w:right w:val="nil"/>
            </w:tcBorders>
          </w:tcPr>
          <w:p w14:paraId="5367764B" w14:textId="77777777" w:rsidR="000D453D" w:rsidRPr="006237D3" w:rsidRDefault="000D453D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208B7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All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268)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99881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Low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90)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88A35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Medium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98)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CD011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High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80)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D5FE932" w14:textId="77777777" w:rsidR="000D453D" w:rsidRPr="006237D3" w:rsidRDefault="000D453D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</w:p>
        </w:tc>
      </w:tr>
      <w:tr w:rsidR="006237D3" w:rsidRPr="006237D3" w14:paraId="65A85B57" w14:textId="77777777" w:rsidTr="000D453D">
        <w:trPr>
          <w:trHeight w:val="367"/>
        </w:trPr>
        <w:tc>
          <w:tcPr>
            <w:tcW w:w="2298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00717779" w14:textId="77777777" w:rsidR="000D453D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Other health-related majors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1C010053" w14:textId="5CF2E030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66.6</w:t>
            </w:r>
            <w:r w:rsidR="004F64C2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6D763FCD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13.1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6C7A8408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52.3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3328265C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11.8</w:t>
            </w:r>
          </w:p>
        </w:tc>
        <w:tc>
          <w:tcPr>
            <w:tcW w:w="873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26547037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69.5</w:t>
            </w:r>
          </w:p>
        </w:tc>
        <w:tc>
          <w:tcPr>
            <w:tcW w:w="1025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1061AAD3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2.7</w:t>
            </w:r>
          </w:p>
        </w:tc>
        <w:tc>
          <w:tcPr>
            <w:tcW w:w="873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0DE32703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79.0</w:t>
            </w:r>
          </w:p>
        </w:tc>
        <w:tc>
          <w:tcPr>
            <w:tcW w:w="872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14:paraId="5E5C6712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9EAF43C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&lt;0.001</w:t>
            </w:r>
          </w:p>
        </w:tc>
      </w:tr>
      <w:tr w:rsidR="006237D3" w:rsidRPr="006237D3" w14:paraId="3A95F32B" w14:textId="77777777" w:rsidTr="000D453D">
        <w:trPr>
          <w:trHeight w:val="36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06C505A1" w14:textId="77777777" w:rsidR="000D453D" w:rsidRPr="006237D3" w:rsidRDefault="000D453D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5AFFA" w14:textId="5A12DDCC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All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 xml:space="preserve"> = </w:t>
            </w:r>
            <w:r w:rsidR="004A52DE"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377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)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53BBC" w14:textId="69EAC2A3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Low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 xml:space="preserve"> = </w:t>
            </w:r>
            <w:r w:rsidR="004A52DE"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133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B0897" w14:textId="2668CC2C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Medium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 xml:space="preserve"> = </w:t>
            </w:r>
            <w:r w:rsidR="004A52DE"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127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)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62B13" w14:textId="4B886E61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High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 xml:space="preserve"> = </w:t>
            </w:r>
            <w:r w:rsidR="004A52DE"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117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A6EE00B" w14:textId="77777777" w:rsidR="000D453D" w:rsidRPr="006237D3" w:rsidRDefault="000D453D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</w:p>
        </w:tc>
      </w:tr>
      <w:tr w:rsidR="006237D3" w:rsidRPr="006237D3" w14:paraId="36DC2323" w14:textId="77777777" w:rsidTr="000D453D">
        <w:trPr>
          <w:trHeight w:val="382"/>
        </w:trPr>
        <w:tc>
          <w:tcPr>
            <w:tcW w:w="22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9E850D" w14:textId="77777777" w:rsidR="000D453D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Non-health-related majors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6301B0" w14:textId="6C8F8486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60.1</w:t>
            </w:r>
            <w:r w:rsidR="004F64C2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*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449F17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16.9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98339C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41.6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0C3FC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14.3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6B6BFF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65.3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1ADA1F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2EB1DB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75.7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69C2D4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63EF33" w14:textId="77777777" w:rsidR="000D453D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&lt;0.001</w:t>
            </w:r>
          </w:p>
        </w:tc>
      </w:tr>
    </w:tbl>
    <w:p w14:paraId="1CA0DBDD" w14:textId="77777777" w:rsidR="0045011F" w:rsidRPr="006237D3" w:rsidRDefault="0045011F" w:rsidP="00C02855">
      <w:pPr>
        <w:spacing w:line="240" w:lineRule="exact"/>
        <w:rPr>
          <w:rFonts w:ascii="Times New Roman" w:hAnsi="Times New Roman" w:cs="Times New Roman"/>
          <w:szCs w:val="21"/>
        </w:rPr>
      </w:pPr>
    </w:p>
    <w:p w14:paraId="4DC7F677" w14:textId="49715A45" w:rsidR="00EE01F7" w:rsidRPr="006237D3" w:rsidRDefault="0045011F" w:rsidP="00C02855">
      <w:pPr>
        <w:spacing w:line="240" w:lineRule="exact"/>
        <w:rPr>
          <w:rFonts w:ascii="Times New Roman" w:hAnsi="Times New Roman" w:cs="Times New Roman"/>
          <w:szCs w:val="21"/>
        </w:rPr>
      </w:pPr>
      <w:r w:rsidRPr="006237D3">
        <w:rPr>
          <w:rFonts w:ascii="Times New Roman" w:hAnsi="Times New Roman" w:cs="Times New Roman"/>
          <w:szCs w:val="21"/>
        </w:rPr>
        <w:t xml:space="preserve">SD, standard deviation. </w:t>
      </w:r>
      <w:r w:rsidRPr="006237D3">
        <w:rPr>
          <w:rFonts w:ascii="Times New Roman" w:hAnsi="Times New Roman" w:cs="Times New Roman"/>
          <w:i/>
          <w:iCs/>
          <w:szCs w:val="21"/>
        </w:rPr>
        <w:t>P</w:t>
      </w:r>
      <w:r w:rsidRPr="006237D3">
        <w:rPr>
          <w:rFonts w:ascii="Times New Roman" w:hAnsi="Times New Roman" w:cs="Times New Roman"/>
          <w:szCs w:val="21"/>
        </w:rPr>
        <w:t>-values are shown for the Kruskal</w:t>
      </w:r>
      <w:r w:rsidR="005E335A" w:rsidRPr="006237D3">
        <w:rPr>
          <w:rFonts w:ascii="Times New Roman" w:hAnsi="Times New Roman" w:cs="Times New Roman"/>
          <w:szCs w:val="21"/>
        </w:rPr>
        <w:t>–</w:t>
      </w:r>
      <w:proofErr w:type="gramStart"/>
      <w:r w:rsidRPr="006237D3">
        <w:rPr>
          <w:rFonts w:ascii="Times New Roman" w:hAnsi="Times New Roman" w:cs="Times New Roman"/>
          <w:szCs w:val="21"/>
        </w:rPr>
        <w:t>Wallis</w:t>
      </w:r>
      <w:proofErr w:type="gramEnd"/>
      <w:r w:rsidRPr="006237D3">
        <w:rPr>
          <w:rFonts w:ascii="Times New Roman" w:hAnsi="Times New Roman" w:cs="Times New Roman"/>
          <w:szCs w:val="21"/>
        </w:rPr>
        <w:t xml:space="preserve"> test for continuous variables between the low, medium</w:t>
      </w:r>
      <w:r w:rsidR="00F43B4E" w:rsidRPr="006237D3">
        <w:rPr>
          <w:rFonts w:ascii="Times New Roman" w:hAnsi="Times New Roman" w:cs="Times New Roman"/>
          <w:szCs w:val="21"/>
        </w:rPr>
        <w:t>,</w:t>
      </w:r>
      <w:r w:rsidRPr="006237D3">
        <w:rPr>
          <w:rFonts w:ascii="Times New Roman" w:hAnsi="Times New Roman" w:cs="Times New Roman"/>
          <w:szCs w:val="21"/>
        </w:rPr>
        <w:t xml:space="preserve"> and high</w:t>
      </w:r>
      <w:r w:rsidR="00F5597E" w:rsidRPr="006237D3">
        <w:rPr>
          <w:rFonts w:ascii="Times New Roman" w:hAnsi="Times New Roman" w:cs="Times New Roman"/>
          <w:szCs w:val="21"/>
        </w:rPr>
        <w:t xml:space="preserve"> nutrition knowledge</w:t>
      </w:r>
      <w:r w:rsidRPr="006237D3">
        <w:rPr>
          <w:rFonts w:ascii="Times New Roman" w:hAnsi="Times New Roman" w:cs="Times New Roman"/>
          <w:szCs w:val="21"/>
        </w:rPr>
        <w:t xml:space="preserve"> groups.</w:t>
      </w:r>
      <w:r w:rsidR="004F5743" w:rsidRPr="006237D3">
        <w:rPr>
          <w:rFonts w:ascii="Times New Roman" w:hAnsi="Times New Roman" w:cs="Times New Roman"/>
          <w:szCs w:val="21"/>
        </w:rPr>
        <w:t xml:space="preserve"> * </w:t>
      </w:r>
      <w:r w:rsidR="00303546" w:rsidRPr="006237D3">
        <w:rPr>
          <w:rFonts w:ascii="Times New Roman" w:hAnsi="Times New Roman" w:cs="Times New Roman"/>
          <w:szCs w:val="21"/>
        </w:rPr>
        <w:t>I</w:t>
      </w:r>
      <w:r w:rsidR="00F43B4E" w:rsidRPr="006237D3">
        <w:rPr>
          <w:rFonts w:ascii="Times New Roman" w:hAnsi="Times New Roman" w:cs="Times New Roman"/>
          <w:szCs w:val="21"/>
        </w:rPr>
        <w:t xml:space="preserve">ndicates that </w:t>
      </w:r>
      <w:r w:rsidR="004F5743" w:rsidRPr="006237D3">
        <w:rPr>
          <w:rFonts w:ascii="Times New Roman" w:hAnsi="Times New Roman" w:cs="Times New Roman"/>
          <w:szCs w:val="21"/>
        </w:rPr>
        <w:t>values were significantly different among all majors (</w:t>
      </w:r>
      <w:r w:rsidR="004F5743" w:rsidRPr="006237D3">
        <w:rPr>
          <w:rFonts w:ascii="Times New Roman" w:hAnsi="Times New Roman" w:cs="Times New Roman"/>
          <w:i/>
          <w:iCs/>
          <w:szCs w:val="21"/>
        </w:rPr>
        <w:t>P</w:t>
      </w:r>
      <w:r w:rsidR="004F5743" w:rsidRPr="006237D3">
        <w:rPr>
          <w:rFonts w:ascii="Times New Roman" w:hAnsi="Times New Roman" w:cs="Times New Roman"/>
          <w:szCs w:val="21"/>
        </w:rPr>
        <w:t>&lt;0.01).</w:t>
      </w:r>
    </w:p>
    <w:p w14:paraId="719C80C8" w14:textId="4E08DAA6" w:rsidR="0088110C" w:rsidRPr="006237D3" w:rsidRDefault="0088110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3E94A8E3" w14:textId="77777777" w:rsidR="00C02855" w:rsidRPr="006237D3" w:rsidRDefault="00C0285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2657E14E" w14:textId="60FC8C65" w:rsidR="007137A7" w:rsidRPr="006237D3" w:rsidRDefault="0045011F" w:rsidP="002F6BC0">
      <w:pPr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</w:pPr>
      <w:r w:rsidRPr="006237D3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06679C" w:rsidRPr="006237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  <w:t xml:space="preserve">. </w:t>
      </w:r>
      <w:r w:rsidR="00D80BC2"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  <w:t xml:space="preserve">Number of nutrients not meeting </w:t>
      </w:r>
      <w:r w:rsidR="00F43B4E"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  <w:t xml:space="preserve">the </w:t>
      </w:r>
      <w:r w:rsidR="00D80BC2"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  <w:t xml:space="preserve">tentative dietary goal (DG) and estimated average requirement (EAR) </w:t>
      </w:r>
      <w:r w:rsidR="001A3C32"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  <w:t>in</w:t>
      </w:r>
      <w:r w:rsidR="00D80BC2" w:rsidRPr="006237D3">
        <w:rPr>
          <w:rFonts w:ascii="Times New Roman" w:eastAsia="Yu Gothic" w:hAnsi="Times New Roman" w:cs="Times New Roman"/>
          <w:b/>
          <w:bCs/>
          <w:kern w:val="0"/>
          <w:sz w:val="24"/>
          <w:szCs w:val="24"/>
        </w:rPr>
        <w:t xml:space="preserve"> the three nutrition knowledge groups by major</w:t>
      </w:r>
    </w:p>
    <w:p w14:paraId="5F7C408A" w14:textId="77777777" w:rsidR="0045011F" w:rsidRPr="006237D3" w:rsidRDefault="0045011F" w:rsidP="002F6B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5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50"/>
        <w:gridCol w:w="750"/>
        <w:gridCol w:w="750"/>
        <w:gridCol w:w="750"/>
        <w:gridCol w:w="918"/>
        <w:gridCol w:w="918"/>
        <w:gridCol w:w="750"/>
        <w:gridCol w:w="750"/>
        <w:gridCol w:w="780"/>
        <w:gridCol w:w="949"/>
      </w:tblGrid>
      <w:tr w:rsidR="006237D3" w:rsidRPr="006237D3" w14:paraId="374D53B4" w14:textId="77777777" w:rsidTr="0088110C">
        <w:trPr>
          <w:trHeight w:val="367"/>
        </w:trPr>
        <w:tc>
          <w:tcPr>
            <w:tcW w:w="22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DE148AB" w14:textId="77777777" w:rsidR="0088110C" w:rsidRPr="006237D3" w:rsidRDefault="0088110C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750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</w:tcPr>
          <w:p w14:paraId="66AD8B68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Mean</w:t>
            </w:r>
          </w:p>
        </w:tc>
        <w:tc>
          <w:tcPr>
            <w:tcW w:w="750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</w:tcPr>
          <w:p w14:paraId="2AC9F2F8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SD</w:t>
            </w:r>
          </w:p>
        </w:tc>
        <w:tc>
          <w:tcPr>
            <w:tcW w:w="750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</w:tcPr>
          <w:p w14:paraId="207AD3EF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Mean</w:t>
            </w:r>
          </w:p>
        </w:tc>
        <w:tc>
          <w:tcPr>
            <w:tcW w:w="750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</w:tcPr>
          <w:p w14:paraId="23214860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SD</w:t>
            </w:r>
          </w:p>
        </w:tc>
        <w:tc>
          <w:tcPr>
            <w:tcW w:w="918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</w:tcPr>
          <w:p w14:paraId="4EE24877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Mean</w:t>
            </w:r>
          </w:p>
        </w:tc>
        <w:tc>
          <w:tcPr>
            <w:tcW w:w="918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</w:tcPr>
          <w:p w14:paraId="5A02E2E8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SD</w:t>
            </w:r>
          </w:p>
        </w:tc>
        <w:tc>
          <w:tcPr>
            <w:tcW w:w="750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</w:tcPr>
          <w:p w14:paraId="3BC7CAC7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Mean</w:t>
            </w:r>
          </w:p>
        </w:tc>
        <w:tc>
          <w:tcPr>
            <w:tcW w:w="750" w:type="dxa"/>
            <w:tcBorders>
              <w:top w:val="single" w:sz="12" w:space="0" w:color="000000"/>
              <w:left w:val="nil"/>
              <w:bottom w:val="single" w:sz="6" w:space="0" w:color="auto"/>
              <w:right w:val="nil"/>
            </w:tcBorders>
          </w:tcPr>
          <w:p w14:paraId="7ABB0EBA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SD</w:t>
            </w:r>
          </w:p>
        </w:tc>
        <w:tc>
          <w:tcPr>
            <w:tcW w:w="7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530FEFC" w14:textId="4C8DB05B" w:rsidR="0088110C" w:rsidRPr="006237D3" w:rsidRDefault="00035A8E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P *</w:t>
            </w:r>
          </w:p>
        </w:tc>
        <w:tc>
          <w:tcPr>
            <w:tcW w:w="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3B30ED7" w14:textId="4ACD0844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P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trend †</w:t>
            </w:r>
          </w:p>
        </w:tc>
      </w:tr>
      <w:tr w:rsidR="006237D3" w:rsidRPr="006237D3" w14:paraId="7AEE5B5E" w14:textId="77777777" w:rsidTr="00D80BC2">
        <w:trPr>
          <w:trHeight w:val="367"/>
        </w:trPr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C90F523" w14:textId="77777777" w:rsidR="0088110C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Nutrition majors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01903E6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All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156)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DBE8F8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Low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55)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472BFC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Medium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50)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630616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High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51)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3845835" w14:textId="77777777" w:rsidR="0088110C" w:rsidRPr="006237D3" w:rsidRDefault="0088110C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38D920" w14:textId="77777777" w:rsidR="0088110C" w:rsidRPr="006237D3" w:rsidRDefault="0088110C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</w:p>
        </w:tc>
      </w:tr>
      <w:tr w:rsidR="006237D3" w:rsidRPr="006237D3" w14:paraId="22B1CA03" w14:textId="77777777" w:rsidTr="0088110C">
        <w:trPr>
          <w:trHeight w:val="367"/>
        </w:trPr>
        <w:tc>
          <w:tcPr>
            <w:tcW w:w="22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340E93" w14:textId="070EE043" w:rsidR="0088110C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Nutrient with EAR (0</w:t>
            </w:r>
            <w:r w:rsidR="00035A8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–</w:t>
            </w: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14)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1FE6C2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3.5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E473A6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2.8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35729B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4.1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77A9333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2.9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6E0522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3.3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BC7E1FC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2.7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356B51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3.1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62FC7D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2.7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A7CF6D6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0.223</w:t>
            </w:r>
          </w:p>
        </w:tc>
        <w:tc>
          <w:tcPr>
            <w:tcW w:w="9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166F1F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0.135</w:t>
            </w:r>
          </w:p>
        </w:tc>
      </w:tr>
      <w:tr w:rsidR="006237D3" w:rsidRPr="006237D3" w14:paraId="71700D35" w14:textId="77777777" w:rsidTr="0088110C">
        <w:trPr>
          <w:trHeight w:val="367"/>
        </w:trPr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9F8F16" w14:textId="725AA441" w:rsidR="0088110C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Nutrient with DG (0</w:t>
            </w:r>
            <w:r w:rsidR="00035A8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–</w:t>
            </w: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7)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410919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06D035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6E7012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CE5540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A97C0C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08C5AF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947EA7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CB895B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E616D34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0.842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2AA75B8E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0.559</w:t>
            </w:r>
          </w:p>
        </w:tc>
      </w:tr>
      <w:tr w:rsidR="006237D3" w:rsidRPr="006237D3" w14:paraId="12169F1E" w14:textId="77777777" w:rsidTr="00D80BC2">
        <w:trPr>
          <w:trHeight w:val="49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2B7940D" w14:textId="77777777" w:rsidR="0088110C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Other health-related majors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B7A2D9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All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268)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3F2B21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Low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90)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F4DA7F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Medium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98)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328EFB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High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80)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E674C78" w14:textId="77777777" w:rsidR="0088110C" w:rsidRPr="006237D3" w:rsidRDefault="0088110C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6BED8510" w14:textId="77777777" w:rsidR="0088110C" w:rsidRPr="006237D3" w:rsidRDefault="0088110C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</w:p>
        </w:tc>
      </w:tr>
      <w:tr w:rsidR="006237D3" w:rsidRPr="006237D3" w14:paraId="60102710" w14:textId="77777777" w:rsidTr="0088110C">
        <w:trPr>
          <w:trHeight w:val="367"/>
        </w:trPr>
        <w:tc>
          <w:tcPr>
            <w:tcW w:w="22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E2EF62" w14:textId="722BFC88" w:rsidR="0088110C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Nutrient with EAR (0</w:t>
            </w:r>
            <w:r w:rsidR="00035A8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–</w:t>
            </w: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14)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063FE6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3.0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CDFDFF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2.6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95F642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3.2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C14F48D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2.8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F6B65D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2.8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BEF269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2.2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66A42D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3.1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B519E8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BAF9EAB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0.579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6B66C13D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0.892</w:t>
            </w:r>
          </w:p>
        </w:tc>
      </w:tr>
      <w:tr w:rsidR="006237D3" w:rsidRPr="006237D3" w14:paraId="71168DD8" w14:textId="77777777" w:rsidTr="0088110C">
        <w:trPr>
          <w:trHeight w:val="367"/>
        </w:trPr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B76BD9" w14:textId="353763A4" w:rsidR="0088110C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Nutrient with DG (0</w:t>
            </w:r>
            <w:r w:rsidR="00035A8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–</w:t>
            </w: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7)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B15846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94333F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7ECC1C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6907F2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62841E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732507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605BE1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B19484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A9B5441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0.963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33FC4CAE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0.852</w:t>
            </w:r>
          </w:p>
        </w:tc>
      </w:tr>
      <w:tr w:rsidR="006237D3" w:rsidRPr="006237D3" w14:paraId="58CE98B9" w14:textId="77777777" w:rsidTr="00D80BC2">
        <w:trPr>
          <w:trHeight w:val="49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094C811F" w14:textId="77777777" w:rsidR="004A52DE" w:rsidRPr="006237D3" w:rsidRDefault="004A52DE" w:rsidP="004A52DE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Non-health-related majors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023A3B" w14:textId="0AD9BF0A" w:rsidR="004A52DE" w:rsidRPr="006237D3" w:rsidRDefault="004A52DE" w:rsidP="004A52DE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All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377)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C118B5" w14:textId="523E67EC" w:rsidR="004A52DE" w:rsidRPr="006237D3" w:rsidRDefault="004A52DE" w:rsidP="004A52DE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Low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133)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93B323" w14:textId="2211509F" w:rsidR="004A52DE" w:rsidRPr="006237D3" w:rsidRDefault="004A52DE" w:rsidP="004A52DE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Medium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127)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C1E0F8" w14:textId="1ABF3454" w:rsidR="004A52DE" w:rsidRPr="006237D3" w:rsidRDefault="004A52DE" w:rsidP="004A52DE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High (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  <w:t>n</w:t>
            </w:r>
            <w:r w:rsidRPr="006237D3">
              <w:rPr>
                <w:rFonts w:ascii="Times New Roman" w:eastAsia="Yu Gothic" w:hAnsi="Times New Roman" w:cs="Times New Roman"/>
                <w:b/>
                <w:bCs/>
                <w:kern w:val="0"/>
                <w:sz w:val="19"/>
                <w:szCs w:val="19"/>
              </w:rPr>
              <w:t> = 117)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B40E428" w14:textId="77777777" w:rsidR="004A52DE" w:rsidRPr="006237D3" w:rsidRDefault="004A52DE" w:rsidP="004A52DE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137DB67D" w14:textId="77777777" w:rsidR="004A52DE" w:rsidRPr="006237D3" w:rsidRDefault="004A52DE" w:rsidP="004A52DE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b/>
                <w:bCs/>
                <w:i/>
                <w:iCs/>
                <w:kern w:val="0"/>
                <w:sz w:val="19"/>
                <w:szCs w:val="19"/>
              </w:rPr>
            </w:pPr>
          </w:p>
        </w:tc>
      </w:tr>
      <w:tr w:rsidR="006237D3" w:rsidRPr="006237D3" w14:paraId="7E852656" w14:textId="77777777" w:rsidTr="0088110C">
        <w:trPr>
          <w:trHeight w:val="367"/>
        </w:trPr>
        <w:tc>
          <w:tcPr>
            <w:tcW w:w="22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C5DDB5" w14:textId="46F7E463" w:rsidR="0088110C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Nutrient with EAR (0</w:t>
            </w:r>
            <w:r w:rsidR="00035A8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–</w:t>
            </w: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14)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D71CD5" w14:textId="1E96FAA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79D412" w14:textId="12655A48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C99553" w14:textId="5F4D9D8D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726260" w14:textId="1BC9A92C" w:rsidR="0088110C" w:rsidRPr="006237D3" w:rsidRDefault="004A52DE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3.0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34D2D2" w14:textId="70D2BD09" w:rsidR="0088110C" w:rsidRPr="006237D3" w:rsidRDefault="004A52DE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3.4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8882E2" w14:textId="3AFB76C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11BB3F" w14:textId="4B3B5378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491AA2" w14:textId="19FB1805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68F8769" w14:textId="67484A7F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485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7B4AC56F" w14:textId="40E86E5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234</w:t>
            </w:r>
          </w:p>
        </w:tc>
      </w:tr>
      <w:tr w:rsidR="006237D3" w:rsidRPr="006237D3" w14:paraId="378BEEA5" w14:textId="77777777" w:rsidTr="0088110C">
        <w:trPr>
          <w:trHeight w:val="382"/>
        </w:trPr>
        <w:tc>
          <w:tcPr>
            <w:tcW w:w="22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51CAA8D" w14:textId="2C916B05" w:rsidR="0088110C" w:rsidRPr="006237D3" w:rsidRDefault="0045011F">
            <w:pPr>
              <w:autoSpaceDE w:val="0"/>
              <w:autoSpaceDN w:val="0"/>
              <w:adjustRightInd w:val="0"/>
              <w:jc w:val="left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Nutrient with DG (0</w:t>
            </w:r>
            <w:r w:rsidR="00035A8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–</w:t>
            </w: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7)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7C7C00F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51FDB4F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22D5A10" w14:textId="0BDBB602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E4F506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A98BF85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F83113" w14:textId="303BD6B1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C7F84FD" w14:textId="0697ACD2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1DA4A5" w14:textId="7777777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1.2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3421367" w14:textId="28DC0996" w:rsidR="0088110C" w:rsidRPr="006237D3" w:rsidRDefault="004A52DE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0.656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8EF1881" w14:textId="5918D387" w:rsidR="0088110C" w:rsidRPr="006237D3" w:rsidRDefault="0045011F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</w:pPr>
            <w:r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0.</w:t>
            </w:r>
            <w:r w:rsidR="004A52DE" w:rsidRPr="006237D3">
              <w:rPr>
                <w:rFonts w:ascii="Times New Roman" w:eastAsia="Yu Gothic" w:hAnsi="Times New Roman" w:cs="Times New Roman"/>
                <w:kern w:val="0"/>
                <w:sz w:val="19"/>
                <w:szCs w:val="19"/>
              </w:rPr>
              <w:t>540</w:t>
            </w:r>
          </w:p>
        </w:tc>
      </w:tr>
    </w:tbl>
    <w:p w14:paraId="25BEBECC" w14:textId="77777777" w:rsidR="0045011F" w:rsidRPr="006237D3" w:rsidRDefault="0045011F" w:rsidP="00C02855">
      <w:pPr>
        <w:spacing w:line="240" w:lineRule="exact"/>
        <w:rPr>
          <w:rFonts w:ascii="Times New Roman" w:hAnsi="Times New Roman" w:cs="Times New Roman"/>
          <w:szCs w:val="21"/>
        </w:rPr>
      </w:pPr>
    </w:p>
    <w:p w14:paraId="6200C90D" w14:textId="4AC4DF70" w:rsidR="00B3328E" w:rsidRPr="006237D3" w:rsidRDefault="0045011F" w:rsidP="00C02855">
      <w:pPr>
        <w:spacing w:line="240" w:lineRule="exact"/>
        <w:rPr>
          <w:rFonts w:ascii="Times New Roman" w:hAnsi="Times New Roman" w:cs="Times New Roman"/>
          <w:szCs w:val="21"/>
        </w:rPr>
      </w:pPr>
      <w:r w:rsidRPr="006237D3">
        <w:rPr>
          <w:rFonts w:ascii="Times New Roman" w:hAnsi="Times New Roman" w:cs="Times New Roman"/>
          <w:szCs w:val="21"/>
        </w:rPr>
        <w:t>SD, standard deviation; *</w:t>
      </w:r>
      <w:r w:rsidR="00035A8E" w:rsidRPr="006237D3">
        <w:rPr>
          <w:rFonts w:ascii="Times New Roman" w:hAnsi="Times New Roman" w:cs="Times New Roman"/>
          <w:szCs w:val="21"/>
        </w:rPr>
        <w:t xml:space="preserve"> </w:t>
      </w:r>
      <w:r w:rsidRPr="006237D3">
        <w:rPr>
          <w:rFonts w:ascii="Times New Roman" w:hAnsi="Times New Roman" w:cs="Times New Roman"/>
          <w:i/>
          <w:iCs/>
          <w:szCs w:val="21"/>
        </w:rPr>
        <w:t>P</w:t>
      </w:r>
      <w:r w:rsidRPr="006237D3">
        <w:rPr>
          <w:rFonts w:ascii="Times New Roman" w:hAnsi="Times New Roman" w:cs="Times New Roman"/>
          <w:szCs w:val="21"/>
        </w:rPr>
        <w:t>-values are shown for covariate analysis for differences between the low, medium</w:t>
      </w:r>
      <w:r w:rsidR="00F43B4E" w:rsidRPr="006237D3">
        <w:rPr>
          <w:rFonts w:ascii="Times New Roman" w:hAnsi="Times New Roman" w:cs="Times New Roman"/>
          <w:szCs w:val="21"/>
        </w:rPr>
        <w:t>,</w:t>
      </w:r>
      <w:r w:rsidRPr="006237D3">
        <w:rPr>
          <w:rFonts w:ascii="Times New Roman" w:hAnsi="Times New Roman" w:cs="Times New Roman"/>
          <w:szCs w:val="21"/>
        </w:rPr>
        <w:t xml:space="preserve"> and high </w:t>
      </w:r>
      <w:r w:rsidR="001A3C32" w:rsidRPr="006237D3">
        <w:rPr>
          <w:rFonts w:ascii="Times New Roman" w:hAnsi="Times New Roman" w:cs="Times New Roman"/>
          <w:szCs w:val="21"/>
        </w:rPr>
        <w:t xml:space="preserve">nutrition knowledge </w:t>
      </w:r>
      <w:r w:rsidRPr="006237D3">
        <w:rPr>
          <w:rFonts w:ascii="Times New Roman" w:hAnsi="Times New Roman" w:cs="Times New Roman"/>
          <w:szCs w:val="21"/>
        </w:rPr>
        <w:t>groups adjusted for confounding variables of sex, grade (freshman, sophomore, junior, or senior), body mass index (underweight, normal</w:t>
      </w:r>
      <w:r w:rsidR="00303546" w:rsidRPr="006237D3">
        <w:rPr>
          <w:rFonts w:ascii="Times New Roman" w:hAnsi="Times New Roman" w:cs="Times New Roman"/>
          <w:szCs w:val="21"/>
        </w:rPr>
        <w:t xml:space="preserve"> weight</w:t>
      </w:r>
      <w:r w:rsidRPr="006237D3">
        <w:rPr>
          <w:rFonts w:ascii="Times New Roman" w:hAnsi="Times New Roman" w:cs="Times New Roman"/>
          <w:szCs w:val="21"/>
        </w:rPr>
        <w:t>, or overweight and obesity), physical activity score (0</w:t>
      </w:r>
      <w:r w:rsidR="00F43B4E" w:rsidRPr="006237D3">
        <w:rPr>
          <w:rFonts w:ascii="Times New Roman" w:hAnsi="Times New Roman" w:cs="Times New Roman"/>
          <w:szCs w:val="21"/>
        </w:rPr>
        <w:t>–</w:t>
      </w:r>
      <w:r w:rsidRPr="006237D3">
        <w:rPr>
          <w:rFonts w:ascii="Times New Roman" w:hAnsi="Times New Roman" w:cs="Times New Roman"/>
          <w:szCs w:val="21"/>
        </w:rPr>
        <w:t xml:space="preserve">3), living status (living alone, or living with their family or living in a dormitory), and monthly discretionary spending (less than </w:t>
      </w:r>
      <w:r w:rsidR="005E335A" w:rsidRPr="006237D3">
        <w:rPr>
          <w:rFonts w:ascii="Times New Roman" w:hAnsi="Times New Roman" w:cs="Times New Roman"/>
          <w:szCs w:val="21"/>
        </w:rPr>
        <w:t>JP¥</w:t>
      </w:r>
      <w:r w:rsidRPr="006237D3">
        <w:rPr>
          <w:rFonts w:ascii="Times New Roman" w:hAnsi="Times New Roman" w:cs="Times New Roman"/>
          <w:szCs w:val="21"/>
        </w:rPr>
        <w:t xml:space="preserve">20,000, </w:t>
      </w:r>
      <w:r w:rsidR="005E335A" w:rsidRPr="006237D3">
        <w:rPr>
          <w:rFonts w:ascii="Times New Roman" w:hAnsi="Times New Roman" w:cs="Times New Roman"/>
          <w:szCs w:val="21"/>
        </w:rPr>
        <w:t>JP¥</w:t>
      </w:r>
      <w:r w:rsidRPr="006237D3">
        <w:rPr>
          <w:rFonts w:ascii="Times New Roman" w:hAnsi="Times New Roman" w:cs="Times New Roman"/>
          <w:szCs w:val="21"/>
        </w:rPr>
        <w:t xml:space="preserve">20,000–30,000, </w:t>
      </w:r>
      <w:r w:rsidR="005E335A" w:rsidRPr="006237D3">
        <w:rPr>
          <w:rFonts w:ascii="Times New Roman" w:hAnsi="Times New Roman" w:cs="Times New Roman"/>
          <w:szCs w:val="21"/>
        </w:rPr>
        <w:t>JP¥</w:t>
      </w:r>
      <w:r w:rsidRPr="006237D3">
        <w:rPr>
          <w:rFonts w:ascii="Times New Roman" w:hAnsi="Times New Roman" w:cs="Times New Roman"/>
          <w:szCs w:val="21"/>
        </w:rPr>
        <w:t xml:space="preserve">30,000–50,000, or </w:t>
      </w:r>
      <w:r w:rsidR="005E335A" w:rsidRPr="006237D3">
        <w:rPr>
          <w:rFonts w:ascii="Times New Roman" w:hAnsi="Times New Roman" w:cs="Times New Roman"/>
          <w:szCs w:val="21"/>
        </w:rPr>
        <w:t>JP¥</w:t>
      </w:r>
      <w:r w:rsidRPr="006237D3">
        <w:rPr>
          <w:rFonts w:ascii="Times New Roman" w:hAnsi="Times New Roman" w:cs="Times New Roman"/>
          <w:szCs w:val="21"/>
        </w:rPr>
        <w:t xml:space="preserve">50,000 or more); † </w:t>
      </w:r>
      <w:r w:rsidR="00C02855" w:rsidRPr="006237D3">
        <w:rPr>
          <w:rFonts w:ascii="Times New Roman" w:hAnsi="Times New Roman" w:cs="Times New Roman"/>
          <w:szCs w:val="21"/>
        </w:rPr>
        <w:t>Multiple</w:t>
      </w:r>
      <w:r w:rsidRPr="006237D3">
        <w:rPr>
          <w:rFonts w:ascii="Times New Roman" w:hAnsi="Times New Roman" w:cs="Times New Roman"/>
          <w:szCs w:val="21"/>
        </w:rPr>
        <w:t xml:space="preserve"> regression analysis was used to test the trend of association between the low, medium, and high</w:t>
      </w:r>
      <w:r w:rsidR="00303546" w:rsidRPr="006237D3">
        <w:rPr>
          <w:rFonts w:ascii="Times New Roman" w:hAnsi="Times New Roman" w:cs="Times New Roman"/>
          <w:szCs w:val="21"/>
        </w:rPr>
        <w:t xml:space="preserve"> nutrition knowledge</w:t>
      </w:r>
      <w:r w:rsidRPr="006237D3">
        <w:rPr>
          <w:rFonts w:ascii="Times New Roman" w:hAnsi="Times New Roman" w:cs="Times New Roman"/>
          <w:szCs w:val="21"/>
        </w:rPr>
        <w:t xml:space="preserve"> groups and number of </w:t>
      </w:r>
      <w:r w:rsidR="00F43B4E" w:rsidRPr="006237D3">
        <w:rPr>
          <w:rFonts w:ascii="Times New Roman" w:hAnsi="Times New Roman" w:cs="Times New Roman"/>
          <w:szCs w:val="21"/>
        </w:rPr>
        <w:t xml:space="preserve">inadequate </w:t>
      </w:r>
      <w:r w:rsidRPr="006237D3">
        <w:rPr>
          <w:rFonts w:ascii="Times New Roman" w:hAnsi="Times New Roman" w:cs="Times New Roman"/>
          <w:szCs w:val="21"/>
        </w:rPr>
        <w:t>nutrients. Each knowledge group was assigned a score: Low = 1, Medium = 2, and High = 3.</w:t>
      </w:r>
      <w:r w:rsidR="00C02855" w:rsidRPr="006237D3">
        <w:rPr>
          <w:rFonts w:ascii="Times New Roman" w:hAnsi="Times New Roman" w:cs="Times New Roman"/>
          <w:szCs w:val="21"/>
        </w:rPr>
        <w:t xml:space="preserve"> The dependent variables were dietary intakes and nutritional inadequacy, and the explanatory variables were nutritional knowledge level, sex, year, BMI, physical activity score, living status, and monthly discretionary spending.</w:t>
      </w:r>
    </w:p>
    <w:sectPr w:rsidR="00B3328E" w:rsidRPr="006237D3" w:rsidSect="009B3D2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22B64" w14:textId="77777777" w:rsidR="00924072" w:rsidRDefault="00924072">
      <w:r>
        <w:separator/>
      </w:r>
    </w:p>
  </w:endnote>
  <w:endnote w:type="continuationSeparator" w:id="0">
    <w:p w14:paraId="6711B6D7" w14:textId="77777777" w:rsidR="00924072" w:rsidRDefault="0092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65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1C25A" w14:textId="1E52DE94" w:rsidR="00990A3A" w:rsidRDefault="00450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87F340" w14:textId="77777777" w:rsidR="00990A3A" w:rsidRDefault="00990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9E35" w14:textId="77777777" w:rsidR="00924072" w:rsidRDefault="00924072">
      <w:r>
        <w:separator/>
      </w:r>
    </w:p>
  </w:footnote>
  <w:footnote w:type="continuationSeparator" w:id="0">
    <w:p w14:paraId="6751BB02" w14:textId="77777777" w:rsidR="00924072" w:rsidRDefault="0092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615D4"/>
    <w:multiLevelType w:val="hybridMultilevel"/>
    <w:tmpl w:val="5CBCF44C"/>
    <w:lvl w:ilvl="0" w:tplc="29EED656">
      <w:start w:val="1"/>
      <w:numFmt w:val="decimal"/>
      <w:lvlText w:val="%1."/>
      <w:lvlJc w:val="left"/>
      <w:pPr>
        <w:ind w:left="797" w:hanging="440"/>
      </w:pPr>
      <w:rPr>
        <w:i w:val="0"/>
        <w:iCs w:val="0"/>
      </w:rPr>
    </w:lvl>
    <w:lvl w:ilvl="1" w:tplc="4B743088" w:tentative="1">
      <w:start w:val="1"/>
      <w:numFmt w:val="aiueoFullWidth"/>
      <w:lvlText w:val="(%2)"/>
      <w:lvlJc w:val="left"/>
      <w:pPr>
        <w:ind w:left="1237" w:hanging="440"/>
      </w:pPr>
    </w:lvl>
    <w:lvl w:ilvl="2" w:tplc="49A4ACA0" w:tentative="1">
      <w:start w:val="1"/>
      <w:numFmt w:val="decimalEnclosedCircle"/>
      <w:lvlText w:val="%3"/>
      <w:lvlJc w:val="left"/>
      <w:pPr>
        <w:ind w:left="1677" w:hanging="440"/>
      </w:pPr>
    </w:lvl>
    <w:lvl w:ilvl="3" w:tplc="FE9EBC76" w:tentative="1">
      <w:start w:val="1"/>
      <w:numFmt w:val="decimal"/>
      <w:lvlText w:val="%4."/>
      <w:lvlJc w:val="left"/>
      <w:pPr>
        <w:ind w:left="2117" w:hanging="440"/>
      </w:pPr>
    </w:lvl>
    <w:lvl w:ilvl="4" w:tplc="710C33CE" w:tentative="1">
      <w:start w:val="1"/>
      <w:numFmt w:val="aiueoFullWidth"/>
      <w:lvlText w:val="(%5)"/>
      <w:lvlJc w:val="left"/>
      <w:pPr>
        <w:ind w:left="2557" w:hanging="440"/>
      </w:pPr>
    </w:lvl>
    <w:lvl w:ilvl="5" w:tplc="D03AD5A0" w:tentative="1">
      <w:start w:val="1"/>
      <w:numFmt w:val="decimalEnclosedCircle"/>
      <w:lvlText w:val="%6"/>
      <w:lvlJc w:val="left"/>
      <w:pPr>
        <w:ind w:left="2997" w:hanging="440"/>
      </w:pPr>
    </w:lvl>
    <w:lvl w:ilvl="6" w:tplc="0FEAD54E" w:tentative="1">
      <w:start w:val="1"/>
      <w:numFmt w:val="decimal"/>
      <w:lvlText w:val="%7."/>
      <w:lvlJc w:val="left"/>
      <w:pPr>
        <w:ind w:left="3437" w:hanging="440"/>
      </w:pPr>
    </w:lvl>
    <w:lvl w:ilvl="7" w:tplc="A832F588" w:tentative="1">
      <w:start w:val="1"/>
      <w:numFmt w:val="aiueoFullWidth"/>
      <w:lvlText w:val="(%8)"/>
      <w:lvlJc w:val="left"/>
      <w:pPr>
        <w:ind w:left="3877" w:hanging="440"/>
      </w:pPr>
    </w:lvl>
    <w:lvl w:ilvl="8" w:tplc="E508146C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1" w15:restartNumberingAfterBreak="0">
    <w:nsid w:val="4C657D96"/>
    <w:multiLevelType w:val="hybridMultilevel"/>
    <w:tmpl w:val="7F6A8D9C"/>
    <w:lvl w:ilvl="0" w:tplc="AFA862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FB2C38A" w:tentative="1">
      <w:start w:val="1"/>
      <w:numFmt w:val="aiueoFullWidth"/>
      <w:lvlText w:val="(%2)"/>
      <w:lvlJc w:val="left"/>
      <w:pPr>
        <w:ind w:left="1200" w:hanging="420"/>
      </w:pPr>
    </w:lvl>
    <w:lvl w:ilvl="2" w:tplc="FAA8A928" w:tentative="1">
      <w:start w:val="1"/>
      <w:numFmt w:val="decimalEnclosedCircle"/>
      <w:lvlText w:val="%3"/>
      <w:lvlJc w:val="left"/>
      <w:pPr>
        <w:ind w:left="1620" w:hanging="420"/>
      </w:pPr>
    </w:lvl>
    <w:lvl w:ilvl="3" w:tplc="16204722" w:tentative="1">
      <w:start w:val="1"/>
      <w:numFmt w:val="decimal"/>
      <w:lvlText w:val="%4."/>
      <w:lvlJc w:val="left"/>
      <w:pPr>
        <w:ind w:left="2040" w:hanging="420"/>
      </w:pPr>
    </w:lvl>
    <w:lvl w:ilvl="4" w:tplc="7AF6D47A" w:tentative="1">
      <w:start w:val="1"/>
      <w:numFmt w:val="aiueoFullWidth"/>
      <w:lvlText w:val="(%5)"/>
      <w:lvlJc w:val="left"/>
      <w:pPr>
        <w:ind w:left="2460" w:hanging="420"/>
      </w:pPr>
    </w:lvl>
    <w:lvl w:ilvl="5" w:tplc="063A3070" w:tentative="1">
      <w:start w:val="1"/>
      <w:numFmt w:val="decimalEnclosedCircle"/>
      <w:lvlText w:val="%6"/>
      <w:lvlJc w:val="left"/>
      <w:pPr>
        <w:ind w:left="2880" w:hanging="420"/>
      </w:pPr>
    </w:lvl>
    <w:lvl w:ilvl="6" w:tplc="80A0DF3E" w:tentative="1">
      <w:start w:val="1"/>
      <w:numFmt w:val="decimal"/>
      <w:lvlText w:val="%7."/>
      <w:lvlJc w:val="left"/>
      <w:pPr>
        <w:ind w:left="3300" w:hanging="420"/>
      </w:pPr>
    </w:lvl>
    <w:lvl w:ilvl="7" w:tplc="F2AEAC1E" w:tentative="1">
      <w:start w:val="1"/>
      <w:numFmt w:val="aiueoFullWidth"/>
      <w:lvlText w:val="(%8)"/>
      <w:lvlJc w:val="left"/>
      <w:pPr>
        <w:ind w:left="3720" w:hanging="420"/>
      </w:pPr>
    </w:lvl>
    <w:lvl w:ilvl="8" w:tplc="7D84A670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D4C7C32"/>
    <w:multiLevelType w:val="hybridMultilevel"/>
    <w:tmpl w:val="D026E614"/>
    <w:lvl w:ilvl="0" w:tplc="7BA04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22E432" w:tentative="1">
      <w:start w:val="1"/>
      <w:numFmt w:val="aiueoFullWidth"/>
      <w:lvlText w:val="(%2)"/>
      <w:lvlJc w:val="left"/>
      <w:pPr>
        <w:ind w:left="1240" w:hanging="440"/>
      </w:pPr>
    </w:lvl>
    <w:lvl w:ilvl="2" w:tplc="CED42322" w:tentative="1">
      <w:start w:val="1"/>
      <w:numFmt w:val="decimalEnclosedCircle"/>
      <w:lvlText w:val="%3"/>
      <w:lvlJc w:val="left"/>
      <w:pPr>
        <w:ind w:left="1680" w:hanging="440"/>
      </w:pPr>
    </w:lvl>
    <w:lvl w:ilvl="3" w:tplc="31D4F75A" w:tentative="1">
      <w:start w:val="1"/>
      <w:numFmt w:val="decimal"/>
      <w:lvlText w:val="%4."/>
      <w:lvlJc w:val="left"/>
      <w:pPr>
        <w:ind w:left="2120" w:hanging="440"/>
      </w:pPr>
    </w:lvl>
    <w:lvl w:ilvl="4" w:tplc="BC2EEBAA" w:tentative="1">
      <w:start w:val="1"/>
      <w:numFmt w:val="aiueoFullWidth"/>
      <w:lvlText w:val="(%5)"/>
      <w:lvlJc w:val="left"/>
      <w:pPr>
        <w:ind w:left="2560" w:hanging="440"/>
      </w:pPr>
    </w:lvl>
    <w:lvl w:ilvl="5" w:tplc="88B2B028" w:tentative="1">
      <w:start w:val="1"/>
      <w:numFmt w:val="decimalEnclosedCircle"/>
      <w:lvlText w:val="%6"/>
      <w:lvlJc w:val="left"/>
      <w:pPr>
        <w:ind w:left="3000" w:hanging="440"/>
      </w:pPr>
    </w:lvl>
    <w:lvl w:ilvl="6" w:tplc="75FE2C48" w:tentative="1">
      <w:start w:val="1"/>
      <w:numFmt w:val="decimal"/>
      <w:lvlText w:val="%7."/>
      <w:lvlJc w:val="left"/>
      <w:pPr>
        <w:ind w:left="3440" w:hanging="440"/>
      </w:pPr>
    </w:lvl>
    <w:lvl w:ilvl="7" w:tplc="45568B42" w:tentative="1">
      <w:start w:val="1"/>
      <w:numFmt w:val="aiueoFullWidth"/>
      <w:lvlText w:val="(%8)"/>
      <w:lvlJc w:val="left"/>
      <w:pPr>
        <w:ind w:left="3880" w:hanging="440"/>
      </w:pPr>
    </w:lvl>
    <w:lvl w:ilvl="8" w:tplc="0074B070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3FA15D0"/>
    <w:multiLevelType w:val="hybridMultilevel"/>
    <w:tmpl w:val="E1724D72"/>
    <w:lvl w:ilvl="0" w:tplc="93580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EA85084" w:tentative="1">
      <w:start w:val="1"/>
      <w:numFmt w:val="aiueoFullWidth"/>
      <w:lvlText w:val="(%2)"/>
      <w:lvlJc w:val="left"/>
      <w:pPr>
        <w:ind w:left="840" w:hanging="420"/>
      </w:pPr>
    </w:lvl>
    <w:lvl w:ilvl="2" w:tplc="4B1AAB82" w:tentative="1">
      <w:start w:val="1"/>
      <w:numFmt w:val="decimalEnclosedCircle"/>
      <w:lvlText w:val="%3"/>
      <w:lvlJc w:val="left"/>
      <w:pPr>
        <w:ind w:left="1260" w:hanging="420"/>
      </w:pPr>
    </w:lvl>
    <w:lvl w:ilvl="3" w:tplc="25CC8BBA" w:tentative="1">
      <w:start w:val="1"/>
      <w:numFmt w:val="decimal"/>
      <w:lvlText w:val="%4."/>
      <w:lvlJc w:val="left"/>
      <w:pPr>
        <w:ind w:left="1680" w:hanging="420"/>
      </w:pPr>
    </w:lvl>
    <w:lvl w:ilvl="4" w:tplc="FD98793A" w:tentative="1">
      <w:start w:val="1"/>
      <w:numFmt w:val="aiueoFullWidth"/>
      <w:lvlText w:val="(%5)"/>
      <w:lvlJc w:val="left"/>
      <w:pPr>
        <w:ind w:left="2100" w:hanging="420"/>
      </w:pPr>
    </w:lvl>
    <w:lvl w:ilvl="5" w:tplc="245C4CE8" w:tentative="1">
      <w:start w:val="1"/>
      <w:numFmt w:val="decimalEnclosedCircle"/>
      <w:lvlText w:val="%6"/>
      <w:lvlJc w:val="left"/>
      <w:pPr>
        <w:ind w:left="2520" w:hanging="420"/>
      </w:pPr>
    </w:lvl>
    <w:lvl w:ilvl="6" w:tplc="C658B1EA" w:tentative="1">
      <w:start w:val="1"/>
      <w:numFmt w:val="decimal"/>
      <w:lvlText w:val="%7."/>
      <w:lvlJc w:val="left"/>
      <w:pPr>
        <w:ind w:left="2940" w:hanging="420"/>
      </w:pPr>
    </w:lvl>
    <w:lvl w:ilvl="7" w:tplc="D694886C" w:tentative="1">
      <w:start w:val="1"/>
      <w:numFmt w:val="aiueoFullWidth"/>
      <w:lvlText w:val="(%8)"/>
      <w:lvlJc w:val="left"/>
      <w:pPr>
        <w:ind w:left="3360" w:hanging="420"/>
      </w:pPr>
    </w:lvl>
    <w:lvl w:ilvl="8" w:tplc="F6941BA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899091">
    <w:abstractNumId w:val="3"/>
  </w:num>
  <w:num w:numId="2" w16cid:durableId="484902167">
    <w:abstractNumId w:val="1"/>
  </w:num>
  <w:num w:numId="3" w16cid:durableId="685208935">
    <w:abstractNumId w:val="2"/>
  </w:num>
  <w:num w:numId="4" w16cid:durableId="19858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MDK2NDUyNbGwMLBQ0lEKTi0uzszPAykwrAUAi8nhlywAAAA="/>
  </w:docVars>
  <w:rsids>
    <w:rsidRoot w:val="009955E4"/>
    <w:rsid w:val="000013F7"/>
    <w:rsid w:val="00005F46"/>
    <w:rsid w:val="00021F62"/>
    <w:rsid w:val="00024642"/>
    <w:rsid w:val="00025785"/>
    <w:rsid w:val="00031024"/>
    <w:rsid w:val="000359CC"/>
    <w:rsid w:val="00035A8E"/>
    <w:rsid w:val="00054A6C"/>
    <w:rsid w:val="00056DBB"/>
    <w:rsid w:val="00057C0F"/>
    <w:rsid w:val="00060447"/>
    <w:rsid w:val="000604B0"/>
    <w:rsid w:val="000617F6"/>
    <w:rsid w:val="0006679C"/>
    <w:rsid w:val="00073B35"/>
    <w:rsid w:val="00085FA0"/>
    <w:rsid w:val="00087751"/>
    <w:rsid w:val="000A3BCE"/>
    <w:rsid w:val="000B5634"/>
    <w:rsid w:val="000B57B6"/>
    <w:rsid w:val="000B716E"/>
    <w:rsid w:val="000C175B"/>
    <w:rsid w:val="000D34FF"/>
    <w:rsid w:val="000D453D"/>
    <w:rsid w:val="000D5F39"/>
    <w:rsid w:val="000E10B6"/>
    <w:rsid w:val="000E7D16"/>
    <w:rsid w:val="00103523"/>
    <w:rsid w:val="0010423C"/>
    <w:rsid w:val="001048A3"/>
    <w:rsid w:val="00107DB7"/>
    <w:rsid w:val="001123E9"/>
    <w:rsid w:val="001146E3"/>
    <w:rsid w:val="001167DA"/>
    <w:rsid w:val="00141893"/>
    <w:rsid w:val="001443B3"/>
    <w:rsid w:val="0015695F"/>
    <w:rsid w:val="00156ED7"/>
    <w:rsid w:val="001578F8"/>
    <w:rsid w:val="001672B8"/>
    <w:rsid w:val="00167511"/>
    <w:rsid w:val="0017359A"/>
    <w:rsid w:val="001764D2"/>
    <w:rsid w:val="00177519"/>
    <w:rsid w:val="00182D4B"/>
    <w:rsid w:val="001933D3"/>
    <w:rsid w:val="00196778"/>
    <w:rsid w:val="00196B3B"/>
    <w:rsid w:val="001A06B7"/>
    <w:rsid w:val="001A09AE"/>
    <w:rsid w:val="001A3C32"/>
    <w:rsid w:val="001A53E4"/>
    <w:rsid w:val="001A5E7A"/>
    <w:rsid w:val="001B5A88"/>
    <w:rsid w:val="001E08AF"/>
    <w:rsid w:val="001E3275"/>
    <w:rsid w:val="001E4409"/>
    <w:rsid w:val="001E4731"/>
    <w:rsid w:val="001E7BC6"/>
    <w:rsid w:val="001F6D21"/>
    <w:rsid w:val="00200F78"/>
    <w:rsid w:val="00201AC6"/>
    <w:rsid w:val="00205347"/>
    <w:rsid w:val="002106BA"/>
    <w:rsid w:val="00212CED"/>
    <w:rsid w:val="002150C0"/>
    <w:rsid w:val="0021578A"/>
    <w:rsid w:val="00216C38"/>
    <w:rsid w:val="002244A7"/>
    <w:rsid w:val="00227750"/>
    <w:rsid w:val="00230DAD"/>
    <w:rsid w:val="002315FC"/>
    <w:rsid w:val="002322F7"/>
    <w:rsid w:val="00233A8C"/>
    <w:rsid w:val="0023788B"/>
    <w:rsid w:val="002420A8"/>
    <w:rsid w:val="0024776C"/>
    <w:rsid w:val="00250BE0"/>
    <w:rsid w:val="0025677A"/>
    <w:rsid w:val="00256C3C"/>
    <w:rsid w:val="00257E63"/>
    <w:rsid w:val="00260FCF"/>
    <w:rsid w:val="00261029"/>
    <w:rsid w:val="002664A2"/>
    <w:rsid w:val="00271D70"/>
    <w:rsid w:val="00275E1E"/>
    <w:rsid w:val="00283313"/>
    <w:rsid w:val="00285048"/>
    <w:rsid w:val="00286066"/>
    <w:rsid w:val="002A1CE5"/>
    <w:rsid w:val="002A37B5"/>
    <w:rsid w:val="002A6032"/>
    <w:rsid w:val="002A6AB1"/>
    <w:rsid w:val="002A6F6A"/>
    <w:rsid w:val="002A7824"/>
    <w:rsid w:val="002A7DAE"/>
    <w:rsid w:val="002B5886"/>
    <w:rsid w:val="002C09B0"/>
    <w:rsid w:val="002D162A"/>
    <w:rsid w:val="002D2BE9"/>
    <w:rsid w:val="002D47F2"/>
    <w:rsid w:val="002D7E20"/>
    <w:rsid w:val="002E01B6"/>
    <w:rsid w:val="002E1442"/>
    <w:rsid w:val="002F3439"/>
    <w:rsid w:val="002F5F38"/>
    <w:rsid w:val="002F6BC0"/>
    <w:rsid w:val="00303546"/>
    <w:rsid w:val="003104E8"/>
    <w:rsid w:val="003115C4"/>
    <w:rsid w:val="0031187F"/>
    <w:rsid w:val="00314137"/>
    <w:rsid w:val="00315D71"/>
    <w:rsid w:val="003160CE"/>
    <w:rsid w:val="0032213C"/>
    <w:rsid w:val="003253A7"/>
    <w:rsid w:val="003303D4"/>
    <w:rsid w:val="003319B2"/>
    <w:rsid w:val="0033341C"/>
    <w:rsid w:val="003355DB"/>
    <w:rsid w:val="00343B83"/>
    <w:rsid w:val="0034669F"/>
    <w:rsid w:val="00351118"/>
    <w:rsid w:val="00355EFF"/>
    <w:rsid w:val="00360500"/>
    <w:rsid w:val="0036362B"/>
    <w:rsid w:val="00370E17"/>
    <w:rsid w:val="00371BFD"/>
    <w:rsid w:val="00374F48"/>
    <w:rsid w:val="003811A5"/>
    <w:rsid w:val="003823D0"/>
    <w:rsid w:val="003864C0"/>
    <w:rsid w:val="003915DF"/>
    <w:rsid w:val="0039681E"/>
    <w:rsid w:val="00396E02"/>
    <w:rsid w:val="003A1062"/>
    <w:rsid w:val="003A141F"/>
    <w:rsid w:val="003A2A05"/>
    <w:rsid w:val="003B2205"/>
    <w:rsid w:val="003B2CF6"/>
    <w:rsid w:val="003B7765"/>
    <w:rsid w:val="003C0310"/>
    <w:rsid w:val="003C1A03"/>
    <w:rsid w:val="003C6C89"/>
    <w:rsid w:val="003D1022"/>
    <w:rsid w:val="003D23D3"/>
    <w:rsid w:val="003D2594"/>
    <w:rsid w:val="003D4114"/>
    <w:rsid w:val="003D7931"/>
    <w:rsid w:val="003E41A6"/>
    <w:rsid w:val="003E57C8"/>
    <w:rsid w:val="003E7BAC"/>
    <w:rsid w:val="003F2CC4"/>
    <w:rsid w:val="003F312C"/>
    <w:rsid w:val="003F7673"/>
    <w:rsid w:val="00403EF5"/>
    <w:rsid w:val="00404755"/>
    <w:rsid w:val="004057D8"/>
    <w:rsid w:val="004058AF"/>
    <w:rsid w:val="00405DAF"/>
    <w:rsid w:val="00406FDD"/>
    <w:rsid w:val="004076C0"/>
    <w:rsid w:val="00415994"/>
    <w:rsid w:val="00415E7F"/>
    <w:rsid w:val="00417AB9"/>
    <w:rsid w:val="004205CC"/>
    <w:rsid w:val="00422853"/>
    <w:rsid w:val="004447A3"/>
    <w:rsid w:val="0045011F"/>
    <w:rsid w:val="00453483"/>
    <w:rsid w:val="0045748B"/>
    <w:rsid w:val="00461242"/>
    <w:rsid w:val="0046307D"/>
    <w:rsid w:val="004673AB"/>
    <w:rsid w:val="00467648"/>
    <w:rsid w:val="00477D8C"/>
    <w:rsid w:val="00493187"/>
    <w:rsid w:val="00493337"/>
    <w:rsid w:val="00495D3D"/>
    <w:rsid w:val="00497206"/>
    <w:rsid w:val="00497F47"/>
    <w:rsid w:val="004A14AF"/>
    <w:rsid w:val="004A1A02"/>
    <w:rsid w:val="004A294A"/>
    <w:rsid w:val="004A49A8"/>
    <w:rsid w:val="004A52DE"/>
    <w:rsid w:val="004A6EC3"/>
    <w:rsid w:val="004B3546"/>
    <w:rsid w:val="004B3BB4"/>
    <w:rsid w:val="004C3916"/>
    <w:rsid w:val="004C48E6"/>
    <w:rsid w:val="004D2995"/>
    <w:rsid w:val="004D6BF7"/>
    <w:rsid w:val="004E3837"/>
    <w:rsid w:val="004E449C"/>
    <w:rsid w:val="004F0DC5"/>
    <w:rsid w:val="004F4F3F"/>
    <w:rsid w:val="004F5743"/>
    <w:rsid w:val="004F5E62"/>
    <w:rsid w:val="004F64C2"/>
    <w:rsid w:val="00501115"/>
    <w:rsid w:val="00506026"/>
    <w:rsid w:val="00511FDB"/>
    <w:rsid w:val="005169DD"/>
    <w:rsid w:val="00523582"/>
    <w:rsid w:val="005322E9"/>
    <w:rsid w:val="00544946"/>
    <w:rsid w:val="00551F54"/>
    <w:rsid w:val="005567B0"/>
    <w:rsid w:val="00560B59"/>
    <w:rsid w:val="00564568"/>
    <w:rsid w:val="00565A96"/>
    <w:rsid w:val="00566B12"/>
    <w:rsid w:val="005727BE"/>
    <w:rsid w:val="005740E8"/>
    <w:rsid w:val="0057613F"/>
    <w:rsid w:val="00576B29"/>
    <w:rsid w:val="0058177A"/>
    <w:rsid w:val="005930F2"/>
    <w:rsid w:val="00594899"/>
    <w:rsid w:val="005A1614"/>
    <w:rsid w:val="005A3C54"/>
    <w:rsid w:val="005B0BA0"/>
    <w:rsid w:val="005B21FA"/>
    <w:rsid w:val="005B41D5"/>
    <w:rsid w:val="005B6E75"/>
    <w:rsid w:val="005C03EC"/>
    <w:rsid w:val="005C05FF"/>
    <w:rsid w:val="005C0DE6"/>
    <w:rsid w:val="005C0F9C"/>
    <w:rsid w:val="005C36E7"/>
    <w:rsid w:val="005C6851"/>
    <w:rsid w:val="005D10E2"/>
    <w:rsid w:val="005D6A8C"/>
    <w:rsid w:val="005D6E4A"/>
    <w:rsid w:val="005E2948"/>
    <w:rsid w:val="005E2AAE"/>
    <w:rsid w:val="005E2D0C"/>
    <w:rsid w:val="005E335A"/>
    <w:rsid w:val="005E3F64"/>
    <w:rsid w:val="005E4E9C"/>
    <w:rsid w:val="006000BF"/>
    <w:rsid w:val="0060200D"/>
    <w:rsid w:val="00604987"/>
    <w:rsid w:val="0061101F"/>
    <w:rsid w:val="00613822"/>
    <w:rsid w:val="0061493E"/>
    <w:rsid w:val="006160ED"/>
    <w:rsid w:val="00620377"/>
    <w:rsid w:val="006203D2"/>
    <w:rsid w:val="00622053"/>
    <w:rsid w:val="006237D3"/>
    <w:rsid w:val="00625D3F"/>
    <w:rsid w:val="0063416B"/>
    <w:rsid w:val="00636F88"/>
    <w:rsid w:val="00643F98"/>
    <w:rsid w:val="00647FF9"/>
    <w:rsid w:val="00651059"/>
    <w:rsid w:val="00656AF0"/>
    <w:rsid w:val="00673416"/>
    <w:rsid w:val="00675901"/>
    <w:rsid w:val="00684995"/>
    <w:rsid w:val="00690846"/>
    <w:rsid w:val="00690948"/>
    <w:rsid w:val="00693372"/>
    <w:rsid w:val="00695CA4"/>
    <w:rsid w:val="006A55DE"/>
    <w:rsid w:val="006B163F"/>
    <w:rsid w:val="006C1B66"/>
    <w:rsid w:val="006C2236"/>
    <w:rsid w:val="006C4319"/>
    <w:rsid w:val="006C5B75"/>
    <w:rsid w:val="006D0884"/>
    <w:rsid w:val="006D2C50"/>
    <w:rsid w:val="006F2312"/>
    <w:rsid w:val="006F5736"/>
    <w:rsid w:val="00700AF7"/>
    <w:rsid w:val="00700CEF"/>
    <w:rsid w:val="00700F7F"/>
    <w:rsid w:val="00701457"/>
    <w:rsid w:val="00710AC3"/>
    <w:rsid w:val="007137A7"/>
    <w:rsid w:val="007145D9"/>
    <w:rsid w:val="00716B57"/>
    <w:rsid w:val="00732836"/>
    <w:rsid w:val="007357CE"/>
    <w:rsid w:val="0074013F"/>
    <w:rsid w:val="00743C29"/>
    <w:rsid w:val="007459DB"/>
    <w:rsid w:val="00751B4F"/>
    <w:rsid w:val="00754937"/>
    <w:rsid w:val="00762F1E"/>
    <w:rsid w:val="00763180"/>
    <w:rsid w:val="00763A5F"/>
    <w:rsid w:val="00764EF3"/>
    <w:rsid w:val="00770B00"/>
    <w:rsid w:val="00771DCE"/>
    <w:rsid w:val="007720C1"/>
    <w:rsid w:val="00775F06"/>
    <w:rsid w:val="00783075"/>
    <w:rsid w:val="00784AA9"/>
    <w:rsid w:val="00787B16"/>
    <w:rsid w:val="00791C91"/>
    <w:rsid w:val="007927C8"/>
    <w:rsid w:val="00795F8F"/>
    <w:rsid w:val="007A5D95"/>
    <w:rsid w:val="007A6D4E"/>
    <w:rsid w:val="007B4CB6"/>
    <w:rsid w:val="007B6799"/>
    <w:rsid w:val="007C1338"/>
    <w:rsid w:val="007C19C1"/>
    <w:rsid w:val="007C342F"/>
    <w:rsid w:val="007C37A5"/>
    <w:rsid w:val="007C3925"/>
    <w:rsid w:val="007C3AB2"/>
    <w:rsid w:val="007C4178"/>
    <w:rsid w:val="007C64D2"/>
    <w:rsid w:val="007D70D8"/>
    <w:rsid w:val="007D7E00"/>
    <w:rsid w:val="007E1850"/>
    <w:rsid w:val="007E5398"/>
    <w:rsid w:val="007F28F6"/>
    <w:rsid w:val="007F7B08"/>
    <w:rsid w:val="00800BAC"/>
    <w:rsid w:val="008026E0"/>
    <w:rsid w:val="00802A54"/>
    <w:rsid w:val="00803675"/>
    <w:rsid w:val="00806E1C"/>
    <w:rsid w:val="008073FE"/>
    <w:rsid w:val="00825BCE"/>
    <w:rsid w:val="00833F79"/>
    <w:rsid w:val="00842C42"/>
    <w:rsid w:val="00844A26"/>
    <w:rsid w:val="00846783"/>
    <w:rsid w:val="008501B0"/>
    <w:rsid w:val="0085244D"/>
    <w:rsid w:val="00853372"/>
    <w:rsid w:val="00853CBF"/>
    <w:rsid w:val="00854E73"/>
    <w:rsid w:val="008578BD"/>
    <w:rsid w:val="00871D78"/>
    <w:rsid w:val="0087272F"/>
    <w:rsid w:val="008748B4"/>
    <w:rsid w:val="008804A0"/>
    <w:rsid w:val="008807CE"/>
    <w:rsid w:val="0088110C"/>
    <w:rsid w:val="00881E6F"/>
    <w:rsid w:val="00885DB8"/>
    <w:rsid w:val="00886937"/>
    <w:rsid w:val="00887C7C"/>
    <w:rsid w:val="00890FA1"/>
    <w:rsid w:val="008A4D85"/>
    <w:rsid w:val="008A7298"/>
    <w:rsid w:val="008A7437"/>
    <w:rsid w:val="008B2554"/>
    <w:rsid w:val="008B4C82"/>
    <w:rsid w:val="008B60E2"/>
    <w:rsid w:val="008B76D9"/>
    <w:rsid w:val="008B7C23"/>
    <w:rsid w:val="008C2346"/>
    <w:rsid w:val="008C3CBB"/>
    <w:rsid w:val="008C4080"/>
    <w:rsid w:val="008C5096"/>
    <w:rsid w:val="008C602A"/>
    <w:rsid w:val="008D31FF"/>
    <w:rsid w:val="008E27C5"/>
    <w:rsid w:val="008E3D78"/>
    <w:rsid w:val="008E4408"/>
    <w:rsid w:val="008E70A1"/>
    <w:rsid w:val="008F210C"/>
    <w:rsid w:val="008F570C"/>
    <w:rsid w:val="00912943"/>
    <w:rsid w:val="00915B9D"/>
    <w:rsid w:val="00922D04"/>
    <w:rsid w:val="00923618"/>
    <w:rsid w:val="00924072"/>
    <w:rsid w:val="009242CA"/>
    <w:rsid w:val="00924842"/>
    <w:rsid w:val="00927B3F"/>
    <w:rsid w:val="009324DA"/>
    <w:rsid w:val="00932B3C"/>
    <w:rsid w:val="009423BC"/>
    <w:rsid w:val="0094779A"/>
    <w:rsid w:val="009557D3"/>
    <w:rsid w:val="009633BF"/>
    <w:rsid w:val="00964D49"/>
    <w:rsid w:val="00965E02"/>
    <w:rsid w:val="009757DA"/>
    <w:rsid w:val="00983C0C"/>
    <w:rsid w:val="00984B97"/>
    <w:rsid w:val="00987326"/>
    <w:rsid w:val="00990A3A"/>
    <w:rsid w:val="00994708"/>
    <w:rsid w:val="009955E4"/>
    <w:rsid w:val="009961F0"/>
    <w:rsid w:val="009A3830"/>
    <w:rsid w:val="009B1F01"/>
    <w:rsid w:val="009B3D2D"/>
    <w:rsid w:val="009B43C3"/>
    <w:rsid w:val="009B446E"/>
    <w:rsid w:val="009B5FAC"/>
    <w:rsid w:val="009C7959"/>
    <w:rsid w:val="009D6C64"/>
    <w:rsid w:val="009D7B69"/>
    <w:rsid w:val="009E5E63"/>
    <w:rsid w:val="009F00E1"/>
    <w:rsid w:val="009F0115"/>
    <w:rsid w:val="009F0E17"/>
    <w:rsid w:val="009F3A9C"/>
    <w:rsid w:val="00A032BA"/>
    <w:rsid w:val="00A05E97"/>
    <w:rsid w:val="00A06EFE"/>
    <w:rsid w:val="00A07B57"/>
    <w:rsid w:val="00A136B5"/>
    <w:rsid w:val="00A15FB4"/>
    <w:rsid w:val="00A22378"/>
    <w:rsid w:val="00A243D7"/>
    <w:rsid w:val="00A26C93"/>
    <w:rsid w:val="00A421B9"/>
    <w:rsid w:val="00A46412"/>
    <w:rsid w:val="00A70E34"/>
    <w:rsid w:val="00A75B56"/>
    <w:rsid w:val="00A81950"/>
    <w:rsid w:val="00A82E00"/>
    <w:rsid w:val="00A84CB3"/>
    <w:rsid w:val="00A86374"/>
    <w:rsid w:val="00A911E2"/>
    <w:rsid w:val="00A93FA1"/>
    <w:rsid w:val="00A94F25"/>
    <w:rsid w:val="00A976F0"/>
    <w:rsid w:val="00AA1232"/>
    <w:rsid w:val="00AA2C1C"/>
    <w:rsid w:val="00AA6022"/>
    <w:rsid w:val="00AC722B"/>
    <w:rsid w:val="00AE28DF"/>
    <w:rsid w:val="00AF27DA"/>
    <w:rsid w:val="00AF7440"/>
    <w:rsid w:val="00AF7AB9"/>
    <w:rsid w:val="00B001A4"/>
    <w:rsid w:val="00B00AD0"/>
    <w:rsid w:val="00B04B3A"/>
    <w:rsid w:val="00B0720D"/>
    <w:rsid w:val="00B07384"/>
    <w:rsid w:val="00B07D30"/>
    <w:rsid w:val="00B13666"/>
    <w:rsid w:val="00B16C57"/>
    <w:rsid w:val="00B20430"/>
    <w:rsid w:val="00B3328E"/>
    <w:rsid w:val="00B35BF8"/>
    <w:rsid w:val="00B40F61"/>
    <w:rsid w:val="00B413B5"/>
    <w:rsid w:val="00B42E2E"/>
    <w:rsid w:val="00B47331"/>
    <w:rsid w:val="00B5007F"/>
    <w:rsid w:val="00B50BC2"/>
    <w:rsid w:val="00B5385E"/>
    <w:rsid w:val="00B55894"/>
    <w:rsid w:val="00B56F18"/>
    <w:rsid w:val="00B5777B"/>
    <w:rsid w:val="00B700CC"/>
    <w:rsid w:val="00B71473"/>
    <w:rsid w:val="00B72505"/>
    <w:rsid w:val="00B75FC5"/>
    <w:rsid w:val="00B811AD"/>
    <w:rsid w:val="00B81D0C"/>
    <w:rsid w:val="00B8472E"/>
    <w:rsid w:val="00B84D01"/>
    <w:rsid w:val="00B85C3B"/>
    <w:rsid w:val="00B91FD3"/>
    <w:rsid w:val="00B93DFF"/>
    <w:rsid w:val="00BA36D3"/>
    <w:rsid w:val="00BA68C3"/>
    <w:rsid w:val="00BB2FBF"/>
    <w:rsid w:val="00BB34BF"/>
    <w:rsid w:val="00BB7790"/>
    <w:rsid w:val="00BB7BC8"/>
    <w:rsid w:val="00BC07B3"/>
    <w:rsid w:val="00BC1020"/>
    <w:rsid w:val="00BC2C06"/>
    <w:rsid w:val="00BD28B6"/>
    <w:rsid w:val="00BD403E"/>
    <w:rsid w:val="00BD4058"/>
    <w:rsid w:val="00BD762E"/>
    <w:rsid w:val="00BE2D8C"/>
    <w:rsid w:val="00BE3909"/>
    <w:rsid w:val="00BF376E"/>
    <w:rsid w:val="00BF410D"/>
    <w:rsid w:val="00BF46A1"/>
    <w:rsid w:val="00C0219F"/>
    <w:rsid w:val="00C02855"/>
    <w:rsid w:val="00C060A7"/>
    <w:rsid w:val="00C165BC"/>
    <w:rsid w:val="00C16A74"/>
    <w:rsid w:val="00C257B8"/>
    <w:rsid w:val="00C3243A"/>
    <w:rsid w:val="00C47AAE"/>
    <w:rsid w:val="00C5020F"/>
    <w:rsid w:val="00C52869"/>
    <w:rsid w:val="00C55C79"/>
    <w:rsid w:val="00C608B9"/>
    <w:rsid w:val="00C60BCA"/>
    <w:rsid w:val="00C64514"/>
    <w:rsid w:val="00C65662"/>
    <w:rsid w:val="00C6595F"/>
    <w:rsid w:val="00C81A1B"/>
    <w:rsid w:val="00C83CB5"/>
    <w:rsid w:val="00C92040"/>
    <w:rsid w:val="00CA1206"/>
    <w:rsid w:val="00CA1913"/>
    <w:rsid w:val="00CA205F"/>
    <w:rsid w:val="00CA714C"/>
    <w:rsid w:val="00CB3E11"/>
    <w:rsid w:val="00CB6A3C"/>
    <w:rsid w:val="00CD2BD4"/>
    <w:rsid w:val="00CD2D45"/>
    <w:rsid w:val="00CD30AA"/>
    <w:rsid w:val="00CD3E65"/>
    <w:rsid w:val="00CD4175"/>
    <w:rsid w:val="00D071FC"/>
    <w:rsid w:val="00D15D6A"/>
    <w:rsid w:val="00D20D2E"/>
    <w:rsid w:val="00D21CE3"/>
    <w:rsid w:val="00D22920"/>
    <w:rsid w:val="00D2703B"/>
    <w:rsid w:val="00D34FAA"/>
    <w:rsid w:val="00D351C0"/>
    <w:rsid w:val="00D36924"/>
    <w:rsid w:val="00D37D9B"/>
    <w:rsid w:val="00D46C73"/>
    <w:rsid w:val="00D548ED"/>
    <w:rsid w:val="00D54E0F"/>
    <w:rsid w:val="00D645A0"/>
    <w:rsid w:val="00D65130"/>
    <w:rsid w:val="00D67B97"/>
    <w:rsid w:val="00D801A9"/>
    <w:rsid w:val="00D80BC2"/>
    <w:rsid w:val="00D80BD3"/>
    <w:rsid w:val="00D94267"/>
    <w:rsid w:val="00DA3261"/>
    <w:rsid w:val="00DA606E"/>
    <w:rsid w:val="00DA6B07"/>
    <w:rsid w:val="00DA757C"/>
    <w:rsid w:val="00DB0B41"/>
    <w:rsid w:val="00DB0B76"/>
    <w:rsid w:val="00DB2953"/>
    <w:rsid w:val="00DB385C"/>
    <w:rsid w:val="00DC4F7C"/>
    <w:rsid w:val="00DD4E30"/>
    <w:rsid w:val="00DE20D1"/>
    <w:rsid w:val="00DE35B2"/>
    <w:rsid w:val="00DE58CF"/>
    <w:rsid w:val="00DF2B0B"/>
    <w:rsid w:val="00DF3D58"/>
    <w:rsid w:val="00E004AB"/>
    <w:rsid w:val="00E02D1C"/>
    <w:rsid w:val="00E12DF9"/>
    <w:rsid w:val="00E2129A"/>
    <w:rsid w:val="00E23993"/>
    <w:rsid w:val="00E245D9"/>
    <w:rsid w:val="00E27C02"/>
    <w:rsid w:val="00E31966"/>
    <w:rsid w:val="00E32B76"/>
    <w:rsid w:val="00E55AF0"/>
    <w:rsid w:val="00E602BF"/>
    <w:rsid w:val="00E645CA"/>
    <w:rsid w:val="00E662AB"/>
    <w:rsid w:val="00E66F44"/>
    <w:rsid w:val="00E7048F"/>
    <w:rsid w:val="00E74160"/>
    <w:rsid w:val="00E76CF8"/>
    <w:rsid w:val="00E813E4"/>
    <w:rsid w:val="00E854B2"/>
    <w:rsid w:val="00E86472"/>
    <w:rsid w:val="00E86CD6"/>
    <w:rsid w:val="00E90CDC"/>
    <w:rsid w:val="00EA0BB8"/>
    <w:rsid w:val="00EA26AE"/>
    <w:rsid w:val="00EA472A"/>
    <w:rsid w:val="00EB4D4D"/>
    <w:rsid w:val="00EB4D8D"/>
    <w:rsid w:val="00EC229A"/>
    <w:rsid w:val="00ED7103"/>
    <w:rsid w:val="00EE01F7"/>
    <w:rsid w:val="00EE02EA"/>
    <w:rsid w:val="00EE3B33"/>
    <w:rsid w:val="00EE5564"/>
    <w:rsid w:val="00EE5FDF"/>
    <w:rsid w:val="00EE79EF"/>
    <w:rsid w:val="00EE7AFF"/>
    <w:rsid w:val="00EF32C6"/>
    <w:rsid w:val="00EF4C03"/>
    <w:rsid w:val="00EF5388"/>
    <w:rsid w:val="00F014D2"/>
    <w:rsid w:val="00F04025"/>
    <w:rsid w:val="00F06F1C"/>
    <w:rsid w:val="00F215EA"/>
    <w:rsid w:val="00F21E8E"/>
    <w:rsid w:val="00F34F9C"/>
    <w:rsid w:val="00F359A3"/>
    <w:rsid w:val="00F43B4E"/>
    <w:rsid w:val="00F45862"/>
    <w:rsid w:val="00F4599C"/>
    <w:rsid w:val="00F47B6F"/>
    <w:rsid w:val="00F54E44"/>
    <w:rsid w:val="00F5597E"/>
    <w:rsid w:val="00F60569"/>
    <w:rsid w:val="00F606E6"/>
    <w:rsid w:val="00F61ABB"/>
    <w:rsid w:val="00F62876"/>
    <w:rsid w:val="00F63763"/>
    <w:rsid w:val="00F64AB3"/>
    <w:rsid w:val="00F716FF"/>
    <w:rsid w:val="00F71A82"/>
    <w:rsid w:val="00F739CA"/>
    <w:rsid w:val="00F746CB"/>
    <w:rsid w:val="00F82CFE"/>
    <w:rsid w:val="00F83AA3"/>
    <w:rsid w:val="00F83EC4"/>
    <w:rsid w:val="00F870E2"/>
    <w:rsid w:val="00F91D47"/>
    <w:rsid w:val="00F96567"/>
    <w:rsid w:val="00F97669"/>
    <w:rsid w:val="00F97913"/>
    <w:rsid w:val="00FA03B8"/>
    <w:rsid w:val="00FA472B"/>
    <w:rsid w:val="00FA7CB6"/>
    <w:rsid w:val="00FB14B4"/>
    <w:rsid w:val="00FB6A85"/>
    <w:rsid w:val="00FC0084"/>
    <w:rsid w:val="00FC254A"/>
    <w:rsid w:val="00FC44B6"/>
    <w:rsid w:val="00FC56B5"/>
    <w:rsid w:val="00FC76BD"/>
    <w:rsid w:val="00FD04A2"/>
    <w:rsid w:val="00FD4503"/>
    <w:rsid w:val="00FE5F33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DE927"/>
  <w15:docId w15:val="{780CC6D1-D7BB-4CFD-9915-3E6A3958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A7"/>
    <w:pPr>
      <w:widowControl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AA3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212CE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12CED"/>
  </w:style>
  <w:style w:type="paragraph" w:styleId="Footer">
    <w:name w:val="footer"/>
    <w:basedOn w:val="Normal"/>
    <w:link w:val="FooterChar"/>
    <w:uiPriority w:val="99"/>
    <w:unhideWhenUsed/>
    <w:rsid w:val="00212CE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12CED"/>
  </w:style>
  <w:style w:type="character" w:styleId="Hyperlink">
    <w:name w:val="Hyperlink"/>
    <w:basedOn w:val="DefaultParagraphFont"/>
    <w:uiPriority w:val="99"/>
    <w:unhideWhenUsed/>
    <w:rsid w:val="00F83E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EC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351118"/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D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6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894"/>
  </w:style>
  <w:style w:type="character" w:styleId="UnresolvedMention">
    <w:name w:val="Unresolved Mention"/>
    <w:basedOn w:val="DefaultParagraphFont"/>
    <w:uiPriority w:val="99"/>
    <w:semiHidden/>
    <w:unhideWhenUsed/>
    <w:rsid w:val="00BE390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7459D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99A51B52-1600-4342-8EDD-AEA929572042}">
  <we:reference id="wa104041485" version="1.1.1.0" store="en-US" storeType="omex"/>
  <we:alternateReferences>
    <we:reference id="wa104041485" version="1.1.1.0" store="wa104041485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F75D1FA-A6F0-43FE-B3BF-4CB22DB77F14}">
  <we:reference id="wa200001361" version="2.2.1.0" store="ja-JP" storeType="omex"/>
  <we:alternateReferences>
    <we:reference id="wa200001361" version="2.2.1.0" store="wa200001361" storeType="omex"/>
  </we:alternateReferences>
  <we:properties>
    <we:property name="paperpal-document-id" value="&quot;7135f5c0-b0d9-4243-b42f-db4ccc80a308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729C-DEEC-4184-84C0-D3A27D76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Y.YANAGIHARA</dc:creator>
  <cp:lastModifiedBy>BJN</cp:lastModifiedBy>
  <cp:revision>2</cp:revision>
  <cp:lastPrinted>2024-01-18T00:56:00Z</cp:lastPrinted>
  <dcterms:created xsi:type="dcterms:W3CDTF">2025-01-13T10:36:00Z</dcterms:created>
  <dcterms:modified xsi:type="dcterms:W3CDTF">2025-01-13T10:36:00Z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0153f33151f495016b84059ac72a26acf5732dcbd2eba3b3cf1a4cd74d41083a</vt:lpwstr>
  </property>
</Properties>
</file>