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925E" w14:textId="77777777" w:rsidR="00BA69B8" w:rsidRDefault="00BA69B8" w:rsidP="00BA69B8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>Supplementary Material</w:t>
      </w:r>
    </w:p>
    <w:p w14:paraId="2F37D8CC" w14:textId="77777777" w:rsidR="00BA69B8" w:rsidRDefault="00BA69B8" w:rsidP="00BA69B8">
      <w:r>
        <w:t xml:space="preserve">Military ranks were categorised according to guidance regarding the Armed Forces Pension Scheme </w:t>
      </w:r>
      <w:r>
        <w:fldChar w:fldCharType="begin"/>
      </w:r>
      <w:r>
        <w:instrText xml:space="preserve"> ADDIN EN.CITE &lt;EndNote&gt;&lt;Cite&gt;&lt;Author&gt;Ministry of Defence&lt;/Author&gt;&lt;Year&gt;2019&lt;/Year&gt;&lt;RecNum&gt;91&lt;/RecNum&gt;&lt;DisplayText&gt;(35)&lt;/DisplayText&gt;&lt;record&gt;&lt;rec-number&gt;91&lt;/rec-number&gt;&lt;foreign-keys&gt;&lt;key app="EN" db-id="9f5zwzvx0dx0z1exr595ddswavprszf5pfzr" timestamp="1692888630"&gt;91&lt;/key&gt;&lt;/foreign-keys&gt;&lt;ref-type name="Web Page"&gt;12&lt;/ref-type&gt;&lt;contributors&gt;&lt;authors&gt;&lt;author&gt;Ministry of Defence,&lt;/author&gt;&lt;/authors&gt;&lt;/contributors&gt;&lt;titles&gt;&lt;title&gt;Key to Rank codes April 2019&lt;/title&gt;&lt;/titles&gt;&lt;dates&gt;&lt;year&gt;2019&lt;/year&gt;&lt;/dates&gt;&lt;urls&gt;&lt;related-urls&gt;&lt;url&gt;https://www.gov.uk/government/publications/tri-service-pension-codes-april-2019/key-to-rank-codes-april-2019&lt;/url&gt;&lt;/related-urls&gt;&lt;/urls&gt;&lt;/record&gt;&lt;/Cite&gt;&lt;/EndNote&gt;</w:instrText>
      </w:r>
      <w:r>
        <w:fldChar w:fldCharType="separate"/>
      </w:r>
      <w:r>
        <w:rPr>
          <w:noProof/>
        </w:rPr>
        <w:t>(35)</w:t>
      </w:r>
      <w:r>
        <w:fldChar w:fldCharType="end"/>
      </w:r>
      <w:r>
        <w:t>. By using this measure, a veteran’s rank at the time of leaving service provided a proxy measure for educational status and an indication of military pensions being received. Higher ranks not included in this guidance (</w:t>
      </w:r>
      <w:proofErr w:type="gramStart"/>
      <w:r>
        <w:t>e.g.</w:t>
      </w:r>
      <w:proofErr w:type="gramEnd"/>
      <w:r>
        <w:t xml:space="preserve"> starred ranks) were incorporated into the senior officer category due to limited numbers and to ensure anonymity. </w:t>
      </w:r>
    </w:p>
    <w:p w14:paraId="0C84C9E0" w14:textId="77777777" w:rsidR="00BA69B8" w:rsidRDefault="00BA69B8" w:rsidP="00BA69B8">
      <w:pPr>
        <w:rPr>
          <w:b/>
          <w:bCs/>
        </w:rPr>
      </w:pPr>
      <w:r>
        <w:rPr>
          <w:b/>
          <w:bCs/>
        </w:rPr>
        <w:t xml:space="preserve">Table 2. </w:t>
      </w:r>
    </w:p>
    <w:p w14:paraId="5D415FF4" w14:textId="77777777" w:rsidR="00BA69B8" w:rsidRDefault="00BA69B8" w:rsidP="00BA69B8">
      <w:pPr>
        <w:rPr>
          <w:i/>
          <w:iCs/>
        </w:rPr>
      </w:pPr>
      <w:r>
        <w:rPr>
          <w:i/>
          <w:iCs/>
        </w:rPr>
        <w:t>Overview of rank categorisation for analysis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1178"/>
        <w:gridCol w:w="1537"/>
        <w:gridCol w:w="3092"/>
        <w:gridCol w:w="3260"/>
      </w:tblGrid>
      <w:tr w:rsidR="00BA69B8" w14:paraId="1F0C853A" w14:textId="77777777" w:rsidTr="00BA69B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FBB8" w14:textId="77777777" w:rsidR="00BA69B8" w:rsidRDefault="00BA69B8">
            <w:pPr>
              <w:spacing w:line="268" w:lineRule="auto"/>
              <w:rPr>
                <w:b/>
                <w:bCs/>
              </w:rPr>
            </w:pPr>
            <w:r>
              <w:rPr>
                <w:b/>
                <w:bCs/>
              </w:rPr>
              <w:t>Binary Variable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80C9" w14:textId="77777777" w:rsidR="00BA69B8" w:rsidRDefault="00BA69B8">
            <w:pPr>
              <w:spacing w:line="268" w:lineRule="auto"/>
              <w:rPr>
                <w:b/>
                <w:bCs/>
              </w:rPr>
            </w:pPr>
            <w:r>
              <w:rPr>
                <w:b/>
                <w:bCs/>
              </w:rPr>
              <w:t>Categorical Variable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68AD" w14:textId="77777777" w:rsidR="00BA69B8" w:rsidRDefault="00BA69B8">
            <w:pPr>
              <w:spacing w:line="268" w:lineRule="auto"/>
              <w:rPr>
                <w:b/>
                <w:bCs/>
              </w:rPr>
            </w:pPr>
            <w:r>
              <w:rPr>
                <w:b/>
                <w:bCs/>
              </w:rPr>
              <w:t>NATO Rank 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7D87" w14:textId="77777777" w:rsidR="00BA69B8" w:rsidRDefault="00BA69B8">
            <w:pPr>
              <w:spacing w:line="268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Included ranks across all services</w:t>
            </w:r>
          </w:p>
        </w:tc>
      </w:tr>
      <w:tr w:rsidR="00BA69B8" w14:paraId="7125D3CD" w14:textId="77777777" w:rsidTr="00BA69B8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CC1A" w14:textId="77777777" w:rsidR="00BA69B8" w:rsidRDefault="00BA69B8">
            <w:pPr>
              <w:spacing w:line="268" w:lineRule="auto"/>
            </w:pPr>
            <w:r>
              <w:t>Nonofficer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C69A" w14:textId="77777777" w:rsidR="00BA69B8" w:rsidRDefault="00BA69B8">
            <w:pPr>
              <w:spacing w:line="268" w:lineRule="auto"/>
              <w:jc w:val="left"/>
            </w:pPr>
            <w:r>
              <w:t>Junior Rank Rate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F4E2" w14:textId="77777777" w:rsidR="00BA69B8" w:rsidRDefault="00BA69B8">
            <w:pPr>
              <w:spacing w:line="268" w:lineRule="auto"/>
            </w:pPr>
            <w:r>
              <w:t>OR3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7484" w14:textId="77777777" w:rsidR="00BA69B8" w:rsidRDefault="00BA69B8">
            <w:pPr>
              <w:spacing w:line="268" w:lineRule="auto"/>
              <w:jc w:val="left"/>
            </w:pPr>
            <w:r>
              <w:t>Able Rate 1, Able Rate 2, Aircraftman, Marine, Private</w:t>
            </w:r>
          </w:p>
        </w:tc>
      </w:tr>
      <w:tr w:rsidR="00BA69B8" w14:paraId="5E7888D2" w14:textId="77777777" w:rsidTr="00BA69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563C" w14:textId="77777777" w:rsidR="00BA69B8" w:rsidRDefault="00BA69B8">
            <w:pPr>
              <w:spacing w:line="240" w:lineRule="auto"/>
              <w:jc w:val="left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11E4" w14:textId="77777777" w:rsidR="00BA69B8" w:rsidRDefault="00BA69B8">
            <w:pPr>
              <w:spacing w:line="268" w:lineRule="auto"/>
              <w:jc w:val="left"/>
            </w:pPr>
            <w:r>
              <w:t>Junior Non-Commissioned Officer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265B" w14:textId="77777777" w:rsidR="00BA69B8" w:rsidRDefault="00BA69B8">
            <w:pPr>
              <w:spacing w:line="268" w:lineRule="auto"/>
            </w:pPr>
            <w:r>
              <w:t>OR4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3253" w14:textId="77777777" w:rsidR="00BA69B8" w:rsidRDefault="00BA69B8">
            <w:pPr>
              <w:spacing w:line="268" w:lineRule="auto"/>
              <w:jc w:val="left"/>
            </w:pPr>
            <w:r>
              <w:t>Lance Corporal, Leading Aircraftman</w:t>
            </w:r>
          </w:p>
          <w:p w14:paraId="3B8E55A6" w14:textId="77777777" w:rsidR="00BA69B8" w:rsidRDefault="00BA69B8">
            <w:pPr>
              <w:spacing w:line="268" w:lineRule="auto"/>
              <w:jc w:val="left"/>
            </w:pPr>
            <w:r>
              <w:t>Corporal, Senior Aircraftman, Leading Rating</w:t>
            </w:r>
          </w:p>
        </w:tc>
      </w:tr>
      <w:tr w:rsidR="00BA69B8" w14:paraId="1ABE4752" w14:textId="77777777" w:rsidTr="00BA69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DBC5" w14:textId="77777777" w:rsidR="00BA69B8" w:rsidRDefault="00BA69B8">
            <w:pPr>
              <w:spacing w:line="240" w:lineRule="auto"/>
              <w:jc w:val="left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FB98" w14:textId="77777777" w:rsidR="00BA69B8" w:rsidRDefault="00BA69B8">
            <w:pPr>
              <w:spacing w:line="268" w:lineRule="auto"/>
              <w:jc w:val="left"/>
            </w:pPr>
            <w:r>
              <w:t>Senior Non-commissioned Officer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C6B1" w14:textId="77777777" w:rsidR="00BA69B8" w:rsidRDefault="00BA69B8">
            <w:pPr>
              <w:spacing w:line="268" w:lineRule="auto"/>
            </w:pPr>
            <w:r>
              <w:t>OR6 to OR9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514A" w14:textId="77777777" w:rsidR="00BA69B8" w:rsidRDefault="00BA69B8">
            <w:pPr>
              <w:spacing w:line="268" w:lineRule="auto"/>
              <w:jc w:val="left"/>
            </w:pPr>
            <w:r>
              <w:t>Chief Technician, Petty Officer, Sergeant, Chief Petty Officer, Colour Sergeant, Staff Sergeant, Flight Sergeant, Warrant Officer 2, Command Sergeant Major, Staff Sergeant Major, Warrant Officer 1, Regimental Sergeant Major</w:t>
            </w:r>
          </w:p>
        </w:tc>
      </w:tr>
      <w:tr w:rsidR="00BA69B8" w14:paraId="09BA7041" w14:textId="77777777" w:rsidTr="00BA69B8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DA8D" w14:textId="77777777" w:rsidR="00BA69B8" w:rsidRDefault="00BA69B8">
            <w:pPr>
              <w:spacing w:line="268" w:lineRule="auto"/>
            </w:pPr>
            <w:r>
              <w:t>Officer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0AD2" w14:textId="77777777" w:rsidR="00BA69B8" w:rsidRDefault="00BA69B8">
            <w:pPr>
              <w:spacing w:line="268" w:lineRule="auto"/>
            </w:pPr>
            <w:r>
              <w:t>Junior Officer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EB97" w14:textId="77777777" w:rsidR="00BA69B8" w:rsidRDefault="00BA69B8">
            <w:pPr>
              <w:spacing w:line="268" w:lineRule="auto"/>
            </w:pPr>
            <w:r>
              <w:t>OF2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B667" w14:textId="77777777" w:rsidR="00BA69B8" w:rsidRDefault="00BA69B8">
            <w:pPr>
              <w:spacing w:line="268" w:lineRule="auto"/>
              <w:jc w:val="left"/>
            </w:pPr>
            <w:r>
              <w:t>Captain (army), Flight Lieutenant, Lieutenant, Sub-Lieutenant</w:t>
            </w:r>
          </w:p>
        </w:tc>
      </w:tr>
      <w:tr w:rsidR="00BA69B8" w14:paraId="22E31CAD" w14:textId="77777777" w:rsidTr="00BA69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1121" w14:textId="77777777" w:rsidR="00BA69B8" w:rsidRDefault="00BA69B8">
            <w:pPr>
              <w:spacing w:line="240" w:lineRule="auto"/>
              <w:jc w:val="left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FC94" w14:textId="77777777" w:rsidR="00BA69B8" w:rsidRDefault="00BA69B8">
            <w:pPr>
              <w:spacing w:line="268" w:lineRule="auto"/>
            </w:pPr>
            <w:r>
              <w:t>Senior Officer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6838" w14:textId="77777777" w:rsidR="00BA69B8" w:rsidRDefault="00BA69B8">
            <w:pPr>
              <w:spacing w:line="268" w:lineRule="auto"/>
            </w:pPr>
            <w:r>
              <w:t>OF3 to OF6 and above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1DDC" w14:textId="77777777" w:rsidR="00BA69B8" w:rsidRDefault="00BA69B8">
            <w:pPr>
              <w:spacing w:line="268" w:lineRule="auto"/>
              <w:jc w:val="left"/>
            </w:pPr>
            <w:r>
              <w:t xml:space="preserve">Lieutenant Commander, Major, Squadron Leader, </w:t>
            </w:r>
          </w:p>
          <w:p w14:paraId="238D61E2" w14:textId="77777777" w:rsidR="00BA69B8" w:rsidRDefault="00BA69B8">
            <w:pPr>
              <w:spacing w:line="268" w:lineRule="auto"/>
              <w:jc w:val="left"/>
            </w:pPr>
            <w:r>
              <w:t xml:space="preserve">Commander, Lieutenant Colonel, Wing Commander, </w:t>
            </w:r>
          </w:p>
          <w:p w14:paraId="01F0D03B" w14:textId="77777777" w:rsidR="00BA69B8" w:rsidRDefault="00BA69B8">
            <w:pPr>
              <w:spacing w:line="268" w:lineRule="auto"/>
              <w:jc w:val="left"/>
            </w:pPr>
            <w:r>
              <w:t>Captain, Colonel, Group Captain, Commodore Brigadier, Air Commodore</w:t>
            </w:r>
          </w:p>
          <w:p w14:paraId="0E711298" w14:textId="77777777" w:rsidR="00BA69B8" w:rsidRDefault="00BA69B8">
            <w:pPr>
              <w:spacing w:line="268" w:lineRule="auto"/>
              <w:jc w:val="left"/>
            </w:pPr>
            <w:r>
              <w:t>Admiral, General, Air Marshal</w:t>
            </w:r>
          </w:p>
        </w:tc>
      </w:tr>
    </w:tbl>
    <w:p w14:paraId="7DCFDFF3" w14:textId="77777777" w:rsidR="00BA69B8" w:rsidRDefault="00BA69B8" w:rsidP="00BA69B8"/>
    <w:p w14:paraId="10B75A6E" w14:textId="77777777" w:rsidR="002F75A3" w:rsidRDefault="002F75A3"/>
    <w:sectPr w:rsidR="002F7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B8"/>
    <w:rsid w:val="0008537F"/>
    <w:rsid w:val="001176B1"/>
    <w:rsid w:val="001814E7"/>
    <w:rsid w:val="00184C67"/>
    <w:rsid w:val="001A324D"/>
    <w:rsid w:val="001D690D"/>
    <w:rsid w:val="00225222"/>
    <w:rsid w:val="002557BE"/>
    <w:rsid w:val="002F75A3"/>
    <w:rsid w:val="003668E5"/>
    <w:rsid w:val="00393FA4"/>
    <w:rsid w:val="004F06FB"/>
    <w:rsid w:val="004F53FC"/>
    <w:rsid w:val="0050652A"/>
    <w:rsid w:val="0053104A"/>
    <w:rsid w:val="00566C74"/>
    <w:rsid w:val="0058458B"/>
    <w:rsid w:val="005C06C9"/>
    <w:rsid w:val="005C41C6"/>
    <w:rsid w:val="00696916"/>
    <w:rsid w:val="00705821"/>
    <w:rsid w:val="007B3D88"/>
    <w:rsid w:val="007E11C1"/>
    <w:rsid w:val="008E4082"/>
    <w:rsid w:val="00A37B2F"/>
    <w:rsid w:val="00B00F91"/>
    <w:rsid w:val="00B9653D"/>
    <w:rsid w:val="00BA69B8"/>
    <w:rsid w:val="00C25724"/>
    <w:rsid w:val="00CD1452"/>
    <w:rsid w:val="00D10E36"/>
    <w:rsid w:val="00DD14EB"/>
    <w:rsid w:val="00E4209E"/>
    <w:rsid w:val="00E5229D"/>
    <w:rsid w:val="00FB391D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5B4A4"/>
  <w15:chartTrackingRefBased/>
  <w15:docId w15:val="{D14996DB-011D-4579-892E-5FE3F8C5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B8"/>
    <w:pPr>
      <w:spacing w:line="48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B8"/>
    <w:pPr>
      <w:keepNext/>
      <w:keepLines/>
      <w:spacing w:after="240"/>
      <w:outlineLvl w:val="0"/>
    </w:pPr>
    <w:rPr>
      <w:rFonts w:eastAsiaTheme="majorEastAsia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B8"/>
    <w:rPr>
      <w:rFonts w:ascii="Times New Roman" w:eastAsiaTheme="majorEastAsia" w:hAnsi="Times New Roman" w:cstheme="majorBidi"/>
      <w:sz w:val="24"/>
      <w:szCs w:val="32"/>
    </w:rPr>
  </w:style>
  <w:style w:type="table" w:styleId="TableGrid">
    <w:name w:val="Table Grid"/>
    <w:basedOn w:val="TableNormal"/>
    <w:uiPriority w:val="39"/>
    <w:rsid w:val="00BA69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F349249DD4D948891BE995446FFD5A" ma:contentTypeVersion="17" ma:contentTypeDescription="Creare un nuovo documento." ma:contentTypeScope="" ma:versionID="155bebc7643683f863f73872e79e7ee2">
  <xsd:schema xmlns:xsd="http://www.w3.org/2001/XMLSchema" xmlns:xs="http://www.w3.org/2001/XMLSchema" xmlns:p="http://schemas.microsoft.com/office/2006/metadata/properties" xmlns:ns2="26537088-027e-4e4a-8b2d-598ca6e257fe" xmlns:ns3="9aa3aea7-3335-4f9d-af56-5b4c7fee10f7" targetNamespace="http://schemas.microsoft.com/office/2006/metadata/properties" ma:root="true" ma:fieldsID="ca99d8bc5dea2484135d88c4b6f2e30a" ns2:_="" ns3:_="">
    <xsd:import namespace="26537088-027e-4e4a-8b2d-598ca6e257fe"/>
    <xsd:import namespace="9aa3aea7-3335-4f9d-af56-5b4c7fee1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7088-027e-4e4a-8b2d-598ca6e25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beb059ca-7a6c-48b4-989a-ff4079574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3aea7-3335-4f9d-af56-5b4c7fee1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5ecf56-06d5-446a-b3a3-79f2d6a62183}" ma:internalName="TaxCatchAll" ma:showField="CatchAllData" ma:web="9aa3aea7-3335-4f9d-af56-5b4c7fee1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3aea7-3335-4f9d-af56-5b4c7fee10f7" xsi:nil="true"/>
    <lcf76f155ced4ddcb4097134ff3c332f xmlns="26537088-027e-4e4a-8b2d-598ca6e257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D15D1-2E3B-4114-BEC5-DC8F3BFCF5FA}"/>
</file>

<file path=customXml/itemProps2.xml><?xml version="1.0" encoding="utf-8"?>
<ds:datastoreItem xmlns:ds="http://schemas.openxmlformats.org/officeDocument/2006/customXml" ds:itemID="{1BBDA474-EED5-4583-8917-173CB43C2F13}"/>
</file>

<file path=customXml/itemProps3.xml><?xml version="1.0" encoding="utf-8"?>
<ds:datastoreItem xmlns:ds="http://schemas.openxmlformats.org/officeDocument/2006/customXml" ds:itemID="{3855BFDD-E33A-4FA8-B1F5-8E71DEBE32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1811</Characters>
  <Application>Microsoft Office Word</Application>
  <DocSecurity>0</DocSecurity>
  <Lines>90</Lines>
  <Paragraphs>49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Johnson</dc:creator>
  <cp:keywords/>
  <dc:description/>
  <cp:lastModifiedBy>Amy Johnson</cp:lastModifiedBy>
  <cp:revision>2</cp:revision>
  <dcterms:created xsi:type="dcterms:W3CDTF">2023-10-31T15:52:00Z</dcterms:created>
  <dcterms:modified xsi:type="dcterms:W3CDTF">2023-10-31T15:52:00Z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658b31d7-cd8e-4bbe-bfe1-529e78e71cda</vt:lpwstr>
  </property>
  <property fmtid="{D5CDD505-2E9C-101B-9397-08002B2CF9AE}" pid="3" name="ContentTypeId">
    <vt:lpwstr>0x010100B3F349249DD4D948891BE995446FFD5A</vt:lpwstr>
  </property>
</Properties>
</file>