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4FDD8" w14:textId="77777777" w:rsidR="007D7B26" w:rsidRDefault="007D7B26" w:rsidP="006D1CC9">
      <w:pPr>
        <w:pStyle w:val="NormalWeb"/>
        <w:spacing w:after="240"/>
        <w:ind w:right="-613"/>
        <w:jc w:val="both"/>
        <w:rPr>
          <w:b/>
          <w:bCs/>
          <w:sz w:val="22"/>
          <w:szCs w:val="22"/>
        </w:rPr>
      </w:pPr>
    </w:p>
    <w:p w14:paraId="534679CF" w14:textId="7B16FB49" w:rsidR="007D7B26" w:rsidRPr="00ED2E0F" w:rsidRDefault="00932B7F" w:rsidP="007D7B26">
      <w:pPr>
        <w:pStyle w:val="NormalWeb"/>
        <w:spacing w:after="240"/>
        <w:ind w:left="-567" w:right="-613"/>
        <w:jc w:val="both"/>
        <w:rPr>
          <w:sz w:val="22"/>
          <w:szCs w:val="22"/>
        </w:rPr>
      </w:pPr>
      <w:r w:rsidRPr="00ED2E0F">
        <w:rPr>
          <w:b/>
          <w:bCs/>
          <w:sz w:val="22"/>
          <w:szCs w:val="22"/>
        </w:rPr>
        <w:t>Annex 1</w:t>
      </w:r>
      <w:r w:rsidR="007D7B26" w:rsidRPr="00ED2E0F">
        <w:rPr>
          <w:sz w:val="22"/>
          <w:szCs w:val="22"/>
        </w:rPr>
        <w:t xml:space="preserve"> </w:t>
      </w:r>
      <w:r w:rsidR="006D1CC9">
        <w:rPr>
          <w:sz w:val="22"/>
          <w:szCs w:val="22"/>
        </w:rPr>
        <w:t xml:space="preserve"> </w:t>
      </w:r>
      <w:r w:rsidR="007D7B26" w:rsidRPr="00ED2E0F">
        <w:rPr>
          <w:sz w:val="22"/>
          <w:szCs w:val="22"/>
        </w:rPr>
        <w:t xml:space="preserve">Assessing the </w:t>
      </w:r>
      <w:r w:rsidR="006D1CC9">
        <w:rPr>
          <w:sz w:val="22"/>
          <w:szCs w:val="22"/>
        </w:rPr>
        <w:t>H</w:t>
      </w:r>
      <w:r w:rsidR="006D1CC9" w:rsidRPr="00ED2E0F">
        <w:rPr>
          <w:sz w:val="22"/>
          <w:szCs w:val="22"/>
        </w:rPr>
        <w:t xml:space="preserve">ardness </w:t>
      </w:r>
      <w:r w:rsidR="007D7B26" w:rsidRPr="00ED2E0F">
        <w:rPr>
          <w:sz w:val="22"/>
          <w:szCs w:val="22"/>
        </w:rPr>
        <w:t>of CORSIA (the currently valid Assembly Resolution (A40-19</w:t>
      </w:r>
      <w:r w:rsidR="003A1F0A" w:rsidRPr="00ED2E0F">
        <w:rPr>
          <w:rStyle w:val="FootnoteReference"/>
          <w:sz w:val="22"/>
          <w:szCs w:val="22"/>
        </w:rPr>
        <w:footnoteReference w:id="2"/>
      </w:r>
      <w:r w:rsidR="007D7B26" w:rsidRPr="00ED2E0F">
        <w:rPr>
          <w:sz w:val="22"/>
          <w:szCs w:val="22"/>
        </w:rPr>
        <w:t xml:space="preserve">)) in </w:t>
      </w:r>
      <w:r w:rsidR="006D1CC9">
        <w:rPr>
          <w:sz w:val="22"/>
          <w:szCs w:val="22"/>
        </w:rPr>
        <w:t>G</w:t>
      </w:r>
      <w:r w:rsidR="006D1CC9" w:rsidRPr="00ED2E0F">
        <w:rPr>
          <w:sz w:val="22"/>
          <w:szCs w:val="22"/>
        </w:rPr>
        <w:t xml:space="preserve">overning </w:t>
      </w:r>
      <w:r w:rsidR="007D7B26" w:rsidRPr="00ED2E0F">
        <w:rPr>
          <w:sz w:val="22"/>
          <w:szCs w:val="22"/>
        </w:rPr>
        <w:t>SAF</w:t>
      </w:r>
    </w:p>
    <w:tbl>
      <w:tblPr>
        <w:tblW w:w="10206"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5136"/>
        <w:gridCol w:w="1370"/>
        <w:gridCol w:w="1268"/>
      </w:tblGrid>
      <w:tr w:rsidR="00B64005" w:rsidRPr="00ED2E0F" w14:paraId="5A16748A" w14:textId="77777777">
        <w:trPr>
          <w:trHeight w:val="898"/>
        </w:trPr>
        <w:tc>
          <w:tcPr>
            <w:tcW w:w="2432" w:type="dxa"/>
            <w:vAlign w:val="center"/>
          </w:tcPr>
          <w:p w14:paraId="3CC5A182" w14:textId="5F3CCBC0" w:rsidR="00B64005" w:rsidRPr="00ED2E0F" w:rsidRDefault="00B64005">
            <w:pPr>
              <w:spacing w:after="120"/>
              <w:jc w:val="center"/>
              <w:rPr>
                <w:b/>
                <w:bCs/>
                <w:color w:val="000000" w:themeColor="text1"/>
                <w:sz w:val="22"/>
                <w:szCs w:val="22"/>
              </w:rPr>
            </w:pPr>
            <w:r w:rsidRPr="00ED2E0F">
              <w:rPr>
                <w:b/>
                <w:bCs/>
                <w:color w:val="000000" w:themeColor="text1"/>
                <w:sz w:val="22"/>
                <w:szCs w:val="22"/>
              </w:rPr>
              <w:t xml:space="preserve">Aspect of </w:t>
            </w:r>
            <w:r w:rsidR="006D1CC9">
              <w:rPr>
                <w:b/>
                <w:bCs/>
                <w:color w:val="000000" w:themeColor="text1"/>
                <w:sz w:val="22"/>
                <w:szCs w:val="22"/>
              </w:rPr>
              <w:t>S</w:t>
            </w:r>
            <w:r w:rsidR="006D1CC9" w:rsidRPr="00ED2E0F">
              <w:rPr>
                <w:b/>
                <w:bCs/>
                <w:color w:val="000000" w:themeColor="text1"/>
                <w:sz w:val="22"/>
                <w:szCs w:val="22"/>
              </w:rPr>
              <w:t>oftness</w:t>
            </w:r>
            <w:r w:rsidRPr="00ED2E0F">
              <w:rPr>
                <w:b/>
                <w:bCs/>
                <w:color w:val="000000" w:themeColor="text1"/>
                <w:sz w:val="22"/>
                <w:szCs w:val="22"/>
              </w:rPr>
              <w:t>/</w:t>
            </w:r>
            <w:r w:rsidR="006D1CC9">
              <w:rPr>
                <w:b/>
                <w:bCs/>
                <w:color w:val="000000" w:themeColor="text1"/>
                <w:sz w:val="22"/>
                <w:szCs w:val="22"/>
              </w:rPr>
              <w:t>H</w:t>
            </w:r>
            <w:r w:rsidR="006D1CC9" w:rsidRPr="00ED2E0F">
              <w:rPr>
                <w:b/>
                <w:bCs/>
                <w:color w:val="000000" w:themeColor="text1"/>
                <w:sz w:val="22"/>
                <w:szCs w:val="22"/>
              </w:rPr>
              <w:t>ardness</w:t>
            </w:r>
          </w:p>
        </w:tc>
        <w:tc>
          <w:tcPr>
            <w:tcW w:w="5136" w:type="dxa"/>
            <w:vAlign w:val="center"/>
          </w:tcPr>
          <w:p w14:paraId="04D1D943" w14:textId="3A617D63" w:rsidR="00B64005" w:rsidRPr="00ED2E0F" w:rsidRDefault="00B64005">
            <w:pPr>
              <w:spacing w:after="120"/>
              <w:jc w:val="center"/>
              <w:rPr>
                <w:b/>
                <w:bCs/>
                <w:color w:val="000000" w:themeColor="text1"/>
                <w:sz w:val="22"/>
                <w:szCs w:val="22"/>
              </w:rPr>
            </w:pPr>
            <w:r w:rsidRPr="00ED2E0F">
              <w:rPr>
                <w:b/>
                <w:bCs/>
                <w:color w:val="000000" w:themeColor="text1"/>
                <w:sz w:val="22"/>
                <w:szCs w:val="22"/>
              </w:rPr>
              <w:t xml:space="preserve">Summary of </w:t>
            </w:r>
            <w:r w:rsidR="006D1CC9">
              <w:rPr>
                <w:b/>
                <w:bCs/>
                <w:color w:val="000000" w:themeColor="text1"/>
                <w:sz w:val="22"/>
                <w:szCs w:val="22"/>
              </w:rPr>
              <w:t>A</w:t>
            </w:r>
            <w:r w:rsidR="006D1CC9" w:rsidRPr="00ED2E0F">
              <w:rPr>
                <w:b/>
                <w:bCs/>
                <w:color w:val="000000" w:themeColor="text1"/>
                <w:sz w:val="22"/>
                <w:szCs w:val="22"/>
              </w:rPr>
              <w:t>nalysis</w:t>
            </w:r>
          </w:p>
        </w:tc>
        <w:tc>
          <w:tcPr>
            <w:tcW w:w="1370" w:type="dxa"/>
            <w:vAlign w:val="center"/>
          </w:tcPr>
          <w:p w14:paraId="01889B70" w14:textId="04DB7413" w:rsidR="00B64005" w:rsidRPr="00ED2E0F" w:rsidRDefault="00B64005">
            <w:pPr>
              <w:spacing w:before="120" w:after="120"/>
              <w:jc w:val="center"/>
              <w:rPr>
                <w:b/>
                <w:bCs/>
                <w:color w:val="000000" w:themeColor="text1"/>
                <w:sz w:val="22"/>
                <w:szCs w:val="22"/>
              </w:rPr>
            </w:pPr>
            <w:r w:rsidRPr="00ED2E0F">
              <w:rPr>
                <w:b/>
                <w:bCs/>
                <w:color w:val="000000" w:themeColor="text1"/>
                <w:sz w:val="22"/>
                <w:szCs w:val="22"/>
              </w:rPr>
              <w:t>Score</w:t>
            </w:r>
            <w:r w:rsidR="00E94C8D" w:rsidRPr="00ED2E0F">
              <w:rPr>
                <w:b/>
                <w:bCs/>
                <w:color w:val="000000" w:themeColor="text1"/>
                <w:sz w:val="22"/>
                <w:szCs w:val="22"/>
              </w:rPr>
              <w:t>*</w:t>
            </w:r>
            <w:r w:rsidRPr="00ED2E0F">
              <w:rPr>
                <w:b/>
                <w:bCs/>
                <w:color w:val="000000" w:themeColor="text1"/>
                <w:sz w:val="22"/>
                <w:szCs w:val="22"/>
              </w:rPr>
              <w:t xml:space="preserve"> </w:t>
            </w:r>
          </w:p>
          <w:p w14:paraId="7B4854B4" w14:textId="24B010F4" w:rsidR="00E94C8D" w:rsidRPr="00ED2E0F" w:rsidRDefault="00CE1EC2">
            <w:pPr>
              <w:spacing w:before="120" w:after="120"/>
              <w:jc w:val="center"/>
              <w:rPr>
                <w:b/>
                <w:bCs/>
                <w:color w:val="000000" w:themeColor="text1"/>
                <w:sz w:val="22"/>
                <w:szCs w:val="22"/>
              </w:rPr>
            </w:pPr>
            <w:r w:rsidRPr="00ED2E0F">
              <w:rPr>
                <w:b/>
                <w:bCs/>
                <w:color w:val="000000" w:themeColor="text1"/>
                <w:sz w:val="22"/>
                <w:szCs w:val="22"/>
              </w:rPr>
              <w:t>(</w:t>
            </w:r>
            <w:r w:rsidR="00E94C8D" w:rsidRPr="00ED2E0F">
              <w:rPr>
                <w:b/>
                <w:bCs/>
                <w:color w:val="000000" w:themeColor="text1"/>
                <w:sz w:val="22"/>
                <w:szCs w:val="22"/>
              </w:rPr>
              <w:t xml:space="preserve">L, M, </w:t>
            </w:r>
          </w:p>
          <w:p w14:paraId="70BFBEB9" w14:textId="4E7A20F9" w:rsidR="00B64005" w:rsidRPr="00ED2E0F" w:rsidRDefault="00E94C8D">
            <w:pPr>
              <w:spacing w:before="120" w:after="120"/>
              <w:jc w:val="center"/>
              <w:rPr>
                <w:b/>
                <w:bCs/>
                <w:color w:val="000000" w:themeColor="text1"/>
                <w:sz w:val="22"/>
                <w:szCs w:val="22"/>
              </w:rPr>
            </w:pPr>
            <w:r w:rsidRPr="00ED2E0F">
              <w:rPr>
                <w:b/>
                <w:bCs/>
                <w:color w:val="000000" w:themeColor="text1"/>
                <w:sz w:val="22"/>
                <w:szCs w:val="22"/>
              </w:rPr>
              <w:t>H</w:t>
            </w:r>
            <w:r w:rsidR="00614553" w:rsidRPr="00ED2E0F">
              <w:rPr>
                <w:b/>
                <w:bCs/>
                <w:color w:val="000000" w:themeColor="text1"/>
                <w:sz w:val="22"/>
                <w:szCs w:val="22"/>
              </w:rPr>
              <w:t xml:space="preserve"> </w:t>
            </w:r>
            <w:r w:rsidR="00CE1EC2" w:rsidRPr="00ED2E0F">
              <w:rPr>
                <w:b/>
                <w:bCs/>
                <w:color w:val="000000" w:themeColor="text1"/>
                <w:sz w:val="22"/>
                <w:szCs w:val="22"/>
              </w:rPr>
              <w:t>)</w:t>
            </w:r>
          </w:p>
        </w:tc>
        <w:tc>
          <w:tcPr>
            <w:tcW w:w="1268" w:type="dxa"/>
            <w:vAlign w:val="center"/>
          </w:tcPr>
          <w:p w14:paraId="0704B167" w14:textId="49140360" w:rsidR="00B64005" w:rsidRPr="00ED2E0F" w:rsidRDefault="00B64005">
            <w:pPr>
              <w:spacing w:before="120" w:after="240"/>
              <w:jc w:val="center"/>
              <w:rPr>
                <w:b/>
                <w:bCs/>
                <w:color w:val="000000" w:themeColor="text1"/>
                <w:sz w:val="22"/>
                <w:szCs w:val="22"/>
              </w:rPr>
            </w:pPr>
            <w:r w:rsidRPr="00ED2E0F">
              <w:rPr>
                <w:b/>
                <w:bCs/>
                <w:color w:val="000000" w:themeColor="text1"/>
                <w:sz w:val="22"/>
                <w:szCs w:val="22"/>
              </w:rPr>
              <w:t xml:space="preserve">Combining </w:t>
            </w:r>
            <w:r w:rsidR="006D1CC9">
              <w:rPr>
                <w:b/>
                <w:bCs/>
                <w:color w:val="000000" w:themeColor="text1"/>
                <w:sz w:val="22"/>
                <w:szCs w:val="22"/>
              </w:rPr>
              <w:t>S</w:t>
            </w:r>
            <w:r w:rsidR="006D1CC9" w:rsidRPr="00ED2E0F">
              <w:rPr>
                <w:b/>
                <w:bCs/>
                <w:color w:val="000000" w:themeColor="text1"/>
                <w:sz w:val="22"/>
                <w:szCs w:val="22"/>
              </w:rPr>
              <w:t>ub</w:t>
            </w:r>
            <w:r w:rsidRPr="00ED2E0F">
              <w:rPr>
                <w:b/>
                <w:bCs/>
                <w:color w:val="000000" w:themeColor="text1"/>
                <w:sz w:val="22"/>
                <w:szCs w:val="22"/>
              </w:rPr>
              <w:t>-dimensions</w:t>
            </w:r>
          </w:p>
        </w:tc>
      </w:tr>
      <w:tr w:rsidR="00B64005" w:rsidRPr="00ED2E0F" w14:paraId="79B7EC34" w14:textId="77777777">
        <w:tc>
          <w:tcPr>
            <w:tcW w:w="2432" w:type="dxa"/>
          </w:tcPr>
          <w:p w14:paraId="2A81ADD9" w14:textId="784FEB1F" w:rsidR="00B64005" w:rsidRPr="00ED2E0F" w:rsidRDefault="1FABEB93">
            <w:pPr>
              <w:spacing w:before="60" w:after="240"/>
              <w:rPr>
                <w:color w:val="000000" w:themeColor="text1"/>
                <w:sz w:val="22"/>
                <w:szCs w:val="22"/>
              </w:rPr>
            </w:pPr>
            <w:r w:rsidRPr="00ED2E0F">
              <w:rPr>
                <w:i/>
                <w:iCs/>
                <w:color w:val="000000" w:themeColor="text1"/>
                <w:sz w:val="22"/>
                <w:szCs w:val="22"/>
              </w:rPr>
              <w:t>Formal</w:t>
            </w:r>
            <w:r w:rsidR="00422971" w:rsidRPr="00ED2E0F">
              <w:rPr>
                <w:i/>
                <w:iCs/>
                <w:color w:val="000000" w:themeColor="text1"/>
                <w:sz w:val="22"/>
                <w:szCs w:val="22"/>
              </w:rPr>
              <w:t xml:space="preserve"> status</w:t>
            </w:r>
            <w:r w:rsidR="00422971" w:rsidRPr="00ED2E0F">
              <w:rPr>
                <w:color w:val="000000" w:themeColor="text1"/>
                <w:sz w:val="22"/>
                <w:szCs w:val="22"/>
              </w:rPr>
              <w:t xml:space="preserve"> </w:t>
            </w:r>
            <w:r w:rsidR="00CF1E8F" w:rsidRPr="00ED2E0F">
              <w:rPr>
                <w:color w:val="000000" w:themeColor="text1"/>
                <w:sz w:val="22"/>
                <w:szCs w:val="22"/>
              </w:rPr>
              <w:t>–</w:t>
            </w:r>
            <w:r w:rsidR="00B64005" w:rsidRPr="00ED2E0F">
              <w:rPr>
                <w:color w:val="000000" w:themeColor="text1"/>
                <w:sz w:val="22"/>
                <w:szCs w:val="22"/>
              </w:rPr>
              <w:t xml:space="preserve"> Formal source of law or not?</w:t>
            </w:r>
          </w:p>
        </w:tc>
        <w:tc>
          <w:tcPr>
            <w:tcW w:w="5136" w:type="dxa"/>
          </w:tcPr>
          <w:p w14:paraId="4BF71DE5" w14:textId="77777777" w:rsidR="00B64005" w:rsidRPr="00ED2E0F" w:rsidRDefault="00B64005">
            <w:pPr>
              <w:spacing w:before="60" w:after="240"/>
              <w:rPr>
                <w:color w:val="000000" w:themeColor="text1"/>
                <w:sz w:val="18"/>
                <w:szCs w:val="18"/>
              </w:rPr>
            </w:pPr>
            <w:r w:rsidRPr="00ED2E0F">
              <w:rPr>
                <w:color w:val="000000" w:themeColor="text1"/>
                <w:sz w:val="18"/>
                <w:szCs w:val="18"/>
              </w:rPr>
              <w:t xml:space="preserve">CORSIA </w:t>
            </w:r>
            <w:proofErr w:type="gramStart"/>
            <w:r w:rsidRPr="00ED2E0F">
              <w:rPr>
                <w:color w:val="000000" w:themeColor="text1"/>
                <w:sz w:val="18"/>
                <w:szCs w:val="18"/>
              </w:rPr>
              <w:t>is</w:t>
            </w:r>
            <w:proofErr w:type="gramEnd"/>
            <w:r w:rsidRPr="00ED2E0F">
              <w:rPr>
                <w:color w:val="000000" w:themeColor="text1"/>
                <w:sz w:val="18"/>
                <w:szCs w:val="18"/>
              </w:rPr>
              <w:t xml:space="preserve"> established as a series of Assembly Resolutions of ICAO, a UN specialized agency. The resolutions constitute an international agreement and as such a binding legal instrument between the Member States that have ratified them. </w:t>
            </w:r>
          </w:p>
        </w:tc>
        <w:tc>
          <w:tcPr>
            <w:tcW w:w="1370" w:type="dxa"/>
            <w:vAlign w:val="center"/>
          </w:tcPr>
          <w:p w14:paraId="6242BFA4" w14:textId="5BFAF77C" w:rsidR="00B64005" w:rsidRPr="00ED2E0F" w:rsidRDefault="00E94C8D">
            <w:pPr>
              <w:spacing w:before="60" w:after="240"/>
              <w:jc w:val="center"/>
              <w:rPr>
                <w:color w:val="000000" w:themeColor="text1"/>
              </w:rPr>
            </w:pPr>
            <w:r w:rsidRPr="00ED2E0F">
              <w:rPr>
                <w:color w:val="000000" w:themeColor="text1"/>
              </w:rPr>
              <w:t>H</w:t>
            </w:r>
            <w:r w:rsidR="00B64005" w:rsidRPr="00ED2E0F">
              <w:rPr>
                <w:color w:val="000000" w:themeColor="text1"/>
              </w:rPr>
              <w:t xml:space="preserve"> </w:t>
            </w:r>
          </w:p>
        </w:tc>
        <w:tc>
          <w:tcPr>
            <w:tcW w:w="1268" w:type="dxa"/>
            <w:vAlign w:val="center"/>
          </w:tcPr>
          <w:p w14:paraId="35BEF489" w14:textId="45F524B7" w:rsidR="00B64005" w:rsidRPr="00ED2E0F" w:rsidRDefault="009A38F1">
            <w:pPr>
              <w:spacing w:before="60" w:after="240"/>
              <w:jc w:val="center"/>
              <w:rPr>
                <w:color w:val="000000" w:themeColor="text1"/>
              </w:rPr>
            </w:pPr>
            <w:r w:rsidRPr="00ED2E0F">
              <w:rPr>
                <w:color w:val="000000" w:themeColor="text1"/>
              </w:rPr>
              <w:t>H</w:t>
            </w:r>
            <w:r w:rsidR="00B64005" w:rsidRPr="00ED2E0F">
              <w:rPr>
                <w:color w:val="000000" w:themeColor="text1"/>
              </w:rPr>
              <w:t xml:space="preserve"> </w:t>
            </w:r>
          </w:p>
        </w:tc>
      </w:tr>
      <w:tr w:rsidR="00B64005" w:rsidRPr="00ED2E0F" w14:paraId="40C72D16" w14:textId="77777777">
        <w:tc>
          <w:tcPr>
            <w:tcW w:w="2432" w:type="dxa"/>
          </w:tcPr>
          <w:p w14:paraId="1FED8F30" w14:textId="77777777" w:rsidR="00B64005" w:rsidRPr="00ED2E0F" w:rsidRDefault="00B64005">
            <w:pPr>
              <w:spacing w:before="60" w:after="240"/>
              <w:rPr>
                <w:color w:val="000000" w:themeColor="text1"/>
                <w:sz w:val="22"/>
                <w:szCs w:val="22"/>
              </w:rPr>
            </w:pPr>
            <w:r w:rsidRPr="00ED2E0F">
              <w:rPr>
                <w:i/>
                <w:iCs/>
                <w:color w:val="000000" w:themeColor="text1"/>
                <w:sz w:val="22"/>
                <w:szCs w:val="22"/>
              </w:rPr>
              <w:t>Obligation</w:t>
            </w:r>
            <w:r w:rsidRPr="00ED2E0F">
              <w:rPr>
                <w:color w:val="000000" w:themeColor="text1"/>
                <w:sz w:val="22"/>
                <w:szCs w:val="22"/>
              </w:rPr>
              <w:t xml:space="preserve"> – Authority</w:t>
            </w:r>
          </w:p>
        </w:tc>
        <w:tc>
          <w:tcPr>
            <w:tcW w:w="5136" w:type="dxa"/>
          </w:tcPr>
          <w:p w14:paraId="779AE77F" w14:textId="77777777" w:rsidR="00B64005" w:rsidRPr="00ED2E0F" w:rsidRDefault="00B64005">
            <w:pPr>
              <w:spacing w:before="60" w:after="240"/>
              <w:rPr>
                <w:color w:val="000000" w:themeColor="text1"/>
                <w:sz w:val="18"/>
                <w:szCs w:val="18"/>
              </w:rPr>
            </w:pPr>
            <w:r w:rsidRPr="00ED2E0F">
              <w:rPr>
                <w:color w:val="000000" w:themeColor="text1"/>
                <w:sz w:val="18"/>
                <w:szCs w:val="18"/>
              </w:rPr>
              <w:t xml:space="preserve">The Assembly Resolutions as decisions of ICAO as </w:t>
            </w:r>
            <w:proofErr w:type="gramStart"/>
            <w:r w:rsidRPr="00ED2E0F">
              <w:rPr>
                <w:color w:val="000000" w:themeColor="text1"/>
                <w:sz w:val="18"/>
                <w:szCs w:val="18"/>
              </w:rPr>
              <w:t>an</w:t>
            </w:r>
            <w:proofErr w:type="gramEnd"/>
            <w:r w:rsidRPr="00ED2E0F">
              <w:rPr>
                <w:color w:val="000000" w:themeColor="text1"/>
                <w:sz w:val="18"/>
                <w:szCs w:val="18"/>
              </w:rPr>
              <w:t xml:space="preserve"> UN special agency enjoy high authority amongst the UN Member States. </w:t>
            </w:r>
          </w:p>
        </w:tc>
        <w:tc>
          <w:tcPr>
            <w:tcW w:w="1370" w:type="dxa"/>
            <w:vAlign w:val="center"/>
          </w:tcPr>
          <w:p w14:paraId="0CAFE2C9" w14:textId="688E640F" w:rsidR="00B64005" w:rsidRPr="00ED2E0F" w:rsidRDefault="009A38F1">
            <w:pPr>
              <w:spacing w:before="60" w:after="240"/>
              <w:jc w:val="center"/>
              <w:rPr>
                <w:color w:val="000000" w:themeColor="text1"/>
              </w:rPr>
            </w:pPr>
            <w:r w:rsidRPr="00ED2E0F">
              <w:rPr>
                <w:color w:val="000000" w:themeColor="text1"/>
              </w:rPr>
              <w:t>H</w:t>
            </w:r>
            <w:r w:rsidR="00B64005" w:rsidRPr="00ED2E0F">
              <w:rPr>
                <w:color w:val="000000" w:themeColor="text1"/>
              </w:rPr>
              <w:t xml:space="preserve"> </w:t>
            </w:r>
          </w:p>
        </w:tc>
        <w:tc>
          <w:tcPr>
            <w:tcW w:w="1268" w:type="dxa"/>
            <w:vMerge w:val="restart"/>
            <w:vAlign w:val="center"/>
          </w:tcPr>
          <w:p w14:paraId="529BDF02" w14:textId="39A17CA6" w:rsidR="00B64005" w:rsidRPr="00ED2E0F" w:rsidRDefault="00614553">
            <w:pPr>
              <w:spacing w:before="60" w:after="240"/>
              <w:jc w:val="center"/>
              <w:rPr>
                <w:color w:val="000000" w:themeColor="text1"/>
              </w:rPr>
            </w:pPr>
            <w:r w:rsidRPr="00ED2E0F">
              <w:rPr>
                <w:color w:val="000000" w:themeColor="text1"/>
              </w:rPr>
              <w:t>M</w:t>
            </w:r>
          </w:p>
        </w:tc>
      </w:tr>
      <w:tr w:rsidR="00B64005" w:rsidRPr="00ED2E0F" w14:paraId="0E302EBE" w14:textId="77777777">
        <w:tc>
          <w:tcPr>
            <w:tcW w:w="2432" w:type="dxa"/>
          </w:tcPr>
          <w:p w14:paraId="34198B45" w14:textId="418A08A2" w:rsidR="00B64005" w:rsidRPr="00ED2E0F" w:rsidRDefault="00B64005">
            <w:pPr>
              <w:spacing w:before="60" w:after="240"/>
              <w:rPr>
                <w:color w:val="000000" w:themeColor="text1"/>
                <w:sz w:val="22"/>
                <w:szCs w:val="22"/>
              </w:rPr>
            </w:pPr>
            <w:r w:rsidRPr="00ED2E0F">
              <w:rPr>
                <w:i/>
                <w:iCs/>
                <w:color w:val="000000" w:themeColor="text1"/>
                <w:sz w:val="22"/>
                <w:szCs w:val="22"/>
              </w:rPr>
              <w:t>Obligation</w:t>
            </w:r>
            <w:r w:rsidRPr="00ED2E0F">
              <w:rPr>
                <w:color w:val="000000" w:themeColor="text1"/>
                <w:sz w:val="22"/>
                <w:szCs w:val="22"/>
              </w:rPr>
              <w:t xml:space="preserve"> – </w:t>
            </w:r>
            <w:r w:rsidR="00932B7F" w:rsidRPr="00ED2E0F">
              <w:rPr>
                <w:color w:val="000000" w:themeColor="text1"/>
                <w:sz w:val="22"/>
                <w:szCs w:val="22"/>
              </w:rPr>
              <w:t xml:space="preserve">Mandating </w:t>
            </w:r>
            <w:r w:rsidRPr="00ED2E0F">
              <w:rPr>
                <w:color w:val="000000" w:themeColor="text1"/>
                <w:sz w:val="22"/>
                <w:szCs w:val="22"/>
              </w:rPr>
              <w:t>language</w:t>
            </w:r>
          </w:p>
        </w:tc>
        <w:tc>
          <w:tcPr>
            <w:tcW w:w="5136" w:type="dxa"/>
          </w:tcPr>
          <w:p w14:paraId="5300AD95" w14:textId="1061A142" w:rsidR="00B64005" w:rsidRPr="00ED2E0F" w:rsidRDefault="00B64005">
            <w:pPr>
              <w:spacing w:before="60" w:after="240"/>
              <w:rPr>
                <w:color w:val="000000" w:themeColor="text1"/>
                <w:sz w:val="18"/>
                <w:szCs w:val="18"/>
              </w:rPr>
            </w:pPr>
            <w:r w:rsidRPr="00ED2E0F">
              <w:rPr>
                <w:color w:val="000000" w:themeColor="text1"/>
                <w:sz w:val="18"/>
                <w:szCs w:val="18"/>
              </w:rPr>
              <w:t xml:space="preserve">The language of A40-19 varies considerably. It is </w:t>
            </w:r>
            <w:r w:rsidR="00932B7F" w:rsidRPr="00ED2E0F">
              <w:rPr>
                <w:color w:val="000000" w:themeColor="text1"/>
                <w:sz w:val="18"/>
                <w:szCs w:val="18"/>
              </w:rPr>
              <w:t xml:space="preserve">mandating </w:t>
            </w:r>
            <w:r w:rsidRPr="00ED2E0F">
              <w:rPr>
                <w:color w:val="000000" w:themeColor="text1"/>
                <w:sz w:val="18"/>
                <w:szCs w:val="18"/>
              </w:rPr>
              <w:t>on setting the second, obligatory phase from 2027 (</w:t>
            </w:r>
            <w:r w:rsidR="004C2E0B" w:rsidRPr="00ED2E0F">
              <w:rPr>
                <w:color w:val="000000" w:themeColor="text1"/>
                <w:sz w:val="18"/>
                <w:szCs w:val="18"/>
              </w:rPr>
              <w:t>para.</w:t>
            </w:r>
            <w:r w:rsidR="006E35E7" w:rsidRPr="00ED2E0F">
              <w:rPr>
                <w:color w:val="000000" w:themeColor="text1"/>
                <w:sz w:val="18"/>
                <w:szCs w:val="18"/>
              </w:rPr>
              <w:t xml:space="preserve"> </w:t>
            </w:r>
            <w:r w:rsidRPr="00ED2E0F">
              <w:rPr>
                <w:color w:val="000000" w:themeColor="text1"/>
                <w:sz w:val="18"/>
                <w:szCs w:val="18"/>
              </w:rPr>
              <w:t>9(</w:t>
            </w:r>
            <w:proofErr w:type="gramStart"/>
            <w:r w:rsidRPr="00ED2E0F">
              <w:rPr>
                <w:color w:val="000000" w:themeColor="text1"/>
                <w:sz w:val="18"/>
                <w:szCs w:val="18"/>
              </w:rPr>
              <w:t>e))</w:t>
            </w:r>
            <w:proofErr w:type="gramEnd"/>
            <w:r w:rsidRPr="00ED2E0F">
              <w:rPr>
                <w:color w:val="000000" w:themeColor="text1"/>
                <w:sz w:val="18"/>
                <w:szCs w:val="18"/>
              </w:rPr>
              <w:t>, in re-affirming 39</w:t>
            </w:r>
            <w:r w:rsidRPr="00ED2E0F">
              <w:rPr>
                <w:color w:val="000000" w:themeColor="text1"/>
                <w:sz w:val="18"/>
                <w:szCs w:val="18"/>
                <w:vertAlign w:val="superscript"/>
              </w:rPr>
              <w:t>th</w:t>
            </w:r>
            <w:r w:rsidRPr="00ED2E0F">
              <w:rPr>
                <w:color w:val="000000" w:themeColor="text1"/>
                <w:sz w:val="18"/>
                <w:szCs w:val="18"/>
              </w:rPr>
              <w:t xml:space="preserve"> Session decisions on the scope (</w:t>
            </w:r>
            <w:r w:rsidR="004C2E0B" w:rsidRPr="00ED2E0F">
              <w:rPr>
                <w:color w:val="000000" w:themeColor="text1"/>
                <w:sz w:val="18"/>
                <w:szCs w:val="18"/>
              </w:rPr>
              <w:t>para.</w:t>
            </w:r>
            <w:r w:rsidRPr="00ED2E0F">
              <w:rPr>
                <w:color w:val="000000" w:themeColor="text1"/>
                <w:sz w:val="18"/>
                <w:szCs w:val="18"/>
              </w:rPr>
              <w:t xml:space="preserve"> 10) and calculation of the amounts (</w:t>
            </w:r>
            <w:r w:rsidR="004C2E0B" w:rsidRPr="00ED2E0F">
              <w:rPr>
                <w:color w:val="000000" w:themeColor="text1"/>
                <w:sz w:val="18"/>
                <w:szCs w:val="18"/>
              </w:rPr>
              <w:t>para</w:t>
            </w:r>
            <w:r w:rsidRPr="00ED2E0F">
              <w:rPr>
                <w:color w:val="000000" w:themeColor="text1"/>
                <w:sz w:val="18"/>
                <w:szCs w:val="18"/>
              </w:rPr>
              <w:t>. 11) of offsetting. Yet</w:t>
            </w:r>
            <w:r w:rsidR="006E35E7" w:rsidRPr="00ED2E0F">
              <w:rPr>
                <w:color w:val="000000" w:themeColor="text1"/>
                <w:sz w:val="18"/>
                <w:szCs w:val="18"/>
              </w:rPr>
              <w:t>,</w:t>
            </w:r>
            <w:r w:rsidRPr="00ED2E0F">
              <w:rPr>
                <w:color w:val="000000" w:themeColor="text1"/>
                <w:sz w:val="18"/>
                <w:szCs w:val="18"/>
              </w:rPr>
              <w:t xml:space="preserve"> </w:t>
            </w:r>
            <w:r w:rsidR="002F5C6D" w:rsidRPr="00ED2E0F">
              <w:rPr>
                <w:color w:val="000000" w:themeColor="text1"/>
                <w:sz w:val="18"/>
                <w:szCs w:val="18"/>
              </w:rPr>
              <w:t xml:space="preserve">its </w:t>
            </w:r>
            <w:r w:rsidRPr="00ED2E0F">
              <w:rPr>
                <w:color w:val="000000" w:themeColor="text1"/>
                <w:sz w:val="18"/>
                <w:szCs w:val="18"/>
              </w:rPr>
              <w:t xml:space="preserve">language is also </w:t>
            </w:r>
            <w:r w:rsidR="002F5C6D" w:rsidRPr="00ED2E0F">
              <w:rPr>
                <w:color w:val="000000" w:themeColor="text1"/>
                <w:sz w:val="18"/>
                <w:szCs w:val="18"/>
              </w:rPr>
              <w:t xml:space="preserve">mandating </w:t>
            </w:r>
            <w:r w:rsidRPr="00ED2E0F">
              <w:rPr>
                <w:color w:val="000000" w:themeColor="text1"/>
                <w:sz w:val="18"/>
                <w:szCs w:val="18"/>
              </w:rPr>
              <w:t xml:space="preserve">in </w:t>
            </w:r>
            <w:r w:rsidRPr="00ED2E0F">
              <w:rPr>
                <w:i/>
                <w:iCs/>
                <w:color w:val="000000" w:themeColor="text1"/>
                <w:sz w:val="18"/>
                <w:szCs w:val="18"/>
              </w:rPr>
              <w:t>delimiting</w:t>
            </w:r>
            <w:r w:rsidRPr="00ED2E0F">
              <w:rPr>
                <w:color w:val="000000" w:themeColor="text1"/>
                <w:sz w:val="18"/>
                <w:szCs w:val="18"/>
              </w:rPr>
              <w:t xml:space="preserve"> the law </w:t>
            </w:r>
            <w:proofErr w:type="gramStart"/>
            <w:r w:rsidRPr="00ED2E0F">
              <w:rPr>
                <w:color w:val="000000" w:themeColor="text1"/>
                <w:sz w:val="18"/>
                <w:szCs w:val="18"/>
              </w:rPr>
              <w:t>e.g.</w:t>
            </w:r>
            <w:proofErr w:type="gramEnd"/>
            <w:r w:rsidRPr="00ED2E0F">
              <w:rPr>
                <w:color w:val="000000" w:themeColor="text1"/>
                <w:sz w:val="18"/>
                <w:szCs w:val="18"/>
              </w:rPr>
              <w:t xml:space="preserve"> as regards certain exemptions (e.g.</w:t>
            </w:r>
            <w:r w:rsidR="006E35E7" w:rsidRPr="00ED2E0F">
              <w:rPr>
                <w:color w:val="000000" w:themeColor="text1"/>
                <w:sz w:val="18"/>
                <w:szCs w:val="18"/>
              </w:rPr>
              <w:t>,</w:t>
            </w:r>
            <w:r w:rsidRPr="00ED2E0F">
              <w:rPr>
                <w:color w:val="000000" w:themeColor="text1"/>
                <w:sz w:val="18"/>
                <w:szCs w:val="18"/>
              </w:rPr>
              <w:t xml:space="preserve"> </w:t>
            </w:r>
            <w:r w:rsidR="004C2E0B" w:rsidRPr="00ED2E0F">
              <w:rPr>
                <w:color w:val="000000" w:themeColor="text1"/>
                <w:sz w:val="18"/>
                <w:szCs w:val="18"/>
              </w:rPr>
              <w:t xml:space="preserve">paras. </w:t>
            </w:r>
            <w:r w:rsidRPr="00ED2E0F">
              <w:rPr>
                <w:color w:val="000000" w:themeColor="text1"/>
                <w:sz w:val="18"/>
                <w:szCs w:val="18"/>
              </w:rPr>
              <w:t xml:space="preserve">13-14) and on </w:t>
            </w:r>
            <w:r w:rsidR="002F5C6D" w:rsidRPr="00ED2E0F">
              <w:rPr>
                <w:color w:val="000000" w:themeColor="text1"/>
                <w:sz w:val="18"/>
                <w:szCs w:val="18"/>
              </w:rPr>
              <w:t xml:space="preserve">the </w:t>
            </w:r>
            <w:r w:rsidRPr="00ED2E0F">
              <w:rPr>
                <w:color w:val="000000" w:themeColor="text1"/>
                <w:sz w:val="18"/>
                <w:szCs w:val="18"/>
              </w:rPr>
              <w:t>safeguard clause (</w:t>
            </w:r>
            <w:r w:rsidR="004C2E0B" w:rsidRPr="00ED2E0F">
              <w:rPr>
                <w:color w:val="000000" w:themeColor="text1"/>
                <w:sz w:val="18"/>
                <w:szCs w:val="18"/>
              </w:rPr>
              <w:t>para</w:t>
            </w:r>
            <w:r w:rsidR="006E35E7" w:rsidRPr="00ED2E0F">
              <w:rPr>
                <w:color w:val="000000" w:themeColor="text1"/>
                <w:sz w:val="18"/>
                <w:szCs w:val="18"/>
              </w:rPr>
              <w:t>.</w:t>
            </w:r>
            <w:r w:rsidRPr="00ED2E0F">
              <w:rPr>
                <w:color w:val="000000" w:themeColor="text1"/>
                <w:sz w:val="18"/>
                <w:szCs w:val="18"/>
              </w:rPr>
              <w:t xml:space="preserve"> 16).</w:t>
            </w:r>
          </w:p>
          <w:p w14:paraId="5C100CF6" w14:textId="0C740E63" w:rsidR="00B64005" w:rsidRPr="00ED2E0F" w:rsidRDefault="00B64005">
            <w:pPr>
              <w:spacing w:before="60" w:after="240"/>
              <w:rPr>
                <w:color w:val="000000" w:themeColor="text1"/>
                <w:sz w:val="18"/>
                <w:szCs w:val="18"/>
              </w:rPr>
            </w:pPr>
            <w:r w:rsidRPr="00ED2E0F">
              <w:rPr>
                <w:color w:val="000000" w:themeColor="text1"/>
                <w:sz w:val="18"/>
                <w:szCs w:val="18"/>
              </w:rPr>
              <w:t xml:space="preserve">The language for developing CORSIA is however soft in only </w:t>
            </w:r>
            <w:r w:rsidR="00CE1EC2" w:rsidRPr="00ED2E0F">
              <w:rPr>
                <w:color w:val="000000" w:themeColor="text1"/>
                <w:sz w:val="18"/>
                <w:szCs w:val="18"/>
              </w:rPr>
              <w:t>‘</w:t>
            </w:r>
            <w:r w:rsidRPr="00ED2E0F">
              <w:rPr>
                <w:color w:val="000000" w:themeColor="text1"/>
                <w:sz w:val="18"/>
                <w:szCs w:val="18"/>
              </w:rPr>
              <w:t>requesting – as appropriate</w:t>
            </w:r>
            <w:r w:rsidR="00CE1EC2" w:rsidRPr="00ED2E0F">
              <w:rPr>
                <w:color w:val="000000" w:themeColor="text1"/>
                <w:sz w:val="18"/>
                <w:szCs w:val="18"/>
              </w:rPr>
              <w:t>’</w:t>
            </w:r>
            <w:r w:rsidRPr="00ED2E0F">
              <w:rPr>
                <w:color w:val="000000" w:themeColor="text1"/>
                <w:sz w:val="18"/>
                <w:szCs w:val="18"/>
              </w:rPr>
              <w:t xml:space="preserve"> the Council to update the SAF sustainability requirements (and other issues) in Annex 16</w:t>
            </w:r>
            <w:r w:rsidR="006E35E7" w:rsidRPr="00ED2E0F">
              <w:rPr>
                <w:color w:val="000000" w:themeColor="text1"/>
                <w:sz w:val="18"/>
                <w:szCs w:val="18"/>
              </w:rPr>
              <w:t>,</w:t>
            </w:r>
            <w:r w:rsidRPr="00ED2E0F">
              <w:rPr>
                <w:color w:val="000000" w:themeColor="text1"/>
                <w:sz w:val="18"/>
                <w:szCs w:val="18"/>
              </w:rPr>
              <w:t xml:space="preserve"> Vol. IV </w:t>
            </w:r>
            <w:r w:rsidR="00CE1EC2" w:rsidRPr="00ED2E0F">
              <w:rPr>
                <w:color w:val="000000" w:themeColor="text1"/>
                <w:sz w:val="18"/>
                <w:szCs w:val="18"/>
              </w:rPr>
              <w:t>‘</w:t>
            </w:r>
            <w:r w:rsidRPr="00ED2E0F">
              <w:rPr>
                <w:color w:val="000000" w:themeColor="text1"/>
                <w:sz w:val="18"/>
                <w:szCs w:val="18"/>
              </w:rPr>
              <w:t>as appropriate</w:t>
            </w:r>
            <w:r w:rsidR="00CE1EC2" w:rsidRPr="00ED2E0F">
              <w:rPr>
                <w:color w:val="000000" w:themeColor="text1"/>
                <w:sz w:val="18"/>
                <w:szCs w:val="18"/>
              </w:rPr>
              <w:t>’</w:t>
            </w:r>
            <w:r w:rsidR="00B636EE" w:rsidRPr="00ED2E0F">
              <w:rPr>
                <w:color w:val="000000" w:themeColor="text1"/>
                <w:sz w:val="18"/>
                <w:szCs w:val="18"/>
              </w:rPr>
              <w:t xml:space="preserve"> (</w:t>
            </w:r>
            <w:r w:rsidR="004C2E0B" w:rsidRPr="00ED2E0F">
              <w:rPr>
                <w:color w:val="000000" w:themeColor="text1"/>
                <w:sz w:val="18"/>
                <w:szCs w:val="18"/>
              </w:rPr>
              <w:t>para.</w:t>
            </w:r>
            <w:r w:rsidR="00A219AE" w:rsidRPr="00ED2E0F">
              <w:rPr>
                <w:color w:val="000000" w:themeColor="text1"/>
                <w:sz w:val="18"/>
                <w:szCs w:val="18"/>
              </w:rPr>
              <w:t xml:space="preserve"> 19(</w:t>
            </w:r>
            <w:proofErr w:type="gramStart"/>
            <w:r w:rsidR="00A219AE" w:rsidRPr="00ED2E0F">
              <w:rPr>
                <w:color w:val="000000" w:themeColor="text1"/>
                <w:sz w:val="18"/>
                <w:szCs w:val="18"/>
              </w:rPr>
              <w:t>b))</w:t>
            </w:r>
            <w:proofErr w:type="gramEnd"/>
            <w:r w:rsidRPr="00ED2E0F">
              <w:rPr>
                <w:color w:val="000000" w:themeColor="text1"/>
                <w:sz w:val="18"/>
                <w:szCs w:val="18"/>
              </w:rPr>
              <w:t xml:space="preserve">. Also, Member States </w:t>
            </w:r>
            <w:r w:rsidR="00CE1EC2" w:rsidRPr="00ED2E0F">
              <w:rPr>
                <w:color w:val="000000" w:themeColor="text1"/>
                <w:sz w:val="18"/>
                <w:szCs w:val="18"/>
              </w:rPr>
              <w:t>‘</w:t>
            </w:r>
            <w:r w:rsidRPr="00ED2E0F">
              <w:rPr>
                <w:color w:val="000000" w:themeColor="text1"/>
                <w:sz w:val="18"/>
                <w:szCs w:val="18"/>
              </w:rPr>
              <w:t>are requested</w:t>
            </w:r>
            <w:r w:rsidR="00CE1EC2" w:rsidRPr="00ED2E0F">
              <w:rPr>
                <w:color w:val="000000" w:themeColor="text1"/>
                <w:sz w:val="18"/>
                <w:szCs w:val="18"/>
              </w:rPr>
              <w:t>’</w:t>
            </w:r>
            <w:r w:rsidRPr="00ED2E0F">
              <w:rPr>
                <w:color w:val="000000" w:themeColor="text1"/>
                <w:sz w:val="18"/>
                <w:szCs w:val="18"/>
              </w:rPr>
              <w:t xml:space="preserve"> to </w:t>
            </w:r>
            <w:r w:rsidR="00CE1EC2" w:rsidRPr="00ED2E0F">
              <w:rPr>
                <w:color w:val="000000" w:themeColor="text1"/>
                <w:sz w:val="18"/>
                <w:szCs w:val="18"/>
              </w:rPr>
              <w:t>‘</w:t>
            </w:r>
            <w:r w:rsidRPr="00ED2E0F">
              <w:rPr>
                <w:color w:val="000000" w:themeColor="text1"/>
                <w:sz w:val="18"/>
                <w:szCs w:val="18"/>
              </w:rPr>
              <w:t>take the necessary action to ensure</w:t>
            </w:r>
            <w:r w:rsidR="00CE1EC2" w:rsidRPr="00ED2E0F">
              <w:rPr>
                <w:color w:val="000000" w:themeColor="text1"/>
                <w:sz w:val="18"/>
                <w:szCs w:val="18"/>
              </w:rPr>
              <w:t>’</w:t>
            </w:r>
            <w:r w:rsidRPr="00ED2E0F">
              <w:rPr>
                <w:color w:val="000000" w:themeColor="text1"/>
                <w:sz w:val="18"/>
                <w:szCs w:val="18"/>
              </w:rPr>
              <w:t xml:space="preserve"> that national policies and frameworks are established for Annex 16, Vol. IV</w:t>
            </w:r>
            <w:r w:rsidR="00B636EE" w:rsidRPr="00ED2E0F">
              <w:rPr>
                <w:color w:val="000000" w:themeColor="text1"/>
                <w:sz w:val="18"/>
                <w:szCs w:val="18"/>
              </w:rPr>
              <w:t xml:space="preserve"> (</w:t>
            </w:r>
            <w:r w:rsidR="004C2E0B" w:rsidRPr="00ED2E0F">
              <w:rPr>
                <w:color w:val="000000" w:themeColor="text1"/>
                <w:sz w:val="18"/>
                <w:szCs w:val="18"/>
              </w:rPr>
              <w:t>para</w:t>
            </w:r>
            <w:r w:rsidR="00B636EE" w:rsidRPr="00ED2E0F">
              <w:rPr>
                <w:color w:val="000000" w:themeColor="text1"/>
                <w:sz w:val="18"/>
                <w:szCs w:val="18"/>
              </w:rPr>
              <w:t>. 19</w:t>
            </w:r>
            <w:r w:rsidR="00A219AE" w:rsidRPr="00ED2E0F">
              <w:rPr>
                <w:color w:val="000000" w:themeColor="text1"/>
                <w:sz w:val="18"/>
                <w:szCs w:val="18"/>
              </w:rPr>
              <w:t>(</w:t>
            </w:r>
            <w:proofErr w:type="gramStart"/>
            <w:r w:rsidR="00B636EE" w:rsidRPr="00ED2E0F">
              <w:rPr>
                <w:color w:val="000000" w:themeColor="text1"/>
                <w:sz w:val="18"/>
                <w:szCs w:val="18"/>
              </w:rPr>
              <w:t>f</w:t>
            </w:r>
            <w:r w:rsidR="00A219AE" w:rsidRPr="00ED2E0F">
              <w:rPr>
                <w:color w:val="000000" w:themeColor="text1"/>
                <w:sz w:val="18"/>
                <w:szCs w:val="18"/>
              </w:rPr>
              <w:t>)</w:t>
            </w:r>
            <w:r w:rsidR="00B636EE" w:rsidRPr="00ED2E0F">
              <w:rPr>
                <w:color w:val="000000" w:themeColor="text1"/>
                <w:sz w:val="18"/>
                <w:szCs w:val="18"/>
              </w:rPr>
              <w:t>)</w:t>
            </w:r>
            <w:r w:rsidRPr="00ED2E0F">
              <w:rPr>
                <w:color w:val="000000" w:themeColor="text1"/>
                <w:sz w:val="18"/>
                <w:szCs w:val="18"/>
              </w:rPr>
              <w:t xml:space="preserve">.  </w:t>
            </w:r>
            <w:proofErr w:type="gramEnd"/>
            <w:r w:rsidRPr="00ED2E0F">
              <w:rPr>
                <w:color w:val="000000" w:themeColor="text1"/>
                <w:sz w:val="18"/>
                <w:szCs w:val="18"/>
              </w:rPr>
              <w:t xml:space="preserve">The requirement on offering training is harder, </w:t>
            </w:r>
            <w:r w:rsidR="00CE1EC2" w:rsidRPr="00ED2E0F">
              <w:rPr>
                <w:color w:val="000000" w:themeColor="text1"/>
                <w:sz w:val="18"/>
                <w:szCs w:val="18"/>
              </w:rPr>
              <w:t>‘</w:t>
            </w:r>
            <w:r w:rsidRPr="00ED2E0F">
              <w:rPr>
                <w:color w:val="000000" w:themeColor="text1"/>
                <w:sz w:val="18"/>
                <w:szCs w:val="18"/>
              </w:rPr>
              <w:t>decision to take all necessary actions</w:t>
            </w:r>
            <w:r w:rsidR="00CE1EC2" w:rsidRPr="00ED2E0F">
              <w:rPr>
                <w:color w:val="000000" w:themeColor="text1"/>
                <w:sz w:val="18"/>
                <w:szCs w:val="18"/>
              </w:rPr>
              <w:t>’</w:t>
            </w:r>
            <w:r w:rsidRPr="00ED2E0F">
              <w:rPr>
                <w:color w:val="000000" w:themeColor="text1"/>
                <w:sz w:val="18"/>
                <w:szCs w:val="18"/>
              </w:rPr>
              <w:t xml:space="preserve"> (</w:t>
            </w:r>
            <w:r w:rsidR="004C2E0B" w:rsidRPr="00ED2E0F">
              <w:rPr>
                <w:color w:val="000000" w:themeColor="text1"/>
                <w:sz w:val="18"/>
                <w:szCs w:val="18"/>
              </w:rPr>
              <w:t>para</w:t>
            </w:r>
            <w:r w:rsidR="00CE1EC2" w:rsidRPr="00ED2E0F">
              <w:rPr>
                <w:color w:val="000000" w:themeColor="text1"/>
                <w:sz w:val="18"/>
                <w:szCs w:val="18"/>
              </w:rPr>
              <w:t>.</w:t>
            </w:r>
            <w:r w:rsidRPr="00ED2E0F">
              <w:rPr>
                <w:color w:val="000000" w:themeColor="text1"/>
                <w:sz w:val="18"/>
                <w:szCs w:val="18"/>
              </w:rPr>
              <w:t xml:space="preserve"> 21). </w:t>
            </w:r>
          </w:p>
        </w:tc>
        <w:tc>
          <w:tcPr>
            <w:tcW w:w="1370" w:type="dxa"/>
            <w:vAlign w:val="center"/>
          </w:tcPr>
          <w:p w14:paraId="6ECE1F6B" w14:textId="0337C70C" w:rsidR="00B64005" w:rsidRPr="00ED2E0F" w:rsidRDefault="00614553">
            <w:pPr>
              <w:spacing w:before="60" w:after="240"/>
              <w:jc w:val="center"/>
              <w:rPr>
                <w:color w:val="000000" w:themeColor="text1"/>
              </w:rPr>
            </w:pPr>
            <w:r w:rsidRPr="00ED2E0F">
              <w:rPr>
                <w:color w:val="000000" w:themeColor="text1"/>
              </w:rPr>
              <w:t>L</w:t>
            </w:r>
          </w:p>
        </w:tc>
        <w:tc>
          <w:tcPr>
            <w:tcW w:w="1268" w:type="dxa"/>
            <w:vMerge/>
            <w:vAlign w:val="center"/>
          </w:tcPr>
          <w:p w14:paraId="749834D8" w14:textId="77777777" w:rsidR="00B64005" w:rsidRPr="00ED2E0F" w:rsidRDefault="00B64005">
            <w:pPr>
              <w:spacing w:before="60" w:after="240"/>
              <w:jc w:val="center"/>
              <w:rPr>
                <w:color w:val="000000" w:themeColor="text1"/>
              </w:rPr>
            </w:pPr>
          </w:p>
        </w:tc>
      </w:tr>
      <w:tr w:rsidR="00B64005" w:rsidRPr="00ED2E0F" w14:paraId="3A47507F" w14:textId="77777777">
        <w:tc>
          <w:tcPr>
            <w:tcW w:w="2432" w:type="dxa"/>
          </w:tcPr>
          <w:p w14:paraId="697DF4A1" w14:textId="77777777" w:rsidR="00B64005" w:rsidRPr="00ED2E0F" w:rsidRDefault="00B64005">
            <w:pPr>
              <w:spacing w:before="60" w:after="240"/>
              <w:rPr>
                <w:color w:val="000000" w:themeColor="text1"/>
                <w:sz w:val="22"/>
                <w:szCs w:val="22"/>
              </w:rPr>
            </w:pPr>
            <w:r w:rsidRPr="00ED2E0F">
              <w:rPr>
                <w:i/>
                <w:iCs/>
                <w:color w:val="000000" w:themeColor="text1"/>
                <w:sz w:val="22"/>
                <w:szCs w:val="22"/>
              </w:rPr>
              <w:t>Precision</w:t>
            </w:r>
            <w:r w:rsidRPr="00ED2E0F">
              <w:rPr>
                <w:color w:val="000000" w:themeColor="text1"/>
                <w:sz w:val="22"/>
                <w:szCs w:val="22"/>
              </w:rPr>
              <w:t xml:space="preserve"> – Accuracy (</w:t>
            </w:r>
            <w:r w:rsidRPr="00ED2E0F">
              <w:rPr>
                <w:i/>
                <w:iCs/>
                <w:color w:val="000000" w:themeColor="text1"/>
                <w:sz w:val="22"/>
                <w:szCs w:val="22"/>
              </w:rPr>
              <w:t xml:space="preserve">ratione </w:t>
            </w:r>
            <w:proofErr w:type="spellStart"/>
            <w:r w:rsidRPr="00ED2E0F">
              <w:rPr>
                <w:i/>
                <w:iCs/>
                <w:color w:val="000000" w:themeColor="text1"/>
                <w:sz w:val="22"/>
                <w:szCs w:val="22"/>
              </w:rPr>
              <w:t>materiae</w:t>
            </w:r>
            <w:proofErr w:type="spellEnd"/>
            <w:r w:rsidRPr="00ED2E0F">
              <w:rPr>
                <w:color w:val="000000" w:themeColor="text1"/>
                <w:sz w:val="22"/>
                <w:szCs w:val="22"/>
              </w:rPr>
              <w:t>)</w:t>
            </w:r>
          </w:p>
        </w:tc>
        <w:tc>
          <w:tcPr>
            <w:tcW w:w="5136" w:type="dxa"/>
          </w:tcPr>
          <w:p w14:paraId="201EBAE1" w14:textId="57913C92" w:rsidR="00B64005" w:rsidRPr="00ED2E0F" w:rsidRDefault="00B64005">
            <w:pPr>
              <w:spacing w:before="60" w:after="240"/>
              <w:rPr>
                <w:color w:val="000000" w:themeColor="text1"/>
                <w:sz w:val="18"/>
                <w:szCs w:val="18"/>
              </w:rPr>
            </w:pPr>
            <w:r w:rsidRPr="00ED2E0F">
              <w:rPr>
                <w:color w:val="000000" w:themeColor="text1"/>
                <w:sz w:val="18"/>
                <w:szCs w:val="18"/>
              </w:rPr>
              <w:t>The accuracy varies in A40-19 and the Annex 16</w:t>
            </w:r>
            <w:r w:rsidR="006E35E7" w:rsidRPr="00ED2E0F">
              <w:rPr>
                <w:color w:val="000000" w:themeColor="text1"/>
                <w:sz w:val="18"/>
                <w:szCs w:val="18"/>
              </w:rPr>
              <w:t>,</w:t>
            </w:r>
            <w:r w:rsidRPr="00ED2E0F">
              <w:rPr>
                <w:color w:val="000000" w:themeColor="text1"/>
                <w:sz w:val="18"/>
                <w:szCs w:val="18"/>
              </w:rPr>
              <w:t xml:space="preserve"> Vol. IV. They</w:t>
            </w:r>
            <w:r w:rsidR="00D805D1" w:rsidRPr="00ED2E0F">
              <w:rPr>
                <w:color w:val="000000" w:themeColor="text1"/>
                <w:sz w:val="18"/>
                <w:szCs w:val="18"/>
              </w:rPr>
              <w:t xml:space="preserve"> mostly</w:t>
            </w:r>
            <w:r w:rsidRPr="00ED2E0F">
              <w:rPr>
                <w:color w:val="000000" w:themeColor="text1"/>
                <w:sz w:val="18"/>
                <w:szCs w:val="18"/>
              </w:rPr>
              <w:t xml:space="preserve"> are hard as they describe the technical aspects of climate offset</w:t>
            </w:r>
            <w:r w:rsidR="00D805D1" w:rsidRPr="00ED2E0F">
              <w:rPr>
                <w:color w:val="000000" w:themeColor="text1"/>
                <w:sz w:val="18"/>
                <w:szCs w:val="18"/>
              </w:rPr>
              <w:t>s</w:t>
            </w:r>
            <w:r w:rsidRPr="00ED2E0F">
              <w:rPr>
                <w:color w:val="000000" w:themeColor="text1"/>
                <w:sz w:val="18"/>
                <w:szCs w:val="18"/>
              </w:rPr>
              <w:t xml:space="preserve"> of aviation and the CORSIA eligible fuels </w:t>
            </w:r>
            <w:r w:rsidR="00D805D1" w:rsidRPr="00ED2E0F">
              <w:rPr>
                <w:color w:val="000000" w:themeColor="text1"/>
                <w:sz w:val="18"/>
                <w:szCs w:val="18"/>
              </w:rPr>
              <w:t xml:space="preserve">(sustainable aviation fuels </w:t>
            </w:r>
            <w:r w:rsidRPr="00ED2E0F">
              <w:rPr>
                <w:color w:val="000000" w:themeColor="text1"/>
                <w:sz w:val="18"/>
                <w:szCs w:val="18"/>
              </w:rPr>
              <w:t>and low carbon advanced fuels (LCAFs)</w:t>
            </w:r>
            <w:r w:rsidR="00D805D1" w:rsidRPr="00ED2E0F">
              <w:rPr>
                <w:color w:val="000000" w:themeColor="text1"/>
                <w:sz w:val="18"/>
                <w:szCs w:val="18"/>
              </w:rPr>
              <w:t>)</w:t>
            </w:r>
            <w:r w:rsidRPr="00ED2E0F">
              <w:rPr>
                <w:color w:val="000000" w:themeColor="text1"/>
                <w:sz w:val="18"/>
                <w:szCs w:val="18"/>
              </w:rPr>
              <w:t xml:space="preserve"> with high accuracy. The important clauses </w:t>
            </w:r>
            <w:r w:rsidR="004C50E1" w:rsidRPr="00ED2E0F">
              <w:rPr>
                <w:color w:val="000000" w:themeColor="text1"/>
                <w:sz w:val="18"/>
                <w:szCs w:val="18"/>
              </w:rPr>
              <w:t>(</w:t>
            </w:r>
            <w:r w:rsidR="004C2E0B" w:rsidRPr="00ED2E0F">
              <w:rPr>
                <w:color w:val="000000" w:themeColor="text1"/>
                <w:sz w:val="18"/>
                <w:szCs w:val="18"/>
              </w:rPr>
              <w:t>para</w:t>
            </w:r>
            <w:r w:rsidR="004C50E1" w:rsidRPr="00ED2E0F">
              <w:rPr>
                <w:color w:val="000000" w:themeColor="text1"/>
                <w:sz w:val="18"/>
                <w:szCs w:val="18"/>
              </w:rPr>
              <w:t xml:space="preserve">. 10) </w:t>
            </w:r>
            <w:r w:rsidRPr="00ED2E0F">
              <w:rPr>
                <w:color w:val="000000" w:themeColor="text1"/>
                <w:sz w:val="18"/>
                <w:szCs w:val="18"/>
              </w:rPr>
              <w:t>and more political commitments on future actions to implement CORSIA (</w:t>
            </w:r>
            <w:r w:rsidR="004C2E0B" w:rsidRPr="00ED2E0F">
              <w:rPr>
                <w:color w:val="000000" w:themeColor="text1"/>
                <w:sz w:val="18"/>
                <w:szCs w:val="18"/>
              </w:rPr>
              <w:t>para</w:t>
            </w:r>
            <w:r w:rsidR="004C50E1" w:rsidRPr="00ED2E0F">
              <w:rPr>
                <w:color w:val="000000" w:themeColor="text1"/>
                <w:sz w:val="18"/>
                <w:szCs w:val="18"/>
              </w:rPr>
              <w:t xml:space="preserve">. </w:t>
            </w:r>
            <w:r w:rsidRPr="00ED2E0F">
              <w:rPr>
                <w:color w:val="000000" w:themeColor="text1"/>
                <w:sz w:val="18"/>
                <w:szCs w:val="18"/>
              </w:rPr>
              <w:t xml:space="preserve">19) are also </w:t>
            </w:r>
            <w:r w:rsidR="00CA594B" w:rsidRPr="00ED2E0F">
              <w:rPr>
                <w:color w:val="000000" w:themeColor="text1"/>
                <w:sz w:val="18"/>
                <w:szCs w:val="18"/>
              </w:rPr>
              <w:t xml:space="preserve">moderately </w:t>
            </w:r>
            <w:r w:rsidRPr="00ED2E0F">
              <w:rPr>
                <w:color w:val="000000" w:themeColor="text1"/>
                <w:sz w:val="18"/>
                <w:szCs w:val="18"/>
              </w:rPr>
              <w:t>accurate. CORSIA is soft on</w:t>
            </w:r>
            <w:r w:rsidR="006E35E7" w:rsidRPr="00ED2E0F">
              <w:rPr>
                <w:color w:val="000000" w:themeColor="text1"/>
                <w:sz w:val="18"/>
                <w:szCs w:val="18"/>
              </w:rPr>
              <w:t>,</w:t>
            </w:r>
            <w:r w:rsidRPr="00ED2E0F">
              <w:rPr>
                <w:color w:val="000000" w:themeColor="text1"/>
                <w:sz w:val="18"/>
                <w:szCs w:val="18"/>
              </w:rPr>
              <w:t xml:space="preserve"> e.g.</w:t>
            </w:r>
            <w:r w:rsidR="006E35E7" w:rsidRPr="00ED2E0F">
              <w:rPr>
                <w:color w:val="000000" w:themeColor="text1"/>
                <w:sz w:val="18"/>
                <w:szCs w:val="18"/>
              </w:rPr>
              <w:t>,</w:t>
            </w:r>
            <w:r w:rsidRPr="00ED2E0F">
              <w:rPr>
                <w:color w:val="000000" w:themeColor="text1"/>
                <w:sz w:val="18"/>
                <w:szCs w:val="18"/>
              </w:rPr>
              <w:t xml:space="preserve"> monitoring implementation (</w:t>
            </w:r>
            <w:r w:rsidR="00944F29" w:rsidRPr="00ED2E0F">
              <w:rPr>
                <w:color w:val="000000" w:themeColor="text1"/>
                <w:sz w:val="18"/>
                <w:szCs w:val="18"/>
              </w:rPr>
              <w:t>para</w:t>
            </w:r>
            <w:r w:rsidR="000D2FAC" w:rsidRPr="00ED2E0F">
              <w:rPr>
                <w:color w:val="000000" w:themeColor="text1"/>
                <w:sz w:val="18"/>
                <w:szCs w:val="18"/>
              </w:rPr>
              <w:t>.</w:t>
            </w:r>
            <w:r w:rsidRPr="00ED2E0F">
              <w:rPr>
                <w:color w:val="000000" w:themeColor="text1"/>
                <w:sz w:val="18"/>
                <w:szCs w:val="18"/>
              </w:rPr>
              <w:t xml:space="preserve"> 7</w:t>
            </w:r>
            <w:r w:rsidR="00087CC7" w:rsidRPr="00ED2E0F">
              <w:rPr>
                <w:color w:val="000000" w:themeColor="text1"/>
                <w:sz w:val="18"/>
                <w:szCs w:val="18"/>
              </w:rPr>
              <w:t xml:space="preserve">) </w:t>
            </w:r>
            <w:r w:rsidRPr="00ED2E0F">
              <w:rPr>
                <w:color w:val="000000" w:themeColor="text1"/>
                <w:sz w:val="18"/>
                <w:szCs w:val="18"/>
              </w:rPr>
              <w:t xml:space="preserve">and </w:t>
            </w:r>
            <w:proofErr w:type="gramStart"/>
            <w:r w:rsidRPr="00ED2E0F">
              <w:rPr>
                <w:color w:val="000000" w:themeColor="text1"/>
                <w:sz w:val="18"/>
                <w:szCs w:val="18"/>
              </w:rPr>
              <w:t>special circumstances</w:t>
            </w:r>
            <w:proofErr w:type="gramEnd"/>
            <w:r w:rsidRPr="00ED2E0F">
              <w:rPr>
                <w:color w:val="000000" w:themeColor="text1"/>
                <w:sz w:val="18"/>
                <w:szCs w:val="18"/>
              </w:rPr>
              <w:t xml:space="preserve"> (</w:t>
            </w:r>
            <w:r w:rsidR="00944F29" w:rsidRPr="00ED2E0F">
              <w:rPr>
                <w:color w:val="000000" w:themeColor="text1"/>
                <w:sz w:val="18"/>
                <w:szCs w:val="18"/>
              </w:rPr>
              <w:t>para</w:t>
            </w:r>
            <w:r w:rsidR="00CE1EC2" w:rsidRPr="00ED2E0F">
              <w:rPr>
                <w:color w:val="000000" w:themeColor="text1"/>
                <w:sz w:val="18"/>
                <w:szCs w:val="18"/>
              </w:rPr>
              <w:t>.</w:t>
            </w:r>
            <w:r w:rsidRPr="00ED2E0F">
              <w:rPr>
                <w:color w:val="000000" w:themeColor="text1"/>
                <w:sz w:val="18"/>
                <w:szCs w:val="18"/>
              </w:rPr>
              <w:t xml:space="preserve"> 8). </w:t>
            </w:r>
            <w:r w:rsidR="005954C8" w:rsidRPr="00ED2E0F">
              <w:rPr>
                <w:color w:val="000000" w:themeColor="text1"/>
                <w:sz w:val="18"/>
                <w:szCs w:val="18"/>
              </w:rPr>
              <w:t>The provisions on implementation are</w:t>
            </w:r>
            <w:r w:rsidR="00087CC7" w:rsidRPr="00ED2E0F">
              <w:rPr>
                <w:color w:val="000000" w:themeColor="text1"/>
                <w:sz w:val="18"/>
                <w:szCs w:val="18"/>
              </w:rPr>
              <w:t xml:space="preserve"> supplemented by the accurate provisions of Annex 16</w:t>
            </w:r>
            <w:r w:rsidR="00087CC7" w:rsidRPr="00ED2E0F">
              <w:rPr>
                <w:rStyle w:val="FootnoteReference"/>
                <w:color w:val="000000" w:themeColor="text1"/>
                <w:sz w:val="18"/>
                <w:szCs w:val="18"/>
              </w:rPr>
              <w:footnoteReference w:id="3"/>
            </w:r>
            <w:r w:rsidR="005954C8" w:rsidRPr="00ED2E0F">
              <w:rPr>
                <w:color w:val="000000" w:themeColor="text1"/>
                <w:sz w:val="18"/>
                <w:szCs w:val="18"/>
              </w:rPr>
              <w:t>.</w:t>
            </w:r>
          </w:p>
        </w:tc>
        <w:tc>
          <w:tcPr>
            <w:tcW w:w="1370" w:type="dxa"/>
            <w:vAlign w:val="center"/>
          </w:tcPr>
          <w:p w14:paraId="55F3FCEA" w14:textId="0DDBC991" w:rsidR="00B64005" w:rsidRPr="00ED2E0F" w:rsidRDefault="00172302">
            <w:pPr>
              <w:spacing w:before="60" w:after="240"/>
              <w:jc w:val="center"/>
              <w:rPr>
                <w:color w:val="000000" w:themeColor="text1"/>
              </w:rPr>
            </w:pPr>
            <w:r w:rsidRPr="00ED2E0F">
              <w:rPr>
                <w:color w:val="000000" w:themeColor="text1"/>
              </w:rPr>
              <w:t>H</w:t>
            </w:r>
          </w:p>
        </w:tc>
        <w:tc>
          <w:tcPr>
            <w:tcW w:w="1268" w:type="dxa"/>
            <w:vMerge w:val="restart"/>
            <w:vAlign w:val="center"/>
          </w:tcPr>
          <w:p w14:paraId="0C3A792C" w14:textId="79CD878D" w:rsidR="00B64005" w:rsidRPr="00ED2E0F" w:rsidRDefault="00172302">
            <w:pPr>
              <w:spacing w:before="60" w:after="240"/>
              <w:jc w:val="center"/>
              <w:rPr>
                <w:color w:val="000000" w:themeColor="text1"/>
              </w:rPr>
            </w:pPr>
            <w:r w:rsidRPr="00ED2E0F">
              <w:rPr>
                <w:color w:val="000000" w:themeColor="text1"/>
              </w:rPr>
              <w:t>H</w:t>
            </w:r>
          </w:p>
        </w:tc>
      </w:tr>
      <w:tr w:rsidR="00B64005" w:rsidRPr="00ED2E0F" w14:paraId="70593839" w14:textId="77777777">
        <w:tc>
          <w:tcPr>
            <w:tcW w:w="2432" w:type="dxa"/>
          </w:tcPr>
          <w:p w14:paraId="5CE7E4DD" w14:textId="77777777" w:rsidR="00B64005" w:rsidRPr="00ED2E0F" w:rsidRDefault="00B64005">
            <w:pPr>
              <w:spacing w:before="60" w:after="240"/>
              <w:rPr>
                <w:color w:val="000000" w:themeColor="text1"/>
                <w:sz w:val="22"/>
                <w:szCs w:val="22"/>
              </w:rPr>
            </w:pPr>
            <w:r w:rsidRPr="00ED2E0F">
              <w:rPr>
                <w:i/>
                <w:iCs/>
                <w:color w:val="000000" w:themeColor="text1"/>
                <w:sz w:val="22"/>
                <w:szCs w:val="22"/>
              </w:rPr>
              <w:t>Precision</w:t>
            </w:r>
            <w:r w:rsidRPr="00ED2E0F">
              <w:rPr>
                <w:color w:val="000000" w:themeColor="text1"/>
                <w:sz w:val="22"/>
                <w:szCs w:val="22"/>
              </w:rPr>
              <w:t xml:space="preserve"> – Specificity (</w:t>
            </w:r>
            <w:r w:rsidRPr="00ED2E0F">
              <w:rPr>
                <w:i/>
                <w:iCs/>
                <w:color w:val="000000" w:themeColor="text1"/>
                <w:sz w:val="22"/>
                <w:szCs w:val="22"/>
              </w:rPr>
              <w:t>ratione personae</w:t>
            </w:r>
            <w:r w:rsidRPr="00ED2E0F">
              <w:rPr>
                <w:color w:val="000000" w:themeColor="text1"/>
                <w:sz w:val="22"/>
                <w:szCs w:val="22"/>
              </w:rPr>
              <w:t>)</w:t>
            </w:r>
          </w:p>
        </w:tc>
        <w:tc>
          <w:tcPr>
            <w:tcW w:w="5136" w:type="dxa"/>
          </w:tcPr>
          <w:p w14:paraId="4743CC20" w14:textId="3F1E71AA" w:rsidR="00B64005" w:rsidRPr="00ED2E0F" w:rsidRDefault="00B64005">
            <w:pPr>
              <w:spacing w:before="60" w:after="240"/>
              <w:rPr>
                <w:color w:val="000000" w:themeColor="text1"/>
                <w:sz w:val="18"/>
                <w:szCs w:val="18"/>
              </w:rPr>
            </w:pPr>
            <w:r w:rsidRPr="00ED2E0F">
              <w:rPr>
                <w:color w:val="000000" w:themeColor="text1"/>
                <w:sz w:val="18"/>
                <w:szCs w:val="18"/>
              </w:rPr>
              <w:t xml:space="preserve">The specificity of the paragraphs is in </w:t>
            </w:r>
            <w:proofErr w:type="gramStart"/>
            <w:r w:rsidRPr="00ED2E0F">
              <w:rPr>
                <w:color w:val="000000" w:themeColor="text1"/>
                <w:sz w:val="18"/>
                <w:szCs w:val="18"/>
              </w:rPr>
              <w:t>some</w:t>
            </w:r>
            <w:proofErr w:type="gramEnd"/>
            <w:r w:rsidRPr="00ED2E0F">
              <w:rPr>
                <w:color w:val="000000" w:themeColor="text1"/>
                <w:sz w:val="18"/>
                <w:szCs w:val="18"/>
              </w:rPr>
              <w:t xml:space="preserve"> untargeted acknowledgments (par</w:t>
            </w:r>
            <w:r w:rsidR="00CE1EC2" w:rsidRPr="00ED2E0F">
              <w:rPr>
                <w:color w:val="000000" w:themeColor="text1"/>
                <w:sz w:val="18"/>
                <w:szCs w:val="18"/>
              </w:rPr>
              <w:t>a</w:t>
            </w:r>
            <w:r w:rsidRPr="00ED2E0F">
              <w:rPr>
                <w:color w:val="000000" w:themeColor="text1"/>
                <w:sz w:val="18"/>
                <w:szCs w:val="18"/>
              </w:rPr>
              <w:t>s</w:t>
            </w:r>
            <w:r w:rsidR="00CE1EC2" w:rsidRPr="00ED2E0F">
              <w:rPr>
                <w:color w:val="000000" w:themeColor="text1"/>
                <w:sz w:val="18"/>
                <w:szCs w:val="18"/>
              </w:rPr>
              <w:t>.</w:t>
            </w:r>
            <w:r w:rsidRPr="00ED2E0F">
              <w:rPr>
                <w:color w:val="000000" w:themeColor="text1"/>
                <w:sz w:val="18"/>
                <w:szCs w:val="18"/>
              </w:rPr>
              <w:t xml:space="preserve"> 4, 5, 8, 9g) low, but mostly relatively high, </w:t>
            </w:r>
            <w:proofErr w:type="gramStart"/>
            <w:r w:rsidRPr="00ED2E0F">
              <w:rPr>
                <w:color w:val="000000" w:themeColor="text1"/>
                <w:sz w:val="18"/>
                <w:szCs w:val="18"/>
              </w:rPr>
              <w:t>in particular on</w:t>
            </w:r>
            <w:proofErr w:type="gramEnd"/>
            <w:r w:rsidRPr="00ED2E0F">
              <w:rPr>
                <w:color w:val="000000" w:themeColor="text1"/>
                <w:sz w:val="18"/>
                <w:szCs w:val="18"/>
              </w:rPr>
              <w:t xml:space="preserve"> the important </w:t>
            </w:r>
            <w:r w:rsidR="006E35E7" w:rsidRPr="00ED2E0F">
              <w:rPr>
                <w:color w:val="000000" w:themeColor="text1"/>
                <w:sz w:val="18"/>
                <w:szCs w:val="18"/>
              </w:rPr>
              <w:t xml:space="preserve">para. </w:t>
            </w:r>
            <w:r w:rsidRPr="00ED2E0F">
              <w:rPr>
                <w:color w:val="000000" w:themeColor="text1"/>
                <w:sz w:val="18"/>
                <w:szCs w:val="18"/>
              </w:rPr>
              <w:t xml:space="preserve">9 on the </w:t>
            </w:r>
            <w:r w:rsidR="006E35E7" w:rsidRPr="00ED2E0F">
              <w:rPr>
                <w:color w:val="000000" w:themeColor="text1"/>
                <w:sz w:val="18"/>
                <w:szCs w:val="18"/>
              </w:rPr>
              <w:t xml:space="preserve">3 </w:t>
            </w:r>
            <w:r w:rsidRPr="00ED2E0F">
              <w:rPr>
                <w:color w:val="000000" w:themeColor="text1"/>
                <w:sz w:val="18"/>
                <w:szCs w:val="18"/>
              </w:rPr>
              <w:t xml:space="preserve">phases of CORSIA and </w:t>
            </w:r>
            <w:r w:rsidR="006E35E7" w:rsidRPr="00ED2E0F">
              <w:rPr>
                <w:color w:val="000000" w:themeColor="text1"/>
                <w:sz w:val="18"/>
                <w:szCs w:val="18"/>
              </w:rPr>
              <w:t xml:space="preserve">para. </w:t>
            </w:r>
            <w:r w:rsidRPr="00ED2E0F">
              <w:rPr>
                <w:color w:val="000000" w:themeColor="text1"/>
                <w:sz w:val="18"/>
                <w:szCs w:val="18"/>
              </w:rPr>
              <w:t xml:space="preserve">19(f) on implementation targeting the Member States; </w:t>
            </w:r>
            <w:r w:rsidR="006E35E7" w:rsidRPr="00ED2E0F">
              <w:rPr>
                <w:color w:val="000000" w:themeColor="text1"/>
                <w:sz w:val="18"/>
                <w:szCs w:val="18"/>
              </w:rPr>
              <w:t xml:space="preserve">para. </w:t>
            </w:r>
            <w:r w:rsidRPr="00ED2E0F">
              <w:rPr>
                <w:color w:val="000000" w:themeColor="text1"/>
                <w:sz w:val="18"/>
                <w:szCs w:val="18"/>
              </w:rPr>
              <w:t xml:space="preserve">15 on (reporting during) compliance periods targeting airplane operators, and </w:t>
            </w:r>
            <w:r w:rsidR="006E35E7" w:rsidRPr="00ED2E0F">
              <w:rPr>
                <w:color w:val="000000" w:themeColor="text1"/>
                <w:sz w:val="18"/>
                <w:szCs w:val="18"/>
              </w:rPr>
              <w:t>par</w:t>
            </w:r>
            <w:r w:rsidR="00853B75" w:rsidRPr="00ED2E0F">
              <w:rPr>
                <w:color w:val="000000" w:themeColor="text1"/>
                <w:sz w:val="18"/>
                <w:szCs w:val="18"/>
              </w:rPr>
              <w:t>a</w:t>
            </w:r>
            <w:r w:rsidR="006E35E7" w:rsidRPr="00ED2E0F">
              <w:rPr>
                <w:color w:val="000000" w:themeColor="text1"/>
                <w:sz w:val="18"/>
                <w:szCs w:val="18"/>
              </w:rPr>
              <w:t xml:space="preserve">. </w:t>
            </w:r>
            <w:r w:rsidRPr="00ED2E0F">
              <w:rPr>
                <w:color w:val="000000" w:themeColor="text1"/>
                <w:sz w:val="18"/>
                <w:szCs w:val="18"/>
              </w:rPr>
              <w:t>19 on updating the requirements targeting the Council</w:t>
            </w:r>
            <w:proofErr w:type="gramStart"/>
            <w:r w:rsidRPr="00ED2E0F">
              <w:rPr>
                <w:color w:val="000000" w:themeColor="text1"/>
                <w:sz w:val="18"/>
                <w:szCs w:val="18"/>
              </w:rPr>
              <w:t xml:space="preserve">.  </w:t>
            </w:r>
            <w:proofErr w:type="gramEnd"/>
            <w:r w:rsidRPr="00ED2E0F">
              <w:rPr>
                <w:color w:val="000000" w:themeColor="text1"/>
                <w:sz w:val="18"/>
                <w:szCs w:val="18"/>
              </w:rPr>
              <w:t xml:space="preserve"> </w:t>
            </w:r>
          </w:p>
        </w:tc>
        <w:tc>
          <w:tcPr>
            <w:tcW w:w="1370" w:type="dxa"/>
            <w:vAlign w:val="center"/>
          </w:tcPr>
          <w:p w14:paraId="0EFAB94D" w14:textId="5CD6163F" w:rsidR="00B64005" w:rsidRPr="00ED2E0F" w:rsidRDefault="008D0D96">
            <w:pPr>
              <w:spacing w:before="60" w:after="240"/>
              <w:jc w:val="center"/>
              <w:rPr>
                <w:color w:val="000000" w:themeColor="text1"/>
              </w:rPr>
            </w:pPr>
            <w:r w:rsidRPr="00ED2E0F">
              <w:rPr>
                <w:color w:val="000000" w:themeColor="text1"/>
              </w:rPr>
              <w:t>H</w:t>
            </w:r>
          </w:p>
        </w:tc>
        <w:tc>
          <w:tcPr>
            <w:tcW w:w="1268" w:type="dxa"/>
            <w:vMerge/>
            <w:vAlign w:val="center"/>
          </w:tcPr>
          <w:p w14:paraId="43A37200" w14:textId="77777777" w:rsidR="00B64005" w:rsidRPr="00ED2E0F" w:rsidRDefault="00B64005">
            <w:pPr>
              <w:spacing w:before="60" w:after="240"/>
              <w:jc w:val="center"/>
              <w:rPr>
                <w:color w:val="000000" w:themeColor="text1"/>
              </w:rPr>
            </w:pPr>
          </w:p>
        </w:tc>
      </w:tr>
      <w:tr w:rsidR="00B64005" w:rsidRPr="00ED2E0F" w14:paraId="4E5B347E" w14:textId="77777777">
        <w:tc>
          <w:tcPr>
            <w:tcW w:w="2432" w:type="dxa"/>
          </w:tcPr>
          <w:p w14:paraId="29CED4D3" w14:textId="1736AB44" w:rsidR="00B64005" w:rsidRPr="00ED2E0F" w:rsidRDefault="004E0522">
            <w:pPr>
              <w:spacing w:before="60" w:after="240"/>
              <w:rPr>
                <w:color w:val="000000" w:themeColor="text1"/>
                <w:sz w:val="22"/>
                <w:szCs w:val="22"/>
              </w:rPr>
            </w:pPr>
            <w:r w:rsidRPr="00ED2E0F">
              <w:rPr>
                <w:i/>
                <w:iCs/>
                <w:color w:val="000000" w:themeColor="text1"/>
                <w:sz w:val="22"/>
                <w:szCs w:val="22"/>
              </w:rPr>
              <w:t>Means of i</w:t>
            </w:r>
            <w:r w:rsidR="006B12C3" w:rsidRPr="00ED2E0F">
              <w:rPr>
                <w:i/>
                <w:iCs/>
                <w:color w:val="000000" w:themeColor="text1"/>
                <w:sz w:val="22"/>
                <w:szCs w:val="22"/>
              </w:rPr>
              <w:t>mplementation</w:t>
            </w:r>
            <w:r w:rsidR="00B64005" w:rsidRPr="00ED2E0F">
              <w:rPr>
                <w:color w:val="000000" w:themeColor="text1"/>
                <w:sz w:val="22"/>
                <w:szCs w:val="22"/>
              </w:rPr>
              <w:t xml:space="preserve"> – Scope</w:t>
            </w:r>
          </w:p>
        </w:tc>
        <w:tc>
          <w:tcPr>
            <w:tcW w:w="5136" w:type="dxa"/>
          </w:tcPr>
          <w:p w14:paraId="7EC76EB3" w14:textId="5D27F2BE" w:rsidR="00B64005" w:rsidRPr="00ED2E0F" w:rsidRDefault="00B64005">
            <w:pPr>
              <w:spacing w:before="60" w:after="240"/>
              <w:rPr>
                <w:color w:val="000000" w:themeColor="text1"/>
                <w:sz w:val="18"/>
                <w:szCs w:val="18"/>
              </w:rPr>
            </w:pPr>
            <w:r w:rsidRPr="00ED2E0F">
              <w:rPr>
                <w:color w:val="000000" w:themeColor="text1"/>
                <w:sz w:val="18"/>
                <w:szCs w:val="18"/>
              </w:rPr>
              <w:t xml:space="preserve">The ICAO Council is the subject of a delegation of a range of </w:t>
            </w:r>
            <w:r w:rsidR="006B12C3" w:rsidRPr="00ED2E0F">
              <w:rPr>
                <w:color w:val="000000" w:themeColor="text1"/>
                <w:sz w:val="18"/>
                <w:szCs w:val="18"/>
              </w:rPr>
              <w:t xml:space="preserve">implementing </w:t>
            </w:r>
            <w:r w:rsidRPr="00ED2E0F">
              <w:rPr>
                <w:color w:val="000000" w:themeColor="text1"/>
                <w:sz w:val="18"/>
                <w:szCs w:val="18"/>
              </w:rPr>
              <w:t>tasks from ensuring further progress on sustainable aviation fuels (par</w:t>
            </w:r>
            <w:r w:rsidR="00CE1EC2" w:rsidRPr="00ED2E0F">
              <w:rPr>
                <w:color w:val="000000" w:themeColor="text1"/>
                <w:sz w:val="18"/>
                <w:szCs w:val="18"/>
              </w:rPr>
              <w:t>a.</w:t>
            </w:r>
            <w:r w:rsidRPr="00ED2E0F">
              <w:rPr>
                <w:color w:val="000000" w:themeColor="text1"/>
                <w:sz w:val="18"/>
                <w:szCs w:val="18"/>
              </w:rPr>
              <w:t xml:space="preserve"> 6), </w:t>
            </w:r>
            <w:proofErr w:type="spellStart"/>
            <w:proofErr w:type="gramStart"/>
            <w:r w:rsidRPr="00ED2E0F">
              <w:rPr>
                <w:color w:val="000000" w:themeColor="text1"/>
                <w:sz w:val="18"/>
                <w:szCs w:val="18"/>
              </w:rPr>
              <w:t>conductinga</w:t>
            </w:r>
            <w:proofErr w:type="spellEnd"/>
            <w:proofErr w:type="gramEnd"/>
            <w:r w:rsidRPr="00ED2E0F">
              <w:rPr>
                <w:color w:val="000000" w:themeColor="text1"/>
                <w:sz w:val="18"/>
                <w:szCs w:val="18"/>
              </w:rPr>
              <w:t xml:space="preserve"> review of the implementation </w:t>
            </w:r>
            <w:r w:rsidRPr="00ED2E0F">
              <w:rPr>
                <w:color w:val="000000" w:themeColor="text1"/>
                <w:sz w:val="18"/>
                <w:szCs w:val="18"/>
              </w:rPr>
              <w:lastRenderedPageBreak/>
              <w:t>of CORSIA (par</w:t>
            </w:r>
            <w:r w:rsidR="00CE1EC2" w:rsidRPr="00ED2E0F">
              <w:rPr>
                <w:color w:val="000000" w:themeColor="text1"/>
                <w:sz w:val="18"/>
                <w:szCs w:val="18"/>
              </w:rPr>
              <w:t>a</w:t>
            </w:r>
            <w:r w:rsidR="006E35E7" w:rsidRPr="00ED2E0F">
              <w:rPr>
                <w:color w:val="000000" w:themeColor="text1"/>
                <w:sz w:val="18"/>
                <w:szCs w:val="18"/>
              </w:rPr>
              <w:t xml:space="preserve">s. </w:t>
            </w:r>
            <w:r w:rsidRPr="00ED2E0F">
              <w:rPr>
                <w:color w:val="000000" w:themeColor="text1"/>
                <w:sz w:val="18"/>
                <w:szCs w:val="18"/>
              </w:rPr>
              <w:t>9, 17) and updating Annex 16</w:t>
            </w:r>
            <w:r w:rsidR="006E35E7" w:rsidRPr="00ED2E0F">
              <w:rPr>
                <w:color w:val="000000" w:themeColor="text1"/>
                <w:sz w:val="18"/>
                <w:szCs w:val="18"/>
              </w:rPr>
              <w:t>,</w:t>
            </w:r>
            <w:r w:rsidRPr="00ED2E0F">
              <w:rPr>
                <w:color w:val="000000" w:themeColor="text1"/>
                <w:sz w:val="18"/>
                <w:szCs w:val="18"/>
              </w:rPr>
              <w:t xml:space="preserve"> Vol IV, as appropriate (par</w:t>
            </w:r>
            <w:r w:rsidR="00CE1EC2" w:rsidRPr="00ED2E0F">
              <w:rPr>
                <w:color w:val="000000" w:themeColor="text1"/>
                <w:sz w:val="18"/>
                <w:szCs w:val="18"/>
              </w:rPr>
              <w:t>a</w:t>
            </w:r>
            <w:r w:rsidRPr="00ED2E0F">
              <w:rPr>
                <w:color w:val="000000" w:themeColor="text1"/>
                <w:sz w:val="18"/>
                <w:szCs w:val="18"/>
              </w:rPr>
              <w:t xml:space="preserve">. 19). There is also </w:t>
            </w:r>
            <w:r w:rsidR="00B96E13" w:rsidRPr="00ED2E0F">
              <w:rPr>
                <w:color w:val="000000" w:themeColor="text1"/>
                <w:sz w:val="18"/>
                <w:szCs w:val="18"/>
              </w:rPr>
              <w:t xml:space="preserve">a </w:t>
            </w:r>
            <w:r w:rsidRPr="00ED2E0F">
              <w:rPr>
                <w:color w:val="000000" w:themeColor="text1"/>
                <w:sz w:val="18"/>
                <w:szCs w:val="18"/>
              </w:rPr>
              <w:t>mandate</w:t>
            </w:r>
            <w:r w:rsidR="006E35E7" w:rsidRPr="00ED2E0F">
              <w:rPr>
                <w:color w:val="000000" w:themeColor="text1"/>
                <w:sz w:val="18"/>
                <w:szCs w:val="18"/>
              </w:rPr>
              <w:t>,</w:t>
            </w:r>
            <w:r w:rsidRPr="00ED2E0F">
              <w:rPr>
                <w:color w:val="000000" w:themeColor="text1"/>
                <w:sz w:val="18"/>
                <w:szCs w:val="18"/>
              </w:rPr>
              <w:t xml:space="preserve"> e.g.</w:t>
            </w:r>
            <w:r w:rsidR="006E35E7" w:rsidRPr="00ED2E0F">
              <w:rPr>
                <w:color w:val="000000" w:themeColor="text1"/>
                <w:sz w:val="18"/>
                <w:szCs w:val="18"/>
              </w:rPr>
              <w:t>,</w:t>
            </w:r>
            <w:r w:rsidRPr="00ED2E0F">
              <w:rPr>
                <w:color w:val="000000" w:themeColor="text1"/>
                <w:sz w:val="18"/>
                <w:szCs w:val="18"/>
              </w:rPr>
              <w:t xml:space="preserve"> </w:t>
            </w:r>
            <w:r w:rsidR="006E35E7" w:rsidRPr="00ED2E0F">
              <w:rPr>
                <w:color w:val="000000" w:themeColor="text1"/>
                <w:sz w:val="18"/>
                <w:szCs w:val="18"/>
              </w:rPr>
              <w:t>to ‘</w:t>
            </w:r>
            <w:r w:rsidRPr="00ED2E0F">
              <w:rPr>
                <w:color w:val="000000" w:themeColor="text1"/>
                <w:sz w:val="18"/>
                <w:szCs w:val="18"/>
              </w:rPr>
              <w:t>monitor the implementation of all elements</w:t>
            </w:r>
            <w:r w:rsidR="006E35E7" w:rsidRPr="00ED2E0F">
              <w:rPr>
                <w:color w:val="000000" w:themeColor="text1"/>
                <w:sz w:val="18"/>
                <w:szCs w:val="18"/>
              </w:rPr>
              <w:t>’,</w:t>
            </w:r>
            <w:r w:rsidRPr="00ED2E0F">
              <w:rPr>
                <w:color w:val="000000" w:themeColor="text1"/>
                <w:sz w:val="18"/>
                <w:szCs w:val="18"/>
              </w:rPr>
              <w:t xml:space="preserve"> and</w:t>
            </w:r>
            <w:r w:rsidR="006E35E7" w:rsidRPr="00ED2E0F">
              <w:rPr>
                <w:color w:val="000000" w:themeColor="text1"/>
                <w:sz w:val="18"/>
                <w:szCs w:val="18"/>
              </w:rPr>
              <w:t xml:space="preserve"> to</w:t>
            </w:r>
            <w:r w:rsidRPr="00ED2E0F">
              <w:rPr>
                <w:color w:val="000000" w:themeColor="text1"/>
                <w:sz w:val="18"/>
                <w:szCs w:val="18"/>
              </w:rPr>
              <w:t xml:space="preserve"> </w:t>
            </w:r>
            <w:r w:rsidR="006E35E7" w:rsidRPr="00ED2E0F">
              <w:rPr>
                <w:color w:val="000000" w:themeColor="text1"/>
                <w:sz w:val="18"/>
                <w:szCs w:val="18"/>
              </w:rPr>
              <w:t>‘</w:t>
            </w:r>
            <w:r w:rsidRPr="00ED2E0F">
              <w:rPr>
                <w:color w:val="000000" w:themeColor="text1"/>
                <w:sz w:val="18"/>
                <w:szCs w:val="18"/>
              </w:rPr>
              <w:t>consider the necessary policies</w:t>
            </w:r>
            <w:r w:rsidR="006E35E7" w:rsidRPr="00ED2E0F">
              <w:rPr>
                <w:color w:val="000000" w:themeColor="text1"/>
                <w:sz w:val="18"/>
                <w:szCs w:val="18"/>
              </w:rPr>
              <w:t xml:space="preserve">’ </w:t>
            </w:r>
            <w:r w:rsidRPr="00ED2E0F">
              <w:rPr>
                <w:color w:val="000000" w:themeColor="text1"/>
                <w:sz w:val="18"/>
                <w:szCs w:val="18"/>
              </w:rPr>
              <w:t>(par</w:t>
            </w:r>
            <w:r w:rsidR="00CE1EC2" w:rsidRPr="00ED2E0F">
              <w:rPr>
                <w:color w:val="000000" w:themeColor="text1"/>
                <w:sz w:val="18"/>
                <w:szCs w:val="18"/>
              </w:rPr>
              <w:t>a.</w:t>
            </w:r>
            <w:r w:rsidRPr="00ED2E0F">
              <w:rPr>
                <w:color w:val="000000" w:themeColor="text1"/>
                <w:sz w:val="18"/>
                <w:szCs w:val="18"/>
              </w:rPr>
              <w:t xml:space="preserve"> </w:t>
            </w:r>
            <w:r w:rsidR="00B32A83" w:rsidRPr="00ED2E0F">
              <w:rPr>
                <w:color w:val="000000" w:themeColor="text1"/>
                <w:sz w:val="18"/>
                <w:szCs w:val="18"/>
              </w:rPr>
              <w:t>7</w:t>
            </w:r>
            <w:r w:rsidRPr="00ED2E0F">
              <w:rPr>
                <w:color w:val="000000" w:themeColor="text1"/>
                <w:sz w:val="18"/>
                <w:szCs w:val="18"/>
              </w:rPr>
              <w:t>)</w:t>
            </w:r>
            <w:proofErr w:type="gramStart"/>
            <w:r w:rsidRPr="00ED2E0F">
              <w:rPr>
                <w:color w:val="000000" w:themeColor="text1"/>
                <w:sz w:val="18"/>
                <w:szCs w:val="18"/>
              </w:rPr>
              <w:t xml:space="preserve">.  </w:t>
            </w:r>
            <w:proofErr w:type="gramEnd"/>
            <w:r w:rsidR="00204396" w:rsidRPr="00ED2E0F">
              <w:rPr>
                <w:color w:val="000000" w:themeColor="text1"/>
                <w:sz w:val="18"/>
                <w:szCs w:val="18"/>
              </w:rPr>
              <w:t>There is a delegation of authority to the ICAO Council, but a</w:t>
            </w:r>
            <w:r w:rsidRPr="00ED2E0F">
              <w:rPr>
                <w:color w:val="000000" w:themeColor="text1"/>
                <w:sz w:val="18"/>
                <w:szCs w:val="18"/>
              </w:rPr>
              <w:t xml:space="preserve"> </w:t>
            </w:r>
            <w:r w:rsidR="00204396" w:rsidRPr="00ED2E0F">
              <w:rPr>
                <w:color w:val="000000" w:themeColor="text1"/>
                <w:sz w:val="18"/>
                <w:szCs w:val="18"/>
              </w:rPr>
              <w:t xml:space="preserve">direct </w:t>
            </w:r>
            <w:r w:rsidRPr="00ED2E0F">
              <w:rPr>
                <w:color w:val="000000" w:themeColor="text1"/>
                <w:sz w:val="18"/>
                <w:szCs w:val="18"/>
              </w:rPr>
              <w:t>mechanism of enforcement is missing</w:t>
            </w:r>
            <w:r w:rsidR="00204396" w:rsidRPr="00ED2E0F">
              <w:rPr>
                <w:color w:val="000000" w:themeColor="text1"/>
                <w:sz w:val="18"/>
                <w:szCs w:val="18"/>
              </w:rPr>
              <w:t>, as the Member States retain parts of the authority</w:t>
            </w:r>
            <w:r w:rsidRPr="00ED2E0F">
              <w:rPr>
                <w:color w:val="000000" w:themeColor="text1"/>
                <w:sz w:val="18"/>
                <w:szCs w:val="18"/>
              </w:rPr>
              <w:t>.</w:t>
            </w:r>
          </w:p>
        </w:tc>
        <w:tc>
          <w:tcPr>
            <w:tcW w:w="1370" w:type="dxa"/>
            <w:vAlign w:val="center"/>
          </w:tcPr>
          <w:p w14:paraId="43EED73E" w14:textId="27550D12" w:rsidR="00B64005" w:rsidRPr="00ED2E0F" w:rsidRDefault="00D81789">
            <w:pPr>
              <w:spacing w:before="60" w:after="240"/>
              <w:jc w:val="center"/>
              <w:rPr>
                <w:color w:val="000000" w:themeColor="text1"/>
              </w:rPr>
            </w:pPr>
            <w:r w:rsidRPr="00ED2E0F">
              <w:rPr>
                <w:color w:val="000000" w:themeColor="text1"/>
              </w:rPr>
              <w:lastRenderedPageBreak/>
              <w:t>M</w:t>
            </w:r>
          </w:p>
        </w:tc>
        <w:tc>
          <w:tcPr>
            <w:tcW w:w="1268" w:type="dxa"/>
            <w:vMerge w:val="restart"/>
            <w:vAlign w:val="center"/>
          </w:tcPr>
          <w:p w14:paraId="3CC43612" w14:textId="1FD24D7F" w:rsidR="00B64005" w:rsidRPr="00ED2E0F" w:rsidRDefault="005A3A6E">
            <w:pPr>
              <w:spacing w:before="60" w:after="240"/>
              <w:jc w:val="center"/>
              <w:rPr>
                <w:color w:val="000000" w:themeColor="text1"/>
              </w:rPr>
            </w:pPr>
            <w:r w:rsidRPr="00ED2E0F">
              <w:rPr>
                <w:color w:val="000000" w:themeColor="text1"/>
              </w:rPr>
              <w:t>M</w:t>
            </w:r>
            <w:r w:rsidR="006D1CC9">
              <w:rPr>
                <w:b/>
                <w:bCs/>
                <w:color w:val="000000" w:themeColor="text1"/>
              </w:rPr>
              <w:t>–</w:t>
            </w:r>
            <w:r w:rsidR="008827B1" w:rsidRPr="00ED2E0F">
              <w:rPr>
                <w:color w:val="000000" w:themeColor="text1"/>
              </w:rPr>
              <w:t>H</w:t>
            </w:r>
          </w:p>
        </w:tc>
      </w:tr>
      <w:tr w:rsidR="00B64005" w:rsidRPr="00ED2E0F" w14:paraId="77BCB52C" w14:textId="77777777">
        <w:tc>
          <w:tcPr>
            <w:tcW w:w="2432" w:type="dxa"/>
          </w:tcPr>
          <w:p w14:paraId="1BF9AB74" w14:textId="7F959643" w:rsidR="00B64005" w:rsidRPr="00ED2E0F" w:rsidRDefault="00795339">
            <w:pPr>
              <w:spacing w:before="60" w:after="240"/>
              <w:rPr>
                <w:color w:val="000000" w:themeColor="text1"/>
                <w:sz w:val="22"/>
                <w:szCs w:val="22"/>
              </w:rPr>
            </w:pPr>
            <w:r w:rsidRPr="00ED2E0F">
              <w:rPr>
                <w:i/>
                <w:iCs/>
                <w:color w:val="000000" w:themeColor="text1"/>
                <w:sz w:val="22"/>
                <w:szCs w:val="22"/>
              </w:rPr>
              <w:t>Means of i</w:t>
            </w:r>
            <w:r w:rsidR="006B12C3" w:rsidRPr="00ED2E0F">
              <w:rPr>
                <w:i/>
                <w:iCs/>
                <w:color w:val="000000" w:themeColor="text1"/>
                <w:sz w:val="22"/>
                <w:szCs w:val="22"/>
              </w:rPr>
              <w:t>mplementation</w:t>
            </w:r>
            <w:r w:rsidR="00B64005" w:rsidRPr="00ED2E0F">
              <w:rPr>
                <w:color w:val="000000" w:themeColor="text1"/>
                <w:sz w:val="22"/>
                <w:szCs w:val="22"/>
              </w:rPr>
              <w:t xml:space="preserve"> – Institution</w:t>
            </w:r>
          </w:p>
        </w:tc>
        <w:tc>
          <w:tcPr>
            <w:tcW w:w="5136" w:type="dxa"/>
          </w:tcPr>
          <w:p w14:paraId="54334746" w14:textId="53B286A1" w:rsidR="00B64005" w:rsidRPr="00ED2E0F" w:rsidRDefault="00B64005">
            <w:pPr>
              <w:spacing w:before="60" w:after="240"/>
              <w:rPr>
                <w:color w:val="000000" w:themeColor="text1"/>
                <w:sz w:val="18"/>
                <w:szCs w:val="18"/>
              </w:rPr>
            </w:pPr>
            <w:r w:rsidRPr="00ED2E0F">
              <w:rPr>
                <w:color w:val="000000" w:themeColor="text1"/>
                <w:sz w:val="18"/>
                <w:szCs w:val="18"/>
              </w:rPr>
              <w:t xml:space="preserve">The ICAO Council, a 35-member body to discharge the duties of ICAO as instructed by the Assembly, is the main institution to which the implementation of CORSIA is delegated. Elected by the CORSIA Assembly, it has authority amongst the ICAO Member Countries. </w:t>
            </w:r>
          </w:p>
        </w:tc>
        <w:tc>
          <w:tcPr>
            <w:tcW w:w="1370" w:type="dxa"/>
            <w:vAlign w:val="center"/>
          </w:tcPr>
          <w:p w14:paraId="4E4222DE" w14:textId="02E3B093" w:rsidR="00B64005" w:rsidRPr="00ED2E0F" w:rsidRDefault="008827B1">
            <w:pPr>
              <w:spacing w:after="240"/>
              <w:jc w:val="center"/>
              <w:rPr>
                <w:color w:val="000000" w:themeColor="text1"/>
              </w:rPr>
            </w:pPr>
            <w:r w:rsidRPr="00ED2E0F">
              <w:rPr>
                <w:color w:val="000000" w:themeColor="text1"/>
              </w:rPr>
              <w:t>H</w:t>
            </w:r>
          </w:p>
        </w:tc>
        <w:tc>
          <w:tcPr>
            <w:tcW w:w="1268" w:type="dxa"/>
            <w:vMerge/>
            <w:vAlign w:val="center"/>
          </w:tcPr>
          <w:p w14:paraId="5A4081B4" w14:textId="77777777" w:rsidR="00B64005" w:rsidRPr="00ED2E0F" w:rsidRDefault="00B64005">
            <w:pPr>
              <w:spacing w:after="240"/>
              <w:jc w:val="center"/>
              <w:rPr>
                <w:color w:val="000000" w:themeColor="text1"/>
              </w:rPr>
            </w:pPr>
          </w:p>
        </w:tc>
      </w:tr>
      <w:tr w:rsidR="00B64005" w:rsidRPr="00ED2E0F" w14:paraId="2E9F7239" w14:textId="77777777">
        <w:tc>
          <w:tcPr>
            <w:tcW w:w="2432" w:type="dxa"/>
            <w:vAlign w:val="center"/>
          </w:tcPr>
          <w:p w14:paraId="1D7F5093" w14:textId="77777777" w:rsidR="00B64005" w:rsidRPr="00ED2E0F" w:rsidRDefault="00B64005">
            <w:pPr>
              <w:spacing w:before="60" w:after="240"/>
              <w:jc w:val="center"/>
              <w:rPr>
                <w:b/>
                <w:bCs/>
                <w:color w:val="000000" w:themeColor="text1"/>
                <w:sz w:val="22"/>
                <w:szCs w:val="22"/>
              </w:rPr>
            </w:pPr>
            <w:r w:rsidRPr="00ED2E0F">
              <w:rPr>
                <w:b/>
                <w:bCs/>
                <w:color w:val="000000" w:themeColor="text1"/>
                <w:sz w:val="22"/>
                <w:szCs w:val="22"/>
              </w:rPr>
              <w:t>Overall hardness</w:t>
            </w:r>
          </w:p>
        </w:tc>
        <w:tc>
          <w:tcPr>
            <w:tcW w:w="5136" w:type="dxa"/>
          </w:tcPr>
          <w:p w14:paraId="3842C6FC" w14:textId="609856DC" w:rsidR="00B64005" w:rsidRPr="00ED2E0F" w:rsidRDefault="00B64005">
            <w:pPr>
              <w:spacing w:before="60" w:after="240"/>
              <w:rPr>
                <w:color w:val="000000" w:themeColor="text1"/>
                <w:sz w:val="18"/>
                <w:szCs w:val="18"/>
              </w:rPr>
            </w:pPr>
            <w:r w:rsidRPr="00ED2E0F">
              <w:rPr>
                <w:color w:val="000000" w:themeColor="text1"/>
                <w:sz w:val="18"/>
                <w:szCs w:val="18"/>
              </w:rPr>
              <w:t xml:space="preserve">Overall, the hardness of CORSIA is </w:t>
            </w:r>
            <w:r w:rsidR="008175E7" w:rsidRPr="00ED2E0F">
              <w:rPr>
                <w:color w:val="000000" w:themeColor="text1"/>
                <w:sz w:val="18"/>
                <w:szCs w:val="18"/>
              </w:rPr>
              <w:t xml:space="preserve">between medium and </w:t>
            </w:r>
            <w:r w:rsidRPr="00ED2E0F">
              <w:rPr>
                <w:color w:val="000000" w:themeColor="text1"/>
                <w:sz w:val="18"/>
                <w:szCs w:val="18"/>
              </w:rPr>
              <w:t xml:space="preserve">high. CORSIA is an instrument of formal international law and sets precise rules. The obligation </w:t>
            </w:r>
            <w:r w:rsidR="005A3A6E" w:rsidRPr="00ED2E0F">
              <w:rPr>
                <w:color w:val="000000" w:themeColor="text1"/>
                <w:sz w:val="18"/>
                <w:szCs w:val="18"/>
              </w:rPr>
              <w:t xml:space="preserve">is at </w:t>
            </w:r>
            <w:r w:rsidR="008175E7" w:rsidRPr="00ED2E0F">
              <w:rPr>
                <w:color w:val="000000" w:themeColor="text1"/>
                <w:sz w:val="18"/>
                <w:szCs w:val="18"/>
              </w:rPr>
              <w:t xml:space="preserve">medium </w:t>
            </w:r>
            <w:r w:rsidR="005A3A6E" w:rsidRPr="00ED2E0F">
              <w:rPr>
                <w:color w:val="000000" w:themeColor="text1"/>
                <w:sz w:val="18"/>
                <w:szCs w:val="18"/>
              </w:rPr>
              <w:t xml:space="preserve">level </w:t>
            </w:r>
            <w:r w:rsidRPr="00ED2E0F">
              <w:rPr>
                <w:color w:val="000000" w:themeColor="text1"/>
                <w:sz w:val="18"/>
                <w:szCs w:val="18"/>
              </w:rPr>
              <w:t xml:space="preserve">and </w:t>
            </w:r>
            <w:r w:rsidR="005D7B04" w:rsidRPr="00ED2E0F">
              <w:rPr>
                <w:color w:val="000000" w:themeColor="text1"/>
                <w:sz w:val="18"/>
                <w:szCs w:val="18"/>
              </w:rPr>
              <w:t>i</w:t>
            </w:r>
            <w:r w:rsidR="00EF00CD" w:rsidRPr="00ED2E0F">
              <w:rPr>
                <w:color w:val="000000" w:themeColor="text1"/>
                <w:sz w:val="18"/>
                <w:szCs w:val="18"/>
              </w:rPr>
              <w:t>mplementation</w:t>
            </w:r>
            <w:r w:rsidRPr="00ED2E0F">
              <w:rPr>
                <w:color w:val="000000" w:themeColor="text1"/>
                <w:sz w:val="18"/>
                <w:szCs w:val="18"/>
              </w:rPr>
              <w:t xml:space="preserve"> </w:t>
            </w:r>
            <w:r w:rsidR="005A3A6E" w:rsidRPr="00ED2E0F">
              <w:rPr>
                <w:color w:val="000000" w:themeColor="text1"/>
                <w:sz w:val="18"/>
                <w:szCs w:val="18"/>
              </w:rPr>
              <w:t>at medium</w:t>
            </w:r>
            <w:r w:rsidR="008175E7" w:rsidRPr="00ED2E0F">
              <w:rPr>
                <w:color w:val="000000" w:themeColor="text1"/>
                <w:sz w:val="18"/>
                <w:szCs w:val="18"/>
              </w:rPr>
              <w:t>-to-high</w:t>
            </w:r>
            <w:r w:rsidR="00F5199A" w:rsidRPr="00ED2E0F">
              <w:rPr>
                <w:color w:val="000000" w:themeColor="text1"/>
                <w:sz w:val="18"/>
                <w:szCs w:val="18"/>
              </w:rPr>
              <w:t xml:space="preserve"> </w:t>
            </w:r>
            <w:r w:rsidRPr="00ED2E0F">
              <w:rPr>
                <w:color w:val="000000" w:themeColor="text1"/>
                <w:sz w:val="18"/>
                <w:szCs w:val="18"/>
              </w:rPr>
              <w:t>level</w:t>
            </w:r>
            <w:proofErr w:type="gramStart"/>
            <w:r w:rsidRPr="00ED2E0F">
              <w:rPr>
                <w:color w:val="000000" w:themeColor="text1"/>
                <w:sz w:val="18"/>
                <w:szCs w:val="18"/>
              </w:rPr>
              <w:t xml:space="preserve">.  </w:t>
            </w:r>
            <w:proofErr w:type="gramEnd"/>
            <w:r w:rsidRPr="00ED2E0F">
              <w:rPr>
                <w:color w:val="000000" w:themeColor="text1"/>
                <w:sz w:val="18"/>
                <w:szCs w:val="18"/>
              </w:rPr>
              <w:t xml:space="preserve"> </w:t>
            </w:r>
          </w:p>
        </w:tc>
        <w:tc>
          <w:tcPr>
            <w:tcW w:w="2638" w:type="dxa"/>
            <w:gridSpan w:val="2"/>
            <w:vAlign w:val="center"/>
          </w:tcPr>
          <w:p w14:paraId="74D87222" w14:textId="61F3CFE2" w:rsidR="00B64005" w:rsidRPr="006D1CC9" w:rsidRDefault="00614553" w:rsidP="006D1CC9">
            <w:pPr>
              <w:keepNext/>
              <w:spacing w:before="60" w:after="240"/>
              <w:jc w:val="center"/>
              <w:rPr>
                <w:b/>
                <w:bCs/>
                <w:color w:val="000000" w:themeColor="text1"/>
              </w:rPr>
            </w:pPr>
            <w:r w:rsidRPr="006D1CC9">
              <w:rPr>
                <w:b/>
                <w:bCs/>
                <w:color w:val="000000" w:themeColor="text1"/>
              </w:rPr>
              <w:t>M</w:t>
            </w:r>
            <w:r w:rsidR="006D1CC9" w:rsidRPr="006D1CC9">
              <w:rPr>
                <w:b/>
                <w:bCs/>
                <w:color w:val="000000" w:themeColor="text1"/>
              </w:rPr>
              <w:t>–</w:t>
            </w:r>
            <w:r w:rsidR="008827B1" w:rsidRPr="006D1CC9">
              <w:rPr>
                <w:b/>
                <w:bCs/>
                <w:color w:val="000000" w:themeColor="text1"/>
              </w:rPr>
              <w:t>H</w:t>
            </w:r>
            <w:r w:rsidR="00B64005" w:rsidRPr="006D1CC9">
              <w:rPr>
                <w:b/>
                <w:bCs/>
                <w:color w:val="000000" w:themeColor="text1"/>
              </w:rPr>
              <w:t xml:space="preserve"> </w:t>
            </w:r>
          </w:p>
        </w:tc>
      </w:tr>
      <w:tr w:rsidR="00B64005" w:rsidRPr="00ED2E0F" w14:paraId="2529F077" w14:textId="77777777">
        <w:tc>
          <w:tcPr>
            <w:tcW w:w="2432" w:type="dxa"/>
            <w:vAlign w:val="center"/>
          </w:tcPr>
          <w:p w14:paraId="35EDAF87" w14:textId="77777777" w:rsidR="00B64005" w:rsidRPr="00ED2E0F" w:rsidRDefault="00B64005">
            <w:pPr>
              <w:spacing w:before="60" w:after="240"/>
              <w:jc w:val="center"/>
              <w:rPr>
                <w:color w:val="000000" w:themeColor="text1"/>
                <w:sz w:val="22"/>
                <w:szCs w:val="22"/>
              </w:rPr>
            </w:pPr>
            <w:r w:rsidRPr="00ED2E0F">
              <w:rPr>
                <w:b/>
                <w:bCs/>
                <w:color w:val="000000" w:themeColor="text1"/>
                <w:sz w:val="22"/>
                <w:szCs w:val="22"/>
              </w:rPr>
              <w:t>Ambition</w:t>
            </w:r>
          </w:p>
        </w:tc>
        <w:tc>
          <w:tcPr>
            <w:tcW w:w="5136" w:type="dxa"/>
          </w:tcPr>
          <w:p w14:paraId="7A739812" w14:textId="52123BEA" w:rsidR="00B64005" w:rsidRPr="00ED2E0F" w:rsidRDefault="008F5072">
            <w:pPr>
              <w:spacing w:before="60" w:after="240"/>
              <w:rPr>
                <w:color w:val="000000" w:themeColor="text1"/>
                <w:sz w:val="18"/>
                <w:szCs w:val="18"/>
              </w:rPr>
            </w:pPr>
            <w:r w:rsidRPr="00ED2E0F">
              <w:rPr>
                <w:color w:val="000000" w:themeColor="text1"/>
                <w:sz w:val="18"/>
                <w:szCs w:val="18"/>
              </w:rPr>
              <w:t xml:space="preserve">The ambition of CORSIA </w:t>
            </w:r>
            <w:proofErr w:type="gramStart"/>
            <w:r w:rsidRPr="00ED2E0F">
              <w:rPr>
                <w:color w:val="000000" w:themeColor="text1"/>
                <w:sz w:val="18"/>
                <w:szCs w:val="18"/>
              </w:rPr>
              <w:t xml:space="preserve">is </w:t>
            </w:r>
            <w:r w:rsidR="00522641" w:rsidRPr="00ED2E0F">
              <w:rPr>
                <w:color w:val="000000" w:themeColor="text1"/>
                <w:sz w:val="18"/>
                <w:szCs w:val="18"/>
              </w:rPr>
              <w:t>only</w:t>
            </w:r>
            <w:proofErr w:type="gramEnd"/>
            <w:r w:rsidR="00522641" w:rsidRPr="00ED2E0F">
              <w:rPr>
                <w:color w:val="000000" w:themeColor="text1"/>
                <w:sz w:val="18"/>
                <w:szCs w:val="18"/>
              </w:rPr>
              <w:t xml:space="preserve"> </w:t>
            </w:r>
            <w:proofErr w:type="gramStart"/>
            <w:r w:rsidRPr="00ED2E0F">
              <w:rPr>
                <w:color w:val="000000" w:themeColor="text1"/>
                <w:sz w:val="18"/>
                <w:szCs w:val="18"/>
              </w:rPr>
              <w:t>very low</w:t>
            </w:r>
            <w:proofErr w:type="gramEnd"/>
            <w:r w:rsidRPr="00ED2E0F">
              <w:rPr>
                <w:color w:val="000000" w:themeColor="text1"/>
                <w:sz w:val="18"/>
                <w:szCs w:val="18"/>
              </w:rPr>
              <w:t xml:space="preserve">. </w:t>
            </w:r>
            <w:r w:rsidR="00B64005" w:rsidRPr="00ED2E0F">
              <w:rPr>
                <w:color w:val="000000" w:themeColor="text1"/>
                <w:sz w:val="18"/>
                <w:szCs w:val="18"/>
              </w:rPr>
              <w:t xml:space="preserve">LCAFs require a 10% reduction in GHG emissions compared to fossil fuels. Other environmental impacts considered through a reference to ICAO’s environmental objectives, which contain </w:t>
            </w:r>
            <w:r w:rsidR="00805A16" w:rsidRPr="00ED2E0F">
              <w:rPr>
                <w:color w:val="000000" w:themeColor="text1"/>
                <w:sz w:val="18"/>
                <w:szCs w:val="18"/>
              </w:rPr>
              <w:t xml:space="preserve">some </w:t>
            </w:r>
            <w:r w:rsidR="00B64005" w:rsidRPr="00ED2E0F">
              <w:rPr>
                <w:color w:val="000000" w:themeColor="text1"/>
                <w:sz w:val="18"/>
                <w:szCs w:val="18"/>
              </w:rPr>
              <w:t>targets related</w:t>
            </w:r>
            <w:r w:rsidR="006E35E7" w:rsidRPr="00ED2E0F">
              <w:rPr>
                <w:color w:val="000000" w:themeColor="text1"/>
                <w:sz w:val="18"/>
                <w:szCs w:val="18"/>
              </w:rPr>
              <w:t>,</w:t>
            </w:r>
            <w:r w:rsidR="00B64005" w:rsidRPr="00ED2E0F">
              <w:rPr>
                <w:color w:val="000000" w:themeColor="text1"/>
                <w:sz w:val="18"/>
                <w:szCs w:val="18"/>
              </w:rPr>
              <w:t xml:space="preserve"> </w:t>
            </w:r>
            <w:proofErr w:type="gramStart"/>
            <w:r w:rsidR="00B64005" w:rsidRPr="00ED2E0F">
              <w:rPr>
                <w:color w:val="000000" w:themeColor="text1"/>
                <w:sz w:val="18"/>
                <w:szCs w:val="18"/>
              </w:rPr>
              <w:t>e.g.</w:t>
            </w:r>
            <w:proofErr w:type="gramEnd"/>
            <w:r w:rsidR="00B64005" w:rsidRPr="00ED2E0F">
              <w:rPr>
                <w:color w:val="000000" w:themeColor="text1"/>
                <w:sz w:val="18"/>
                <w:szCs w:val="18"/>
              </w:rPr>
              <w:t xml:space="preserve"> clean air and biodiversity.</w:t>
            </w:r>
          </w:p>
        </w:tc>
        <w:tc>
          <w:tcPr>
            <w:tcW w:w="2638" w:type="dxa"/>
            <w:gridSpan w:val="2"/>
            <w:vAlign w:val="center"/>
          </w:tcPr>
          <w:p w14:paraId="3F9DD610" w14:textId="4AC73ACD" w:rsidR="00B64005" w:rsidRPr="006D1CC9" w:rsidRDefault="00222478">
            <w:pPr>
              <w:keepNext/>
              <w:spacing w:before="60" w:after="240"/>
              <w:jc w:val="center"/>
              <w:rPr>
                <w:b/>
                <w:bCs/>
                <w:color w:val="000000" w:themeColor="text1"/>
              </w:rPr>
            </w:pPr>
            <w:r w:rsidRPr="006D1CC9">
              <w:rPr>
                <w:b/>
                <w:bCs/>
                <w:color w:val="000000" w:themeColor="text1"/>
              </w:rPr>
              <w:t>L</w:t>
            </w:r>
          </w:p>
        </w:tc>
      </w:tr>
    </w:tbl>
    <w:p w14:paraId="359AA0FF" w14:textId="77777777" w:rsidR="007D7B26" w:rsidRPr="00ED2E0F" w:rsidRDefault="007D7B26" w:rsidP="001C0ED3"/>
    <w:p w14:paraId="0FDA095A" w14:textId="61DB500B" w:rsidR="001C0ED3" w:rsidRPr="00ED2E0F" w:rsidRDefault="001C0ED3" w:rsidP="001C0ED3">
      <w:r w:rsidRPr="00ED2E0F">
        <w:t xml:space="preserve">* </w:t>
      </w:r>
      <w:r w:rsidRPr="00ED2E0F">
        <w:rPr>
          <w:b/>
          <w:bCs/>
        </w:rPr>
        <w:t>Scale</w:t>
      </w:r>
      <w:r w:rsidRPr="00ED2E0F">
        <w:t>: Low (L), Medium (M), High (H)</w:t>
      </w:r>
    </w:p>
    <w:p w14:paraId="270E5543" w14:textId="77777777" w:rsidR="00E94C8D" w:rsidRPr="00ED2E0F" w:rsidRDefault="00E94C8D" w:rsidP="00B64005">
      <w:pPr>
        <w:pStyle w:val="NormalWeb"/>
        <w:spacing w:after="240"/>
        <w:ind w:left="-567" w:right="-613"/>
        <w:jc w:val="both"/>
      </w:pPr>
    </w:p>
    <w:p w14:paraId="3641333D" w14:textId="77777777" w:rsidR="00B64005" w:rsidRPr="00ED2E0F" w:rsidRDefault="00B64005" w:rsidP="00B64005">
      <w:pPr>
        <w:spacing w:after="240"/>
      </w:pPr>
      <w:r w:rsidRPr="00ED2E0F">
        <w:br w:type="page"/>
      </w:r>
    </w:p>
    <w:p w14:paraId="61C636D1" w14:textId="15BA984D" w:rsidR="007D7B26" w:rsidRPr="00ED2E0F" w:rsidRDefault="00DC260E" w:rsidP="0086365E">
      <w:pPr>
        <w:pStyle w:val="Caption"/>
        <w:keepNext/>
        <w:spacing w:before="120" w:after="240" w:line="240" w:lineRule="auto"/>
        <w:ind w:left="-540"/>
        <w:rPr>
          <w:color w:val="000000" w:themeColor="text1"/>
          <w:sz w:val="22"/>
          <w:szCs w:val="22"/>
          <w:lang w:val="en-US"/>
        </w:rPr>
      </w:pPr>
      <w:r w:rsidRPr="00ED2E0F">
        <w:rPr>
          <w:b/>
          <w:bCs/>
          <w:color w:val="000000" w:themeColor="text1"/>
          <w:sz w:val="22"/>
          <w:szCs w:val="22"/>
          <w:lang w:val="en-US"/>
        </w:rPr>
        <w:lastRenderedPageBreak/>
        <w:t xml:space="preserve">Annex </w:t>
      </w:r>
      <w:r w:rsidR="007D7B26" w:rsidRPr="00ED2E0F">
        <w:rPr>
          <w:b/>
          <w:bCs/>
          <w:color w:val="000000" w:themeColor="text1"/>
          <w:sz w:val="22"/>
          <w:szCs w:val="22"/>
          <w:lang w:val="en-US"/>
        </w:rPr>
        <w:t>2</w:t>
      </w:r>
      <w:r w:rsidR="007D7B26" w:rsidRPr="00ED2E0F">
        <w:rPr>
          <w:color w:val="000000" w:themeColor="text1"/>
          <w:sz w:val="22"/>
          <w:szCs w:val="22"/>
          <w:lang w:val="en-US"/>
        </w:rPr>
        <w:t xml:space="preserve"> </w:t>
      </w:r>
      <w:r w:rsidR="006D1CC9">
        <w:rPr>
          <w:color w:val="000000" w:themeColor="text1"/>
          <w:sz w:val="22"/>
          <w:szCs w:val="22"/>
          <w:lang w:val="en-US"/>
        </w:rPr>
        <w:t xml:space="preserve"> </w:t>
      </w:r>
      <w:r w:rsidR="007D7B26" w:rsidRPr="00ED2E0F">
        <w:rPr>
          <w:color w:val="000000" w:themeColor="text1"/>
          <w:sz w:val="22"/>
          <w:szCs w:val="22"/>
          <w:lang w:val="en-US"/>
        </w:rPr>
        <w:t xml:space="preserve">Assessing the </w:t>
      </w:r>
      <w:r w:rsidR="006D1CC9">
        <w:rPr>
          <w:color w:val="000000" w:themeColor="text1"/>
          <w:sz w:val="22"/>
          <w:szCs w:val="22"/>
          <w:lang w:val="en-US"/>
        </w:rPr>
        <w:t>H</w:t>
      </w:r>
      <w:r w:rsidR="006D1CC9" w:rsidRPr="00ED2E0F">
        <w:rPr>
          <w:color w:val="000000" w:themeColor="text1"/>
          <w:sz w:val="22"/>
          <w:szCs w:val="22"/>
          <w:lang w:val="en-US"/>
        </w:rPr>
        <w:t xml:space="preserve">ardness </w:t>
      </w:r>
      <w:r w:rsidR="007D7B26" w:rsidRPr="00ED2E0F">
        <w:rPr>
          <w:color w:val="000000" w:themeColor="text1"/>
          <w:sz w:val="22"/>
          <w:szCs w:val="22"/>
          <w:lang w:val="en-US"/>
        </w:rPr>
        <w:t>of the EU</w:t>
      </w:r>
      <w:r w:rsidR="006D1CC9">
        <w:rPr>
          <w:b/>
          <w:bCs/>
          <w:color w:val="000000" w:themeColor="text1"/>
        </w:rPr>
        <w:t>–</w:t>
      </w:r>
      <w:r w:rsidR="007D7B26" w:rsidRPr="00ED2E0F">
        <w:rPr>
          <w:color w:val="000000" w:themeColor="text1"/>
          <w:sz w:val="22"/>
          <w:szCs w:val="22"/>
          <w:lang w:val="en-US"/>
        </w:rPr>
        <w:t xml:space="preserve">Mercosur </w:t>
      </w:r>
      <w:r w:rsidR="00880074" w:rsidRPr="00ED2E0F">
        <w:rPr>
          <w:color w:val="000000" w:themeColor="text1"/>
          <w:sz w:val="22"/>
          <w:szCs w:val="22"/>
          <w:lang w:val="en-US"/>
        </w:rPr>
        <w:t>P</w:t>
      </w:r>
      <w:r w:rsidR="007D7B26" w:rsidRPr="00ED2E0F">
        <w:rPr>
          <w:color w:val="000000" w:themeColor="text1"/>
          <w:sz w:val="22"/>
          <w:szCs w:val="22"/>
          <w:lang w:val="en-US"/>
        </w:rPr>
        <w:t>TA</w:t>
      </w:r>
      <w:r w:rsidR="00507533" w:rsidRPr="00ED2E0F">
        <w:rPr>
          <w:color w:val="000000" w:themeColor="text1"/>
          <w:sz w:val="22"/>
          <w:szCs w:val="22"/>
          <w:lang w:val="en-US"/>
        </w:rPr>
        <w:t xml:space="preserve"> TSD Chapter</w:t>
      </w:r>
      <w:r w:rsidR="00F849C7" w:rsidRPr="00ED2E0F">
        <w:rPr>
          <w:rStyle w:val="FootnoteReference"/>
          <w:color w:val="000000" w:themeColor="text1"/>
          <w:sz w:val="22"/>
          <w:szCs w:val="22"/>
          <w:lang w:val="en-US"/>
        </w:rPr>
        <w:footnoteReference w:id="4"/>
      </w:r>
      <w:r w:rsidR="007D7B26" w:rsidRPr="00ED2E0F">
        <w:rPr>
          <w:color w:val="000000" w:themeColor="text1"/>
          <w:sz w:val="22"/>
          <w:szCs w:val="22"/>
          <w:lang w:val="en-US"/>
        </w:rPr>
        <w:t xml:space="preserve"> in </w:t>
      </w:r>
      <w:r w:rsidR="006D1CC9">
        <w:rPr>
          <w:color w:val="000000" w:themeColor="text1"/>
          <w:sz w:val="22"/>
          <w:szCs w:val="22"/>
          <w:lang w:val="en-US"/>
        </w:rPr>
        <w:t>G</w:t>
      </w:r>
      <w:r w:rsidR="006D1CC9" w:rsidRPr="00ED2E0F">
        <w:rPr>
          <w:color w:val="000000" w:themeColor="text1"/>
          <w:sz w:val="22"/>
          <w:szCs w:val="22"/>
          <w:lang w:val="en-US"/>
        </w:rPr>
        <w:t xml:space="preserve">overning </w:t>
      </w:r>
      <w:r w:rsidR="007D7B26" w:rsidRPr="00ED2E0F">
        <w:rPr>
          <w:color w:val="000000" w:themeColor="text1"/>
          <w:sz w:val="22"/>
          <w:szCs w:val="22"/>
          <w:lang w:val="en-US"/>
        </w:rPr>
        <w:t>SAF</w:t>
      </w:r>
    </w:p>
    <w:tbl>
      <w:tblPr>
        <w:tblW w:w="10206"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5136"/>
        <w:gridCol w:w="1370"/>
        <w:gridCol w:w="1268"/>
      </w:tblGrid>
      <w:tr w:rsidR="00222478" w:rsidRPr="00ED2E0F" w14:paraId="4E83C287" w14:textId="77777777" w:rsidTr="18E63CAD">
        <w:trPr>
          <w:trHeight w:val="898"/>
        </w:trPr>
        <w:tc>
          <w:tcPr>
            <w:tcW w:w="2432" w:type="dxa"/>
            <w:vAlign w:val="center"/>
          </w:tcPr>
          <w:p w14:paraId="23B66D27" w14:textId="4574514B" w:rsidR="00222478" w:rsidRPr="00ED2E0F" w:rsidRDefault="00222478" w:rsidP="00222478">
            <w:pPr>
              <w:spacing w:after="120"/>
              <w:jc w:val="center"/>
              <w:rPr>
                <w:b/>
                <w:bCs/>
                <w:color w:val="000000" w:themeColor="text1"/>
                <w:sz w:val="22"/>
                <w:szCs w:val="22"/>
              </w:rPr>
            </w:pPr>
            <w:r w:rsidRPr="00ED2E0F">
              <w:rPr>
                <w:b/>
                <w:bCs/>
                <w:color w:val="000000" w:themeColor="text1"/>
                <w:sz w:val="22"/>
                <w:szCs w:val="22"/>
              </w:rPr>
              <w:t xml:space="preserve">Aspect of </w:t>
            </w:r>
            <w:r w:rsidR="006D1CC9">
              <w:rPr>
                <w:b/>
                <w:bCs/>
                <w:color w:val="000000" w:themeColor="text1"/>
                <w:sz w:val="22"/>
                <w:szCs w:val="22"/>
              </w:rPr>
              <w:t>S</w:t>
            </w:r>
            <w:r w:rsidR="006D1CC9" w:rsidRPr="00ED2E0F">
              <w:rPr>
                <w:b/>
                <w:bCs/>
                <w:color w:val="000000" w:themeColor="text1"/>
                <w:sz w:val="22"/>
                <w:szCs w:val="22"/>
              </w:rPr>
              <w:t>oftness</w:t>
            </w:r>
            <w:r w:rsidRPr="00ED2E0F">
              <w:rPr>
                <w:b/>
                <w:bCs/>
                <w:color w:val="000000" w:themeColor="text1"/>
                <w:sz w:val="22"/>
                <w:szCs w:val="22"/>
              </w:rPr>
              <w:t>/</w:t>
            </w:r>
            <w:r w:rsidR="006D1CC9">
              <w:rPr>
                <w:b/>
                <w:bCs/>
                <w:color w:val="000000" w:themeColor="text1"/>
                <w:sz w:val="22"/>
                <w:szCs w:val="22"/>
              </w:rPr>
              <w:t>H</w:t>
            </w:r>
            <w:r w:rsidR="006D1CC9" w:rsidRPr="00ED2E0F">
              <w:rPr>
                <w:b/>
                <w:bCs/>
                <w:color w:val="000000" w:themeColor="text1"/>
                <w:sz w:val="22"/>
                <w:szCs w:val="22"/>
              </w:rPr>
              <w:t>ardness</w:t>
            </w:r>
          </w:p>
        </w:tc>
        <w:tc>
          <w:tcPr>
            <w:tcW w:w="5136" w:type="dxa"/>
            <w:vAlign w:val="center"/>
          </w:tcPr>
          <w:p w14:paraId="28864251" w14:textId="1A5F9193" w:rsidR="00222478" w:rsidRPr="00ED2E0F" w:rsidRDefault="00222478" w:rsidP="00222478">
            <w:pPr>
              <w:spacing w:after="120"/>
              <w:jc w:val="center"/>
              <w:rPr>
                <w:b/>
                <w:bCs/>
                <w:color w:val="000000" w:themeColor="text1"/>
                <w:sz w:val="22"/>
                <w:szCs w:val="22"/>
              </w:rPr>
            </w:pPr>
            <w:r w:rsidRPr="00ED2E0F">
              <w:rPr>
                <w:b/>
                <w:bCs/>
                <w:color w:val="000000" w:themeColor="text1"/>
                <w:sz w:val="22"/>
                <w:szCs w:val="22"/>
              </w:rPr>
              <w:t xml:space="preserve">Summary of </w:t>
            </w:r>
            <w:r w:rsidR="006D1CC9">
              <w:rPr>
                <w:b/>
                <w:bCs/>
                <w:color w:val="000000" w:themeColor="text1"/>
                <w:sz w:val="22"/>
                <w:szCs w:val="22"/>
              </w:rPr>
              <w:t>A</w:t>
            </w:r>
            <w:r w:rsidR="006D1CC9" w:rsidRPr="00ED2E0F">
              <w:rPr>
                <w:b/>
                <w:bCs/>
                <w:color w:val="000000" w:themeColor="text1"/>
                <w:sz w:val="22"/>
                <w:szCs w:val="22"/>
              </w:rPr>
              <w:t>nalysis</w:t>
            </w:r>
          </w:p>
        </w:tc>
        <w:tc>
          <w:tcPr>
            <w:tcW w:w="1370" w:type="dxa"/>
            <w:vAlign w:val="center"/>
          </w:tcPr>
          <w:p w14:paraId="14029605" w14:textId="77777777" w:rsidR="00222478" w:rsidRPr="00ED2E0F" w:rsidRDefault="00222478" w:rsidP="00222478">
            <w:pPr>
              <w:spacing w:before="120" w:after="120"/>
              <w:jc w:val="center"/>
              <w:rPr>
                <w:b/>
                <w:bCs/>
                <w:color w:val="000000" w:themeColor="text1"/>
                <w:sz w:val="22"/>
                <w:szCs w:val="22"/>
              </w:rPr>
            </w:pPr>
            <w:r w:rsidRPr="00ED2E0F">
              <w:rPr>
                <w:b/>
                <w:bCs/>
                <w:color w:val="000000" w:themeColor="text1"/>
                <w:sz w:val="22"/>
                <w:szCs w:val="22"/>
              </w:rPr>
              <w:t xml:space="preserve">Score* </w:t>
            </w:r>
          </w:p>
          <w:p w14:paraId="4241F2CA" w14:textId="4FB53DBB" w:rsidR="00222478" w:rsidRPr="00ED2E0F" w:rsidRDefault="00BE5CDA" w:rsidP="00222478">
            <w:pPr>
              <w:spacing w:before="120" w:after="120"/>
              <w:jc w:val="center"/>
              <w:rPr>
                <w:b/>
                <w:bCs/>
                <w:color w:val="000000" w:themeColor="text1"/>
                <w:sz w:val="22"/>
                <w:szCs w:val="22"/>
              </w:rPr>
            </w:pPr>
            <w:r w:rsidRPr="00ED2E0F">
              <w:rPr>
                <w:b/>
                <w:bCs/>
                <w:color w:val="000000" w:themeColor="text1"/>
                <w:sz w:val="22"/>
                <w:szCs w:val="22"/>
              </w:rPr>
              <w:t>(</w:t>
            </w:r>
            <w:r w:rsidR="00222478" w:rsidRPr="00ED2E0F">
              <w:rPr>
                <w:b/>
                <w:bCs/>
                <w:color w:val="000000" w:themeColor="text1"/>
                <w:sz w:val="22"/>
                <w:szCs w:val="22"/>
              </w:rPr>
              <w:t xml:space="preserve">L, M, </w:t>
            </w:r>
          </w:p>
          <w:p w14:paraId="553BF020" w14:textId="029F9600" w:rsidR="00222478" w:rsidRPr="00ED2E0F" w:rsidRDefault="00222478" w:rsidP="00222478">
            <w:pPr>
              <w:spacing w:before="120" w:after="120"/>
              <w:jc w:val="center"/>
              <w:rPr>
                <w:b/>
                <w:bCs/>
                <w:color w:val="000000" w:themeColor="text1"/>
                <w:sz w:val="22"/>
                <w:szCs w:val="22"/>
              </w:rPr>
            </w:pPr>
            <w:r w:rsidRPr="00ED2E0F">
              <w:rPr>
                <w:b/>
                <w:bCs/>
                <w:color w:val="000000" w:themeColor="text1"/>
                <w:sz w:val="22"/>
                <w:szCs w:val="22"/>
              </w:rPr>
              <w:t>H</w:t>
            </w:r>
            <w:r w:rsidR="00BE5CDA" w:rsidRPr="00ED2E0F">
              <w:rPr>
                <w:b/>
                <w:bCs/>
                <w:color w:val="000000" w:themeColor="text1"/>
                <w:sz w:val="22"/>
                <w:szCs w:val="22"/>
              </w:rPr>
              <w:t>)</w:t>
            </w:r>
          </w:p>
        </w:tc>
        <w:tc>
          <w:tcPr>
            <w:tcW w:w="1268" w:type="dxa"/>
            <w:vAlign w:val="center"/>
          </w:tcPr>
          <w:p w14:paraId="1C9D9CC9" w14:textId="77777777" w:rsidR="006D1CC9" w:rsidRDefault="00222478" w:rsidP="00222478">
            <w:pPr>
              <w:spacing w:before="120" w:after="240"/>
              <w:jc w:val="center"/>
              <w:rPr>
                <w:b/>
                <w:bCs/>
                <w:color w:val="000000" w:themeColor="text1"/>
                <w:sz w:val="22"/>
                <w:szCs w:val="22"/>
              </w:rPr>
            </w:pPr>
            <w:r w:rsidRPr="00ED2E0F">
              <w:rPr>
                <w:b/>
                <w:bCs/>
                <w:color w:val="000000" w:themeColor="text1"/>
                <w:sz w:val="22"/>
                <w:szCs w:val="22"/>
              </w:rPr>
              <w:t xml:space="preserve">Combining </w:t>
            </w:r>
          </w:p>
          <w:p w14:paraId="7777EB1E" w14:textId="1343F478" w:rsidR="00222478" w:rsidRPr="00ED2E0F" w:rsidRDefault="006D1CC9" w:rsidP="00222478">
            <w:pPr>
              <w:spacing w:before="120" w:after="240"/>
              <w:jc w:val="center"/>
              <w:rPr>
                <w:b/>
                <w:bCs/>
                <w:color w:val="000000" w:themeColor="text1"/>
                <w:sz w:val="22"/>
                <w:szCs w:val="22"/>
              </w:rPr>
            </w:pPr>
            <w:r>
              <w:rPr>
                <w:b/>
                <w:bCs/>
                <w:color w:val="000000" w:themeColor="text1"/>
                <w:sz w:val="22"/>
                <w:szCs w:val="22"/>
              </w:rPr>
              <w:t>S</w:t>
            </w:r>
            <w:r w:rsidRPr="00ED2E0F">
              <w:rPr>
                <w:b/>
                <w:bCs/>
                <w:color w:val="000000" w:themeColor="text1"/>
                <w:sz w:val="22"/>
                <w:szCs w:val="22"/>
              </w:rPr>
              <w:t>ub</w:t>
            </w:r>
            <w:r w:rsidR="00222478" w:rsidRPr="00ED2E0F">
              <w:rPr>
                <w:b/>
                <w:bCs/>
                <w:color w:val="000000" w:themeColor="text1"/>
                <w:sz w:val="22"/>
                <w:szCs w:val="22"/>
              </w:rPr>
              <w:t>-</w:t>
            </w:r>
            <w:r>
              <w:rPr>
                <w:b/>
                <w:bCs/>
                <w:color w:val="000000" w:themeColor="text1"/>
                <w:sz w:val="22"/>
                <w:szCs w:val="22"/>
              </w:rPr>
              <w:t>d</w:t>
            </w:r>
            <w:r w:rsidRPr="00ED2E0F">
              <w:rPr>
                <w:b/>
                <w:bCs/>
                <w:color w:val="000000" w:themeColor="text1"/>
                <w:sz w:val="22"/>
                <w:szCs w:val="22"/>
              </w:rPr>
              <w:t>imensions</w:t>
            </w:r>
          </w:p>
        </w:tc>
      </w:tr>
      <w:tr w:rsidR="00B64005" w:rsidRPr="00ED2E0F" w14:paraId="67D854DF" w14:textId="77777777" w:rsidTr="18E63CAD">
        <w:tc>
          <w:tcPr>
            <w:tcW w:w="2432" w:type="dxa"/>
          </w:tcPr>
          <w:p w14:paraId="2FCA8CC9" w14:textId="36EB63FC" w:rsidR="00B64005" w:rsidRPr="00ED2E0F" w:rsidRDefault="00CF1E8F">
            <w:pPr>
              <w:spacing w:before="60" w:after="240"/>
              <w:rPr>
                <w:color w:val="000000" w:themeColor="text1"/>
                <w:sz w:val="22"/>
                <w:szCs w:val="22"/>
              </w:rPr>
            </w:pPr>
            <w:r w:rsidRPr="00ED2E0F">
              <w:rPr>
                <w:i/>
                <w:iCs/>
                <w:color w:val="000000" w:themeColor="text1"/>
                <w:sz w:val="22"/>
                <w:szCs w:val="22"/>
              </w:rPr>
              <w:t>Formal status</w:t>
            </w:r>
            <w:r w:rsidRPr="00ED2E0F">
              <w:rPr>
                <w:color w:val="000000" w:themeColor="text1"/>
                <w:sz w:val="22"/>
                <w:szCs w:val="22"/>
              </w:rPr>
              <w:t xml:space="preserve"> –</w:t>
            </w:r>
            <w:r w:rsidR="00B64005" w:rsidRPr="00ED2E0F">
              <w:rPr>
                <w:color w:val="000000" w:themeColor="text1"/>
                <w:sz w:val="22"/>
                <w:szCs w:val="22"/>
              </w:rPr>
              <w:t xml:space="preserve"> Formal source of law or not?</w:t>
            </w:r>
          </w:p>
        </w:tc>
        <w:tc>
          <w:tcPr>
            <w:tcW w:w="5136" w:type="dxa"/>
          </w:tcPr>
          <w:p w14:paraId="0887C966" w14:textId="274ACA47" w:rsidR="00B64005" w:rsidRPr="00ED2E0F" w:rsidRDefault="00B64005">
            <w:pPr>
              <w:spacing w:before="60" w:after="240"/>
              <w:rPr>
                <w:color w:val="000000" w:themeColor="text1"/>
                <w:sz w:val="18"/>
                <w:szCs w:val="18"/>
              </w:rPr>
            </w:pPr>
            <w:r w:rsidRPr="00ED2E0F">
              <w:rPr>
                <w:color w:val="000000" w:themeColor="text1"/>
                <w:sz w:val="18"/>
                <w:szCs w:val="18"/>
              </w:rPr>
              <w:t xml:space="preserve">The EU-Mercosur TA </w:t>
            </w:r>
            <w:r w:rsidR="00B36982" w:rsidRPr="00ED2E0F">
              <w:rPr>
                <w:color w:val="000000" w:themeColor="text1"/>
                <w:sz w:val="18"/>
                <w:szCs w:val="18"/>
              </w:rPr>
              <w:t xml:space="preserve">as </w:t>
            </w:r>
            <w:r w:rsidRPr="00ED2E0F">
              <w:rPr>
                <w:color w:val="000000" w:themeColor="text1"/>
                <w:sz w:val="18"/>
                <w:szCs w:val="18"/>
              </w:rPr>
              <w:t xml:space="preserve">an international agreement between nation states or groups thereof </w:t>
            </w:r>
            <w:r w:rsidR="008175E7" w:rsidRPr="00ED2E0F">
              <w:rPr>
                <w:color w:val="000000" w:themeColor="text1"/>
                <w:sz w:val="18"/>
                <w:szCs w:val="18"/>
              </w:rPr>
              <w:t xml:space="preserve">is </w:t>
            </w:r>
            <w:r w:rsidRPr="00ED2E0F">
              <w:rPr>
                <w:color w:val="000000" w:themeColor="text1"/>
                <w:sz w:val="18"/>
                <w:szCs w:val="18"/>
              </w:rPr>
              <w:t>a formal source of law</w:t>
            </w:r>
            <w:proofErr w:type="gramStart"/>
            <w:r w:rsidRPr="00ED2E0F">
              <w:rPr>
                <w:color w:val="000000" w:themeColor="text1"/>
                <w:sz w:val="18"/>
                <w:szCs w:val="18"/>
              </w:rPr>
              <w:t xml:space="preserve">.  </w:t>
            </w:r>
            <w:proofErr w:type="gramEnd"/>
          </w:p>
        </w:tc>
        <w:tc>
          <w:tcPr>
            <w:tcW w:w="1370" w:type="dxa"/>
            <w:vAlign w:val="center"/>
          </w:tcPr>
          <w:p w14:paraId="5C460161" w14:textId="3734660B" w:rsidR="00B64005" w:rsidRPr="00ED2E0F" w:rsidRDefault="00222478">
            <w:pPr>
              <w:spacing w:before="60" w:after="240"/>
              <w:jc w:val="center"/>
              <w:rPr>
                <w:color w:val="000000" w:themeColor="text1"/>
              </w:rPr>
            </w:pPr>
            <w:r w:rsidRPr="00ED2E0F">
              <w:rPr>
                <w:color w:val="000000" w:themeColor="text1"/>
              </w:rPr>
              <w:t xml:space="preserve">H </w:t>
            </w:r>
          </w:p>
        </w:tc>
        <w:tc>
          <w:tcPr>
            <w:tcW w:w="1268" w:type="dxa"/>
            <w:vAlign w:val="center"/>
          </w:tcPr>
          <w:p w14:paraId="04AFD057" w14:textId="703B7FAC" w:rsidR="00B64005" w:rsidRPr="00ED2E0F" w:rsidRDefault="00222478">
            <w:pPr>
              <w:spacing w:before="60" w:after="240"/>
              <w:jc w:val="center"/>
              <w:rPr>
                <w:color w:val="000000" w:themeColor="text1"/>
              </w:rPr>
            </w:pPr>
            <w:r w:rsidRPr="00ED2E0F">
              <w:rPr>
                <w:color w:val="000000" w:themeColor="text1"/>
              </w:rPr>
              <w:t xml:space="preserve">H </w:t>
            </w:r>
          </w:p>
        </w:tc>
      </w:tr>
      <w:tr w:rsidR="00B64005" w:rsidRPr="00ED2E0F" w14:paraId="6A4E559B" w14:textId="77777777" w:rsidTr="18E63CAD">
        <w:tc>
          <w:tcPr>
            <w:tcW w:w="2432" w:type="dxa"/>
          </w:tcPr>
          <w:p w14:paraId="713CE2D9" w14:textId="77777777" w:rsidR="00B64005" w:rsidRPr="00ED2E0F" w:rsidRDefault="00B64005">
            <w:pPr>
              <w:spacing w:before="60" w:after="240"/>
              <w:rPr>
                <w:color w:val="000000" w:themeColor="text1"/>
                <w:sz w:val="22"/>
                <w:szCs w:val="22"/>
              </w:rPr>
            </w:pPr>
            <w:r w:rsidRPr="00ED2E0F">
              <w:rPr>
                <w:i/>
                <w:iCs/>
                <w:color w:val="000000" w:themeColor="text1"/>
                <w:sz w:val="22"/>
                <w:szCs w:val="22"/>
              </w:rPr>
              <w:t>Obligation</w:t>
            </w:r>
            <w:r w:rsidRPr="00ED2E0F">
              <w:rPr>
                <w:color w:val="000000" w:themeColor="text1"/>
                <w:sz w:val="22"/>
                <w:szCs w:val="22"/>
              </w:rPr>
              <w:t xml:space="preserve"> – Authority</w:t>
            </w:r>
          </w:p>
        </w:tc>
        <w:tc>
          <w:tcPr>
            <w:tcW w:w="5136" w:type="dxa"/>
          </w:tcPr>
          <w:p w14:paraId="47D797FE" w14:textId="725A11AF" w:rsidR="00B64005" w:rsidRPr="00ED2E0F" w:rsidRDefault="00B64005">
            <w:pPr>
              <w:spacing w:before="60" w:after="240"/>
              <w:rPr>
                <w:color w:val="000000" w:themeColor="text1"/>
                <w:sz w:val="18"/>
                <w:szCs w:val="18"/>
              </w:rPr>
            </w:pPr>
            <w:r w:rsidRPr="00ED2E0F">
              <w:rPr>
                <w:color w:val="000000" w:themeColor="text1"/>
                <w:sz w:val="18"/>
                <w:szCs w:val="18"/>
              </w:rPr>
              <w:t xml:space="preserve">As a legal commitment by the EU and Mercosur and the governments of their member countries the FTA </w:t>
            </w:r>
            <w:r w:rsidR="24DB3341" w:rsidRPr="00ED2E0F">
              <w:rPr>
                <w:color w:val="000000" w:themeColor="text1"/>
                <w:sz w:val="18"/>
                <w:szCs w:val="18"/>
              </w:rPr>
              <w:t>enjoys</w:t>
            </w:r>
            <w:r w:rsidRPr="00ED2E0F">
              <w:rPr>
                <w:color w:val="000000" w:themeColor="text1"/>
                <w:sz w:val="18"/>
                <w:szCs w:val="18"/>
              </w:rPr>
              <w:t xml:space="preserve"> </w:t>
            </w:r>
            <w:proofErr w:type="gramStart"/>
            <w:r w:rsidRPr="00ED2E0F">
              <w:rPr>
                <w:color w:val="000000" w:themeColor="text1"/>
                <w:sz w:val="18"/>
                <w:szCs w:val="18"/>
              </w:rPr>
              <w:t>a high level</w:t>
            </w:r>
            <w:proofErr w:type="gramEnd"/>
            <w:r w:rsidRPr="00ED2E0F">
              <w:rPr>
                <w:color w:val="000000" w:themeColor="text1"/>
                <w:sz w:val="18"/>
                <w:szCs w:val="18"/>
              </w:rPr>
              <w:t xml:space="preserve"> of authority towards most actors. </w:t>
            </w:r>
          </w:p>
        </w:tc>
        <w:tc>
          <w:tcPr>
            <w:tcW w:w="1370" w:type="dxa"/>
            <w:vAlign w:val="center"/>
          </w:tcPr>
          <w:p w14:paraId="34EEBA2D" w14:textId="2D9B41DE" w:rsidR="00B64005" w:rsidRPr="00ED2E0F" w:rsidRDefault="00222478">
            <w:pPr>
              <w:spacing w:before="60" w:after="240"/>
              <w:jc w:val="center"/>
              <w:rPr>
                <w:color w:val="000000" w:themeColor="text1"/>
              </w:rPr>
            </w:pPr>
            <w:r w:rsidRPr="00ED2E0F">
              <w:rPr>
                <w:color w:val="000000" w:themeColor="text1"/>
              </w:rPr>
              <w:t xml:space="preserve">H </w:t>
            </w:r>
          </w:p>
        </w:tc>
        <w:tc>
          <w:tcPr>
            <w:tcW w:w="1268" w:type="dxa"/>
            <w:vMerge w:val="restart"/>
            <w:vAlign w:val="center"/>
          </w:tcPr>
          <w:p w14:paraId="45690E17" w14:textId="31066487" w:rsidR="00B64005" w:rsidRPr="00ED2E0F" w:rsidRDefault="00DD76F4">
            <w:pPr>
              <w:spacing w:before="60" w:after="240"/>
              <w:jc w:val="center"/>
              <w:rPr>
                <w:color w:val="000000" w:themeColor="text1"/>
              </w:rPr>
            </w:pPr>
            <w:r w:rsidRPr="00ED2E0F">
              <w:rPr>
                <w:color w:val="000000" w:themeColor="text1"/>
              </w:rPr>
              <w:t>M</w:t>
            </w:r>
            <w:r w:rsidR="006D1CC9">
              <w:rPr>
                <w:b/>
                <w:bCs/>
                <w:color w:val="000000" w:themeColor="text1"/>
              </w:rPr>
              <w:t>–</w:t>
            </w:r>
            <w:r w:rsidR="005B465D" w:rsidRPr="00ED2E0F">
              <w:rPr>
                <w:color w:val="000000" w:themeColor="text1"/>
              </w:rPr>
              <w:t>H</w:t>
            </w:r>
            <w:r w:rsidR="00B64005" w:rsidRPr="00ED2E0F">
              <w:rPr>
                <w:color w:val="000000" w:themeColor="text1"/>
              </w:rPr>
              <w:t xml:space="preserve"> </w:t>
            </w:r>
          </w:p>
        </w:tc>
      </w:tr>
      <w:tr w:rsidR="00B64005" w:rsidRPr="00ED2E0F" w14:paraId="44E9AD03" w14:textId="77777777" w:rsidTr="18E63CAD">
        <w:tc>
          <w:tcPr>
            <w:tcW w:w="2432" w:type="dxa"/>
          </w:tcPr>
          <w:p w14:paraId="5A36FF90" w14:textId="7B3ED729" w:rsidR="00B64005" w:rsidRPr="00ED2E0F" w:rsidRDefault="00B64005">
            <w:pPr>
              <w:spacing w:before="60" w:after="240"/>
              <w:rPr>
                <w:color w:val="000000" w:themeColor="text1"/>
                <w:sz w:val="22"/>
                <w:szCs w:val="22"/>
              </w:rPr>
            </w:pPr>
            <w:r w:rsidRPr="00ED2E0F">
              <w:rPr>
                <w:i/>
                <w:iCs/>
                <w:color w:val="000000" w:themeColor="text1"/>
                <w:sz w:val="22"/>
                <w:szCs w:val="22"/>
              </w:rPr>
              <w:t>Obligation</w:t>
            </w:r>
            <w:r w:rsidRPr="00ED2E0F">
              <w:rPr>
                <w:color w:val="000000" w:themeColor="text1"/>
                <w:sz w:val="22"/>
                <w:szCs w:val="22"/>
              </w:rPr>
              <w:t xml:space="preserve"> – </w:t>
            </w:r>
            <w:r w:rsidR="00B36982" w:rsidRPr="00ED2E0F">
              <w:rPr>
                <w:color w:val="000000" w:themeColor="text1"/>
                <w:sz w:val="22"/>
                <w:szCs w:val="22"/>
              </w:rPr>
              <w:t xml:space="preserve">Mandating </w:t>
            </w:r>
            <w:r w:rsidRPr="00ED2E0F">
              <w:rPr>
                <w:color w:val="000000" w:themeColor="text1"/>
                <w:sz w:val="22"/>
                <w:szCs w:val="22"/>
              </w:rPr>
              <w:t>language</w:t>
            </w:r>
          </w:p>
        </w:tc>
        <w:tc>
          <w:tcPr>
            <w:tcW w:w="5136" w:type="dxa"/>
          </w:tcPr>
          <w:p w14:paraId="0AF71281" w14:textId="5C15FF7F" w:rsidR="00B64005" w:rsidRPr="00ED2E0F" w:rsidRDefault="00B64005">
            <w:pPr>
              <w:spacing w:before="60" w:after="240"/>
              <w:rPr>
                <w:color w:val="000000" w:themeColor="text1"/>
                <w:sz w:val="18"/>
                <w:szCs w:val="18"/>
              </w:rPr>
            </w:pPr>
            <w:r w:rsidRPr="00ED2E0F">
              <w:rPr>
                <w:color w:val="000000" w:themeColor="text1"/>
                <w:sz w:val="18"/>
                <w:szCs w:val="18"/>
              </w:rPr>
              <w:t xml:space="preserve">The language in the TA </w:t>
            </w:r>
            <w:proofErr w:type="gramStart"/>
            <w:r w:rsidRPr="00ED2E0F">
              <w:rPr>
                <w:color w:val="000000" w:themeColor="text1"/>
                <w:sz w:val="18"/>
                <w:szCs w:val="18"/>
              </w:rPr>
              <w:t>varies, but</w:t>
            </w:r>
            <w:proofErr w:type="gramEnd"/>
            <w:r w:rsidRPr="00ED2E0F">
              <w:rPr>
                <w:color w:val="000000" w:themeColor="text1"/>
                <w:sz w:val="18"/>
                <w:szCs w:val="18"/>
              </w:rPr>
              <w:t xml:space="preserve"> is</w:t>
            </w:r>
            <w:r w:rsidR="00B36982" w:rsidRPr="00ED2E0F">
              <w:rPr>
                <w:color w:val="000000" w:themeColor="text1"/>
                <w:sz w:val="18"/>
                <w:szCs w:val="18"/>
              </w:rPr>
              <w:t xml:space="preserve"> of non-mandating nature</w:t>
            </w:r>
            <w:r w:rsidRPr="00ED2E0F">
              <w:rPr>
                <w:color w:val="000000" w:themeColor="text1"/>
                <w:sz w:val="18"/>
                <w:szCs w:val="18"/>
              </w:rPr>
              <w:t xml:space="preserve"> in the core articles that (could) describe the rights and obligations</w:t>
            </w:r>
            <w:r w:rsidR="00B36982" w:rsidRPr="00ED2E0F">
              <w:rPr>
                <w:color w:val="000000" w:themeColor="text1"/>
                <w:sz w:val="18"/>
                <w:szCs w:val="18"/>
              </w:rPr>
              <w:t xml:space="preserve"> of the parties</w:t>
            </w:r>
            <w:r w:rsidRPr="00ED2E0F">
              <w:rPr>
                <w:color w:val="000000" w:themeColor="text1"/>
                <w:sz w:val="18"/>
                <w:szCs w:val="18"/>
              </w:rPr>
              <w:t>. The right to regulate the level of protection within each party (Art. 2) is defined in hard (shall) to moderate (recognize the right of each) terms. Transparency (Art</w:t>
            </w:r>
            <w:r w:rsidR="00CE1EC2" w:rsidRPr="00ED2E0F">
              <w:rPr>
                <w:color w:val="000000" w:themeColor="text1"/>
                <w:sz w:val="18"/>
                <w:szCs w:val="18"/>
              </w:rPr>
              <w:t>.</w:t>
            </w:r>
            <w:r w:rsidRPr="00ED2E0F">
              <w:rPr>
                <w:color w:val="000000" w:themeColor="text1"/>
                <w:sz w:val="18"/>
                <w:szCs w:val="18"/>
              </w:rPr>
              <w:t xml:space="preserve"> 3) and dispute settlement provisions (Art</w:t>
            </w:r>
            <w:r w:rsidR="00CE1EC2" w:rsidRPr="00ED2E0F">
              <w:rPr>
                <w:color w:val="000000" w:themeColor="text1"/>
                <w:sz w:val="18"/>
                <w:szCs w:val="18"/>
              </w:rPr>
              <w:t>s</w:t>
            </w:r>
            <w:r w:rsidRPr="00ED2E0F">
              <w:rPr>
                <w:color w:val="000000" w:themeColor="text1"/>
                <w:sz w:val="18"/>
                <w:szCs w:val="18"/>
              </w:rPr>
              <w:t xml:space="preserve"> 13-17) use </w:t>
            </w:r>
            <w:r w:rsidR="004E2599" w:rsidRPr="00ED2E0F">
              <w:rPr>
                <w:color w:val="000000" w:themeColor="text1"/>
                <w:sz w:val="18"/>
                <w:szCs w:val="18"/>
              </w:rPr>
              <w:t xml:space="preserve">more </w:t>
            </w:r>
            <w:r w:rsidRPr="00ED2E0F">
              <w:rPr>
                <w:color w:val="000000" w:themeColor="text1"/>
                <w:sz w:val="18"/>
                <w:szCs w:val="18"/>
              </w:rPr>
              <w:t xml:space="preserve">stringent language, those on MEAs, climate change and biodiversity </w:t>
            </w:r>
            <w:r w:rsidR="00582F12" w:rsidRPr="00ED2E0F">
              <w:rPr>
                <w:color w:val="000000" w:themeColor="text1"/>
                <w:sz w:val="18"/>
                <w:szCs w:val="18"/>
              </w:rPr>
              <w:t xml:space="preserve">only </w:t>
            </w:r>
            <w:r w:rsidRPr="00ED2E0F">
              <w:rPr>
                <w:color w:val="000000" w:themeColor="text1"/>
                <w:sz w:val="18"/>
                <w:szCs w:val="18"/>
              </w:rPr>
              <w:t>moderately mandating (</w:t>
            </w:r>
            <w:r w:rsidR="006E35E7" w:rsidRPr="00ED2E0F">
              <w:rPr>
                <w:color w:val="000000" w:themeColor="text1"/>
                <w:sz w:val="18"/>
                <w:szCs w:val="18"/>
              </w:rPr>
              <w:t>‘</w:t>
            </w:r>
            <w:r w:rsidRPr="00ED2E0F">
              <w:rPr>
                <w:color w:val="000000" w:themeColor="text1"/>
                <w:sz w:val="18"/>
                <w:szCs w:val="18"/>
              </w:rPr>
              <w:t>acknowledge the rights</w:t>
            </w:r>
            <w:r w:rsidR="006E35E7" w:rsidRPr="00ED2E0F">
              <w:rPr>
                <w:color w:val="000000" w:themeColor="text1"/>
                <w:sz w:val="18"/>
                <w:szCs w:val="18"/>
              </w:rPr>
              <w:t>’</w:t>
            </w:r>
            <w:r w:rsidRPr="00ED2E0F">
              <w:rPr>
                <w:color w:val="000000" w:themeColor="text1"/>
                <w:sz w:val="18"/>
                <w:szCs w:val="18"/>
              </w:rPr>
              <w:t xml:space="preserve">, </w:t>
            </w:r>
            <w:r w:rsidR="006E35E7" w:rsidRPr="00ED2E0F">
              <w:rPr>
                <w:color w:val="000000" w:themeColor="text1"/>
                <w:sz w:val="18"/>
                <w:szCs w:val="18"/>
              </w:rPr>
              <w:t>‘</w:t>
            </w:r>
            <w:r w:rsidRPr="00ED2E0F">
              <w:rPr>
                <w:color w:val="000000" w:themeColor="text1"/>
                <w:sz w:val="18"/>
                <w:szCs w:val="18"/>
              </w:rPr>
              <w:t xml:space="preserve">shall, </w:t>
            </w:r>
            <w:r w:rsidRPr="00ED2E0F">
              <w:rPr>
                <w:i/>
                <w:iCs/>
                <w:color w:val="000000" w:themeColor="text1"/>
                <w:sz w:val="18"/>
                <w:szCs w:val="18"/>
              </w:rPr>
              <w:t>as appropriate</w:t>
            </w:r>
            <w:r w:rsidR="006E35E7" w:rsidRPr="00ED2E0F">
              <w:rPr>
                <w:color w:val="000000" w:themeColor="text1"/>
                <w:sz w:val="18"/>
                <w:szCs w:val="18"/>
              </w:rPr>
              <w:t>’; ‘</w:t>
            </w:r>
            <w:r w:rsidRPr="00ED2E0F">
              <w:rPr>
                <w:color w:val="000000" w:themeColor="text1"/>
                <w:sz w:val="18"/>
                <w:szCs w:val="18"/>
              </w:rPr>
              <w:t>reaffirm commitments</w:t>
            </w:r>
            <w:r w:rsidR="006E35E7" w:rsidRPr="00ED2E0F">
              <w:rPr>
                <w:color w:val="000000" w:themeColor="text1"/>
                <w:sz w:val="18"/>
                <w:szCs w:val="18"/>
              </w:rPr>
              <w:t xml:space="preserve">’) </w:t>
            </w:r>
            <w:r w:rsidRPr="00ED2E0F">
              <w:rPr>
                <w:color w:val="000000" w:themeColor="text1"/>
                <w:sz w:val="18"/>
                <w:szCs w:val="18"/>
              </w:rPr>
              <w:t>formulations, while the important Trade and sustainable development of Forests (Art</w:t>
            </w:r>
            <w:r w:rsidR="00CE1EC2" w:rsidRPr="00ED2E0F">
              <w:rPr>
                <w:color w:val="000000" w:themeColor="text1"/>
                <w:sz w:val="18"/>
                <w:szCs w:val="18"/>
              </w:rPr>
              <w:t>.</w:t>
            </w:r>
            <w:r w:rsidRPr="00ED2E0F">
              <w:rPr>
                <w:color w:val="000000" w:themeColor="text1"/>
                <w:sz w:val="18"/>
                <w:szCs w:val="18"/>
              </w:rPr>
              <w:t xml:space="preserve"> 8) and Supply Chains (</w:t>
            </w:r>
            <w:r w:rsidR="006E35E7" w:rsidRPr="00ED2E0F">
              <w:rPr>
                <w:color w:val="000000" w:themeColor="text1"/>
                <w:sz w:val="18"/>
                <w:szCs w:val="18"/>
              </w:rPr>
              <w:t xml:space="preserve">Arts </w:t>
            </w:r>
            <w:r w:rsidRPr="00ED2E0F">
              <w:rPr>
                <w:color w:val="000000" w:themeColor="text1"/>
                <w:sz w:val="18"/>
                <w:szCs w:val="18"/>
              </w:rPr>
              <w:t xml:space="preserve">8 and 11, respectively) is soft </w:t>
            </w:r>
            <w:r w:rsidR="006E35E7" w:rsidRPr="00ED2E0F">
              <w:rPr>
                <w:color w:val="000000" w:themeColor="text1"/>
                <w:sz w:val="18"/>
                <w:szCs w:val="18"/>
              </w:rPr>
              <w:t>(‘</w:t>
            </w:r>
            <w:r w:rsidRPr="00ED2E0F">
              <w:rPr>
                <w:color w:val="000000" w:themeColor="text1"/>
                <w:sz w:val="18"/>
                <w:szCs w:val="18"/>
              </w:rPr>
              <w:t>recognize the importance of</w:t>
            </w:r>
            <w:r w:rsidR="006E35E7" w:rsidRPr="00ED2E0F">
              <w:rPr>
                <w:color w:val="000000" w:themeColor="text1"/>
                <w:sz w:val="18"/>
                <w:szCs w:val="18"/>
              </w:rPr>
              <w:t>’, ‘</w:t>
            </w:r>
            <w:r w:rsidRPr="00ED2E0F">
              <w:rPr>
                <w:color w:val="000000" w:themeColor="text1"/>
                <w:sz w:val="18"/>
                <w:szCs w:val="18"/>
              </w:rPr>
              <w:t>encourage – as appropriate</w:t>
            </w:r>
            <w:r w:rsidR="006E35E7" w:rsidRPr="00ED2E0F">
              <w:rPr>
                <w:color w:val="000000" w:themeColor="text1"/>
                <w:sz w:val="18"/>
                <w:szCs w:val="18"/>
              </w:rPr>
              <w:t xml:space="preserve">’).    </w:t>
            </w:r>
          </w:p>
        </w:tc>
        <w:tc>
          <w:tcPr>
            <w:tcW w:w="1370" w:type="dxa"/>
            <w:vAlign w:val="center"/>
          </w:tcPr>
          <w:p w14:paraId="438D9483" w14:textId="02FBBAA4" w:rsidR="00B64005" w:rsidRPr="00ED2E0F" w:rsidRDefault="005B465D">
            <w:pPr>
              <w:spacing w:before="60" w:after="240"/>
              <w:jc w:val="center"/>
              <w:rPr>
                <w:color w:val="000000" w:themeColor="text1"/>
              </w:rPr>
            </w:pPr>
            <w:r w:rsidRPr="00ED2E0F">
              <w:rPr>
                <w:color w:val="000000" w:themeColor="text1"/>
              </w:rPr>
              <w:t xml:space="preserve">M </w:t>
            </w:r>
          </w:p>
        </w:tc>
        <w:tc>
          <w:tcPr>
            <w:tcW w:w="1268" w:type="dxa"/>
            <w:vMerge/>
            <w:vAlign w:val="center"/>
          </w:tcPr>
          <w:p w14:paraId="29874187" w14:textId="77777777" w:rsidR="00B64005" w:rsidRPr="00ED2E0F" w:rsidRDefault="00B64005">
            <w:pPr>
              <w:spacing w:before="60" w:after="240"/>
              <w:jc w:val="center"/>
              <w:rPr>
                <w:color w:val="000000" w:themeColor="text1"/>
              </w:rPr>
            </w:pPr>
          </w:p>
        </w:tc>
      </w:tr>
      <w:tr w:rsidR="00B64005" w:rsidRPr="00ED2E0F" w14:paraId="2FFC9E50" w14:textId="77777777" w:rsidTr="18E63CAD">
        <w:tc>
          <w:tcPr>
            <w:tcW w:w="2432" w:type="dxa"/>
          </w:tcPr>
          <w:p w14:paraId="539F252E" w14:textId="77777777" w:rsidR="00B64005" w:rsidRPr="00ED2E0F" w:rsidRDefault="00B64005">
            <w:pPr>
              <w:spacing w:before="60" w:after="240"/>
              <w:rPr>
                <w:color w:val="000000" w:themeColor="text1"/>
                <w:sz w:val="22"/>
                <w:szCs w:val="22"/>
              </w:rPr>
            </w:pPr>
            <w:r w:rsidRPr="00ED2E0F">
              <w:rPr>
                <w:i/>
                <w:iCs/>
                <w:color w:val="000000" w:themeColor="text1"/>
                <w:sz w:val="22"/>
                <w:szCs w:val="22"/>
              </w:rPr>
              <w:t>Precision</w:t>
            </w:r>
            <w:r w:rsidRPr="00ED2E0F">
              <w:rPr>
                <w:color w:val="000000" w:themeColor="text1"/>
                <w:sz w:val="22"/>
                <w:szCs w:val="22"/>
              </w:rPr>
              <w:t xml:space="preserve"> – Accuracy (</w:t>
            </w:r>
            <w:r w:rsidRPr="00ED2E0F">
              <w:rPr>
                <w:i/>
                <w:iCs/>
                <w:color w:val="000000" w:themeColor="text1"/>
                <w:sz w:val="22"/>
                <w:szCs w:val="22"/>
              </w:rPr>
              <w:t xml:space="preserve">ratione </w:t>
            </w:r>
            <w:proofErr w:type="spellStart"/>
            <w:r w:rsidRPr="00ED2E0F">
              <w:rPr>
                <w:i/>
                <w:iCs/>
                <w:color w:val="000000" w:themeColor="text1"/>
                <w:sz w:val="22"/>
                <w:szCs w:val="22"/>
              </w:rPr>
              <w:t>materiae</w:t>
            </w:r>
            <w:proofErr w:type="spellEnd"/>
            <w:r w:rsidRPr="00ED2E0F">
              <w:rPr>
                <w:color w:val="000000" w:themeColor="text1"/>
                <w:sz w:val="22"/>
                <w:szCs w:val="22"/>
              </w:rPr>
              <w:t>)</w:t>
            </w:r>
          </w:p>
        </w:tc>
        <w:tc>
          <w:tcPr>
            <w:tcW w:w="5136" w:type="dxa"/>
          </w:tcPr>
          <w:p w14:paraId="1B622E6E" w14:textId="7CB1D5F2" w:rsidR="00B64005" w:rsidRPr="00ED2E0F" w:rsidRDefault="00B64005">
            <w:pPr>
              <w:spacing w:before="60" w:after="240"/>
              <w:rPr>
                <w:color w:val="000000" w:themeColor="text1"/>
                <w:sz w:val="18"/>
                <w:szCs w:val="18"/>
              </w:rPr>
            </w:pPr>
            <w:r w:rsidRPr="00ED2E0F">
              <w:rPr>
                <w:color w:val="000000" w:themeColor="text1"/>
                <w:sz w:val="18"/>
                <w:szCs w:val="18"/>
              </w:rPr>
              <w:t xml:space="preserve">The TSD Chapter reaches a </w:t>
            </w:r>
            <w:r w:rsidR="00AD0B69" w:rsidRPr="00ED2E0F">
              <w:rPr>
                <w:color w:val="000000" w:themeColor="text1"/>
                <w:sz w:val="18"/>
                <w:szCs w:val="18"/>
              </w:rPr>
              <w:t>low</w:t>
            </w:r>
            <w:r w:rsidRPr="00ED2E0F">
              <w:rPr>
                <w:color w:val="000000" w:themeColor="text1"/>
                <w:sz w:val="18"/>
                <w:szCs w:val="18"/>
              </w:rPr>
              <w:t xml:space="preserve"> level </w:t>
            </w:r>
            <w:r w:rsidR="006925DC">
              <w:rPr>
                <w:color w:val="000000" w:themeColor="text1"/>
                <w:sz w:val="18"/>
                <w:szCs w:val="18"/>
              </w:rPr>
              <w:t xml:space="preserve">of </w:t>
            </w:r>
            <w:r w:rsidRPr="00ED2E0F">
              <w:rPr>
                <w:color w:val="000000" w:themeColor="text1"/>
                <w:sz w:val="18"/>
                <w:szCs w:val="18"/>
              </w:rPr>
              <w:t>accuracy. The right to regulate the level of protection (Art</w:t>
            </w:r>
            <w:r w:rsidR="00CE1EC2" w:rsidRPr="00ED2E0F">
              <w:rPr>
                <w:color w:val="000000" w:themeColor="text1"/>
                <w:sz w:val="18"/>
                <w:szCs w:val="18"/>
              </w:rPr>
              <w:t>.</w:t>
            </w:r>
            <w:r w:rsidRPr="00ED2E0F">
              <w:rPr>
                <w:color w:val="000000" w:themeColor="text1"/>
                <w:sz w:val="18"/>
                <w:szCs w:val="18"/>
              </w:rPr>
              <w:t xml:space="preserve"> 2) is defined substantively in vague terms, </w:t>
            </w:r>
            <w:r w:rsidR="002D6EF9" w:rsidRPr="00ED2E0F">
              <w:rPr>
                <w:color w:val="000000" w:themeColor="text1"/>
                <w:sz w:val="18"/>
                <w:szCs w:val="18"/>
              </w:rPr>
              <w:t>and</w:t>
            </w:r>
            <w:r w:rsidR="006E35E7" w:rsidRPr="00ED2E0F">
              <w:rPr>
                <w:color w:val="000000" w:themeColor="text1"/>
                <w:sz w:val="18"/>
                <w:szCs w:val="18"/>
              </w:rPr>
              <w:t>,</w:t>
            </w:r>
            <w:r w:rsidRPr="00ED2E0F">
              <w:rPr>
                <w:color w:val="000000" w:themeColor="text1"/>
                <w:sz w:val="18"/>
                <w:szCs w:val="18"/>
              </w:rPr>
              <w:t xml:space="preserve"> e.g.</w:t>
            </w:r>
            <w:r w:rsidR="006E35E7" w:rsidRPr="00ED2E0F">
              <w:rPr>
                <w:color w:val="000000" w:themeColor="text1"/>
                <w:sz w:val="18"/>
                <w:szCs w:val="18"/>
              </w:rPr>
              <w:t>,</w:t>
            </w:r>
            <w:r w:rsidRPr="00ED2E0F">
              <w:rPr>
                <w:color w:val="000000" w:themeColor="text1"/>
                <w:sz w:val="18"/>
                <w:szCs w:val="18"/>
              </w:rPr>
              <w:t xml:space="preserve"> the </w:t>
            </w:r>
            <w:r w:rsidR="006E35E7" w:rsidRPr="00ED2E0F">
              <w:rPr>
                <w:color w:val="000000" w:themeColor="text1"/>
                <w:sz w:val="18"/>
                <w:szCs w:val="18"/>
              </w:rPr>
              <w:t xml:space="preserve">provisions </w:t>
            </w:r>
            <w:r w:rsidRPr="00ED2E0F">
              <w:rPr>
                <w:color w:val="000000" w:themeColor="text1"/>
                <w:sz w:val="18"/>
                <w:szCs w:val="18"/>
              </w:rPr>
              <w:t>on MEAs, climate change, biodiversity</w:t>
            </w:r>
            <w:r w:rsidR="006E35E7" w:rsidRPr="00ED2E0F">
              <w:rPr>
                <w:color w:val="000000" w:themeColor="text1"/>
                <w:sz w:val="18"/>
                <w:szCs w:val="18"/>
              </w:rPr>
              <w:t>,</w:t>
            </w:r>
            <w:r w:rsidRPr="00ED2E0F">
              <w:rPr>
                <w:color w:val="000000" w:themeColor="text1"/>
                <w:sz w:val="18"/>
                <w:szCs w:val="18"/>
              </w:rPr>
              <w:t xml:space="preserve"> and particularly sustainable management of forests and on supply chains are</w:t>
            </w:r>
            <w:r w:rsidR="006E35E7" w:rsidRPr="00ED2E0F">
              <w:rPr>
                <w:color w:val="000000" w:themeColor="text1"/>
                <w:sz w:val="18"/>
                <w:szCs w:val="18"/>
              </w:rPr>
              <w:t>,</w:t>
            </w:r>
            <w:r w:rsidRPr="00ED2E0F">
              <w:rPr>
                <w:color w:val="000000" w:themeColor="text1"/>
                <w:sz w:val="18"/>
                <w:szCs w:val="18"/>
              </w:rPr>
              <w:t xml:space="preserve"> for </w:t>
            </w:r>
            <w:r w:rsidR="006E35E7" w:rsidRPr="00ED2E0F">
              <w:rPr>
                <w:color w:val="000000" w:themeColor="text1"/>
                <w:sz w:val="18"/>
                <w:szCs w:val="18"/>
              </w:rPr>
              <w:t xml:space="preserve">the </w:t>
            </w:r>
            <w:r w:rsidRPr="00ED2E0F">
              <w:rPr>
                <w:color w:val="000000" w:themeColor="text1"/>
                <w:sz w:val="18"/>
                <w:szCs w:val="18"/>
              </w:rPr>
              <w:t>most part</w:t>
            </w:r>
            <w:r w:rsidR="006E35E7" w:rsidRPr="00ED2E0F">
              <w:rPr>
                <w:color w:val="000000" w:themeColor="text1"/>
                <w:sz w:val="18"/>
                <w:szCs w:val="18"/>
              </w:rPr>
              <w:t>,</w:t>
            </w:r>
            <w:r w:rsidRPr="00ED2E0F">
              <w:rPr>
                <w:color w:val="000000" w:themeColor="text1"/>
                <w:sz w:val="18"/>
                <w:szCs w:val="18"/>
              </w:rPr>
              <w:t xml:space="preserve"> only moderately accurate (Arts </w:t>
            </w:r>
            <w:r w:rsidR="004B29D6" w:rsidRPr="00ED2E0F">
              <w:rPr>
                <w:color w:val="000000" w:themeColor="text1"/>
                <w:sz w:val="18"/>
                <w:szCs w:val="18"/>
              </w:rPr>
              <w:t>5</w:t>
            </w:r>
            <w:r w:rsidR="00CE1EC2" w:rsidRPr="00ED2E0F">
              <w:rPr>
                <w:color w:val="000000" w:themeColor="text1"/>
                <w:sz w:val="18"/>
                <w:szCs w:val="18"/>
              </w:rPr>
              <w:t>–</w:t>
            </w:r>
            <w:r w:rsidRPr="00ED2E0F">
              <w:rPr>
                <w:color w:val="000000" w:themeColor="text1"/>
                <w:sz w:val="18"/>
                <w:szCs w:val="18"/>
              </w:rPr>
              <w:t xml:space="preserve">8, 11, respectively).    </w:t>
            </w:r>
          </w:p>
        </w:tc>
        <w:tc>
          <w:tcPr>
            <w:tcW w:w="1370" w:type="dxa"/>
            <w:vAlign w:val="center"/>
          </w:tcPr>
          <w:p w14:paraId="209BE7D6" w14:textId="26673FBC" w:rsidR="00B64005" w:rsidRPr="00ED2E0F" w:rsidRDefault="00CD1C66">
            <w:pPr>
              <w:spacing w:before="60" w:after="240"/>
              <w:jc w:val="center"/>
              <w:rPr>
                <w:color w:val="000000" w:themeColor="text1"/>
              </w:rPr>
            </w:pPr>
            <w:r w:rsidRPr="00ED2E0F">
              <w:rPr>
                <w:color w:val="000000" w:themeColor="text1"/>
              </w:rPr>
              <w:t>L</w:t>
            </w:r>
            <w:r w:rsidR="00E60CE2" w:rsidRPr="00ED2E0F">
              <w:rPr>
                <w:color w:val="000000" w:themeColor="text1"/>
              </w:rPr>
              <w:t xml:space="preserve"> </w:t>
            </w:r>
          </w:p>
        </w:tc>
        <w:tc>
          <w:tcPr>
            <w:tcW w:w="1268" w:type="dxa"/>
            <w:vMerge w:val="restart"/>
            <w:vAlign w:val="center"/>
          </w:tcPr>
          <w:p w14:paraId="1819C739" w14:textId="5D4B6D14" w:rsidR="00B64005" w:rsidRPr="00ED2E0F" w:rsidRDefault="00DC401F">
            <w:pPr>
              <w:spacing w:before="60" w:after="240"/>
              <w:jc w:val="center"/>
              <w:rPr>
                <w:color w:val="000000" w:themeColor="text1"/>
              </w:rPr>
            </w:pPr>
            <w:r w:rsidRPr="00ED2E0F">
              <w:rPr>
                <w:color w:val="000000" w:themeColor="text1"/>
              </w:rPr>
              <w:t>L</w:t>
            </w:r>
            <w:r w:rsidR="006D1CC9">
              <w:rPr>
                <w:b/>
                <w:bCs/>
                <w:color w:val="000000" w:themeColor="text1"/>
              </w:rPr>
              <w:t>–</w:t>
            </w:r>
            <w:r w:rsidR="00910DCC" w:rsidRPr="00ED2E0F">
              <w:rPr>
                <w:color w:val="000000" w:themeColor="text1"/>
              </w:rPr>
              <w:t>M</w:t>
            </w:r>
            <w:r w:rsidR="00B64005" w:rsidRPr="00ED2E0F">
              <w:rPr>
                <w:color w:val="000000" w:themeColor="text1"/>
              </w:rPr>
              <w:t xml:space="preserve"> </w:t>
            </w:r>
          </w:p>
        </w:tc>
      </w:tr>
      <w:tr w:rsidR="00B64005" w:rsidRPr="00ED2E0F" w14:paraId="2C7D2D36" w14:textId="77777777" w:rsidTr="18E63CAD">
        <w:tc>
          <w:tcPr>
            <w:tcW w:w="2432" w:type="dxa"/>
          </w:tcPr>
          <w:p w14:paraId="09523D48" w14:textId="77777777" w:rsidR="00B64005" w:rsidRPr="00ED2E0F" w:rsidRDefault="00B64005">
            <w:pPr>
              <w:spacing w:before="60" w:after="240"/>
              <w:rPr>
                <w:color w:val="000000" w:themeColor="text1"/>
                <w:sz w:val="22"/>
                <w:szCs w:val="22"/>
              </w:rPr>
            </w:pPr>
            <w:r w:rsidRPr="00ED2E0F">
              <w:rPr>
                <w:i/>
                <w:iCs/>
                <w:color w:val="000000" w:themeColor="text1"/>
                <w:sz w:val="22"/>
                <w:szCs w:val="22"/>
              </w:rPr>
              <w:t>Precision</w:t>
            </w:r>
            <w:r w:rsidRPr="00ED2E0F">
              <w:rPr>
                <w:color w:val="000000" w:themeColor="text1"/>
                <w:sz w:val="22"/>
                <w:szCs w:val="22"/>
              </w:rPr>
              <w:t xml:space="preserve"> – Specificity (</w:t>
            </w:r>
            <w:r w:rsidRPr="00ED2E0F">
              <w:rPr>
                <w:i/>
                <w:iCs/>
                <w:color w:val="000000" w:themeColor="text1"/>
                <w:sz w:val="22"/>
                <w:szCs w:val="22"/>
              </w:rPr>
              <w:t>ratione personae</w:t>
            </w:r>
            <w:r w:rsidRPr="00ED2E0F">
              <w:rPr>
                <w:color w:val="000000" w:themeColor="text1"/>
                <w:sz w:val="22"/>
                <w:szCs w:val="22"/>
              </w:rPr>
              <w:t>)</w:t>
            </w:r>
          </w:p>
        </w:tc>
        <w:tc>
          <w:tcPr>
            <w:tcW w:w="5136" w:type="dxa"/>
          </w:tcPr>
          <w:p w14:paraId="33059AF2" w14:textId="3D29FA17" w:rsidR="00B64005" w:rsidRPr="00ED2E0F" w:rsidRDefault="00B64005">
            <w:pPr>
              <w:spacing w:before="60" w:after="240"/>
              <w:rPr>
                <w:color w:val="000000" w:themeColor="text1"/>
                <w:sz w:val="18"/>
                <w:szCs w:val="18"/>
              </w:rPr>
            </w:pPr>
            <w:r w:rsidRPr="00ED2E0F">
              <w:rPr>
                <w:color w:val="000000" w:themeColor="text1"/>
                <w:sz w:val="18"/>
                <w:szCs w:val="18"/>
              </w:rPr>
              <w:t xml:space="preserve">The TSD Chapter is addressed to the governments as the Parties to the Agreement. Their role is mostly quite specific, yet the </w:t>
            </w:r>
            <w:r w:rsidR="006E35E7" w:rsidRPr="00ED2E0F">
              <w:rPr>
                <w:color w:val="000000" w:themeColor="text1"/>
                <w:sz w:val="18"/>
                <w:szCs w:val="18"/>
              </w:rPr>
              <w:t xml:space="preserve">provisions </w:t>
            </w:r>
            <w:r w:rsidRPr="00ED2E0F">
              <w:rPr>
                <w:color w:val="000000" w:themeColor="text1"/>
                <w:sz w:val="18"/>
                <w:szCs w:val="18"/>
              </w:rPr>
              <w:t>do not</w:t>
            </w:r>
            <w:r w:rsidR="006E35E7" w:rsidRPr="00ED2E0F">
              <w:rPr>
                <w:color w:val="000000" w:themeColor="text1"/>
                <w:sz w:val="18"/>
                <w:szCs w:val="18"/>
              </w:rPr>
              <w:t>,</w:t>
            </w:r>
            <w:r w:rsidRPr="00ED2E0F">
              <w:rPr>
                <w:color w:val="000000" w:themeColor="text1"/>
                <w:sz w:val="18"/>
                <w:szCs w:val="18"/>
              </w:rPr>
              <w:t xml:space="preserve"> as such</w:t>
            </w:r>
            <w:r w:rsidR="006E35E7" w:rsidRPr="00ED2E0F">
              <w:rPr>
                <w:color w:val="000000" w:themeColor="text1"/>
                <w:sz w:val="18"/>
                <w:szCs w:val="18"/>
              </w:rPr>
              <w:t>,</w:t>
            </w:r>
            <w:r w:rsidRPr="00ED2E0F">
              <w:rPr>
                <w:color w:val="000000" w:themeColor="text1"/>
                <w:sz w:val="18"/>
                <w:szCs w:val="18"/>
              </w:rPr>
              <w:t xml:space="preserve"> specify further the relevant implementing actors or institutions, </w:t>
            </w:r>
            <w:proofErr w:type="gramStart"/>
            <w:r w:rsidRPr="00ED2E0F">
              <w:rPr>
                <w:color w:val="000000" w:themeColor="text1"/>
                <w:sz w:val="18"/>
                <w:szCs w:val="18"/>
              </w:rPr>
              <w:t>with the exception of</w:t>
            </w:r>
            <w:proofErr w:type="gramEnd"/>
            <w:r w:rsidRPr="00ED2E0F">
              <w:rPr>
                <w:color w:val="000000" w:themeColor="text1"/>
                <w:sz w:val="18"/>
                <w:szCs w:val="18"/>
              </w:rPr>
              <w:t xml:space="preserve"> the dispute settlement process (Art</w:t>
            </w:r>
            <w:r w:rsidR="00CE1EC2" w:rsidRPr="00ED2E0F">
              <w:rPr>
                <w:color w:val="000000" w:themeColor="text1"/>
                <w:sz w:val="18"/>
                <w:szCs w:val="18"/>
              </w:rPr>
              <w:t>s</w:t>
            </w:r>
            <w:r w:rsidRPr="00ED2E0F">
              <w:rPr>
                <w:color w:val="000000" w:themeColor="text1"/>
                <w:sz w:val="18"/>
                <w:szCs w:val="18"/>
              </w:rPr>
              <w:t xml:space="preserve"> 15</w:t>
            </w:r>
            <w:r w:rsidR="00CE1EC2" w:rsidRPr="00ED2E0F">
              <w:rPr>
                <w:color w:val="000000" w:themeColor="text1"/>
                <w:sz w:val="18"/>
                <w:szCs w:val="18"/>
              </w:rPr>
              <w:t>–</w:t>
            </w:r>
            <w:r w:rsidRPr="00ED2E0F">
              <w:rPr>
                <w:color w:val="000000" w:themeColor="text1"/>
                <w:sz w:val="18"/>
                <w:szCs w:val="18"/>
              </w:rPr>
              <w:t xml:space="preserve">17). Companies as the ultimate targets of the provisions are not </w:t>
            </w:r>
            <w:proofErr w:type="gramStart"/>
            <w:r w:rsidRPr="00ED2E0F">
              <w:rPr>
                <w:color w:val="000000" w:themeColor="text1"/>
                <w:sz w:val="18"/>
                <w:szCs w:val="18"/>
              </w:rPr>
              <w:t>directly mentioned</w:t>
            </w:r>
            <w:proofErr w:type="gramEnd"/>
            <w:r w:rsidRPr="00ED2E0F">
              <w:rPr>
                <w:color w:val="000000" w:themeColor="text1"/>
                <w:sz w:val="18"/>
                <w:szCs w:val="18"/>
              </w:rPr>
              <w:t xml:space="preserve"> as a part of the obligations (e.g.</w:t>
            </w:r>
            <w:r w:rsidR="006E35E7" w:rsidRPr="00ED2E0F">
              <w:rPr>
                <w:color w:val="000000" w:themeColor="text1"/>
                <w:sz w:val="18"/>
                <w:szCs w:val="18"/>
              </w:rPr>
              <w:t>,</w:t>
            </w:r>
            <w:r w:rsidRPr="00ED2E0F">
              <w:rPr>
                <w:color w:val="000000" w:themeColor="text1"/>
                <w:sz w:val="18"/>
                <w:szCs w:val="18"/>
              </w:rPr>
              <w:t xml:space="preserve"> in the Article on supply chains (Art</w:t>
            </w:r>
            <w:r w:rsidR="00CE1EC2" w:rsidRPr="00ED2E0F">
              <w:rPr>
                <w:color w:val="000000" w:themeColor="text1"/>
                <w:sz w:val="18"/>
                <w:szCs w:val="18"/>
              </w:rPr>
              <w:t>.</w:t>
            </w:r>
            <w:r w:rsidRPr="00ED2E0F">
              <w:rPr>
                <w:color w:val="000000" w:themeColor="text1"/>
                <w:sz w:val="18"/>
                <w:szCs w:val="18"/>
              </w:rPr>
              <w:t xml:space="preserve"> 11)). They are targeted indirectly </w:t>
            </w:r>
            <w:proofErr w:type="gramStart"/>
            <w:r w:rsidRPr="00ED2E0F">
              <w:rPr>
                <w:color w:val="000000" w:themeColor="text1"/>
                <w:sz w:val="18"/>
                <w:szCs w:val="18"/>
              </w:rPr>
              <w:t>e.g.</w:t>
            </w:r>
            <w:proofErr w:type="gramEnd"/>
            <w:r w:rsidRPr="00ED2E0F">
              <w:rPr>
                <w:color w:val="000000" w:themeColor="text1"/>
                <w:sz w:val="18"/>
                <w:szCs w:val="18"/>
              </w:rPr>
              <w:t xml:space="preserve"> through support measures </w:t>
            </w:r>
            <w:proofErr w:type="gramStart"/>
            <w:r w:rsidRPr="00ED2E0F">
              <w:rPr>
                <w:color w:val="000000" w:themeColor="text1"/>
                <w:sz w:val="18"/>
                <w:szCs w:val="18"/>
              </w:rPr>
              <w:t>on</w:t>
            </w:r>
            <w:proofErr w:type="gramEnd"/>
            <w:r w:rsidRPr="00ED2E0F">
              <w:rPr>
                <w:color w:val="000000" w:themeColor="text1"/>
                <w:sz w:val="18"/>
                <w:szCs w:val="18"/>
              </w:rPr>
              <w:t xml:space="preserve"> products (Art. 8). Local communities and </w:t>
            </w:r>
            <w:proofErr w:type="gramStart"/>
            <w:r w:rsidRPr="00ED2E0F">
              <w:rPr>
                <w:color w:val="000000" w:themeColor="text1"/>
                <w:sz w:val="18"/>
                <w:szCs w:val="18"/>
              </w:rPr>
              <w:t>indigenous</w:t>
            </w:r>
            <w:proofErr w:type="gramEnd"/>
            <w:r w:rsidRPr="00ED2E0F">
              <w:rPr>
                <w:color w:val="000000" w:themeColor="text1"/>
                <w:sz w:val="18"/>
                <w:szCs w:val="18"/>
              </w:rPr>
              <w:t xml:space="preserve"> groups are specifically targeted in Art</w:t>
            </w:r>
            <w:r w:rsidR="00CE1EC2" w:rsidRPr="00ED2E0F">
              <w:rPr>
                <w:color w:val="000000" w:themeColor="text1"/>
                <w:sz w:val="18"/>
                <w:szCs w:val="18"/>
              </w:rPr>
              <w:t>.</w:t>
            </w:r>
            <w:r w:rsidRPr="00ED2E0F">
              <w:rPr>
                <w:color w:val="000000" w:themeColor="text1"/>
                <w:sz w:val="18"/>
                <w:szCs w:val="18"/>
              </w:rPr>
              <w:t xml:space="preserve"> 8(2). </w:t>
            </w:r>
          </w:p>
        </w:tc>
        <w:tc>
          <w:tcPr>
            <w:tcW w:w="1370" w:type="dxa"/>
            <w:vAlign w:val="center"/>
          </w:tcPr>
          <w:p w14:paraId="7915FAB2" w14:textId="0C0419FE" w:rsidR="00B64005" w:rsidRPr="00ED2E0F" w:rsidRDefault="00910DCC">
            <w:pPr>
              <w:spacing w:before="60" w:after="240"/>
              <w:jc w:val="center"/>
              <w:rPr>
                <w:color w:val="000000" w:themeColor="text1"/>
              </w:rPr>
            </w:pPr>
            <w:r w:rsidRPr="00ED2E0F">
              <w:rPr>
                <w:color w:val="000000" w:themeColor="text1"/>
              </w:rPr>
              <w:t xml:space="preserve">M </w:t>
            </w:r>
          </w:p>
        </w:tc>
        <w:tc>
          <w:tcPr>
            <w:tcW w:w="1268" w:type="dxa"/>
            <w:vMerge/>
            <w:vAlign w:val="center"/>
          </w:tcPr>
          <w:p w14:paraId="5B3F7520" w14:textId="77777777" w:rsidR="00B64005" w:rsidRPr="00ED2E0F" w:rsidRDefault="00B64005">
            <w:pPr>
              <w:spacing w:before="60" w:after="240"/>
              <w:jc w:val="center"/>
              <w:rPr>
                <w:color w:val="000000" w:themeColor="text1"/>
              </w:rPr>
            </w:pPr>
          </w:p>
        </w:tc>
      </w:tr>
      <w:tr w:rsidR="00B64005" w:rsidRPr="00ED2E0F" w14:paraId="45533A92" w14:textId="77777777" w:rsidTr="18E63CAD">
        <w:tc>
          <w:tcPr>
            <w:tcW w:w="2432" w:type="dxa"/>
          </w:tcPr>
          <w:p w14:paraId="593C2943" w14:textId="0E6C0C11" w:rsidR="00B64005" w:rsidRPr="00ED2E0F" w:rsidRDefault="00795339">
            <w:pPr>
              <w:spacing w:before="60" w:after="240"/>
              <w:rPr>
                <w:color w:val="000000" w:themeColor="text1"/>
                <w:sz w:val="22"/>
                <w:szCs w:val="22"/>
              </w:rPr>
            </w:pPr>
            <w:r w:rsidRPr="00ED2E0F">
              <w:rPr>
                <w:i/>
                <w:iCs/>
                <w:color w:val="000000" w:themeColor="text1"/>
                <w:sz w:val="22"/>
                <w:szCs w:val="22"/>
              </w:rPr>
              <w:t>Means of implementation</w:t>
            </w:r>
            <w:r w:rsidRPr="00ED2E0F">
              <w:rPr>
                <w:color w:val="000000" w:themeColor="text1"/>
                <w:sz w:val="22"/>
                <w:szCs w:val="22"/>
              </w:rPr>
              <w:t xml:space="preserve"> –</w:t>
            </w:r>
            <w:r w:rsidR="00B64005" w:rsidRPr="00ED2E0F">
              <w:rPr>
                <w:color w:val="000000" w:themeColor="text1"/>
                <w:sz w:val="22"/>
                <w:szCs w:val="22"/>
              </w:rPr>
              <w:t xml:space="preserve"> Scope</w:t>
            </w:r>
          </w:p>
        </w:tc>
        <w:tc>
          <w:tcPr>
            <w:tcW w:w="5136" w:type="dxa"/>
          </w:tcPr>
          <w:p w14:paraId="7407D577" w14:textId="12146A28" w:rsidR="00B64005" w:rsidRPr="00ED2E0F" w:rsidRDefault="00B64005">
            <w:pPr>
              <w:spacing w:before="60" w:after="240"/>
              <w:rPr>
                <w:color w:val="000000" w:themeColor="text1"/>
                <w:sz w:val="18"/>
                <w:szCs w:val="18"/>
              </w:rPr>
            </w:pPr>
            <w:r w:rsidRPr="00ED2E0F">
              <w:rPr>
                <w:color w:val="000000" w:themeColor="text1"/>
                <w:sz w:val="18"/>
                <w:szCs w:val="18"/>
              </w:rPr>
              <w:t>The implementation in the TA focuses first</w:t>
            </w:r>
            <w:r w:rsidR="5AE04E35" w:rsidRPr="00ED2E0F">
              <w:rPr>
                <w:color w:val="000000" w:themeColor="text1"/>
                <w:sz w:val="18"/>
                <w:szCs w:val="18"/>
              </w:rPr>
              <w:t>ly</w:t>
            </w:r>
            <w:r w:rsidRPr="00ED2E0F">
              <w:rPr>
                <w:color w:val="000000" w:themeColor="text1"/>
                <w:sz w:val="18"/>
                <w:szCs w:val="18"/>
              </w:rPr>
              <w:t xml:space="preserve"> on the establishment of the sub-committee on trade and sustainable development (Art</w:t>
            </w:r>
            <w:r w:rsidR="00CE1EC2" w:rsidRPr="00ED2E0F">
              <w:rPr>
                <w:color w:val="000000" w:themeColor="text1"/>
                <w:sz w:val="18"/>
                <w:szCs w:val="18"/>
              </w:rPr>
              <w:t>.</w:t>
            </w:r>
            <w:r w:rsidRPr="00ED2E0F">
              <w:rPr>
                <w:color w:val="000000" w:themeColor="text1"/>
                <w:sz w:val="18"/>
                <w:szCs w:val="18"/>
              </w:rPr>
              <w:t xml:space="preserve"> 14). Its tasks cover the facilitation and monitoring (yet not stronger means of enforcement) of the TSD Chapter, dispute settlement and any other matter within the Chapter that the Parties may agree upon (Arts 14</w:t>
            </w:r>
            <w:r w:rsidR="00CE1EC2" w:rsidRPr="00ED2E0F">
              <w:rPr>
                <w:color w:val="000000" w:themeColor="text1"/>
                <w:sz w:val="18"/>
                <w:szCs w:val="18"/>
              </w:rPr>
              <w:t>–</w:t>
            </w:r>
            <w:r w:rsidR="5C451B9E" w:rsidRPr="00ED2E0F">
              <w:rPr>
                <w:color w:val="000000" w:themeColor="text1"/>
                <w:sz w:val="18"/>
                <w:szCs w:val="18"/>
              </w:rPr>
              <w:t>17)</w:t>
            </w:r>
            <w:r w:rsidRPr="00ED2E0F">
              <w:rPr>
                <w:color w:val="000000" w:themeColor="text1"/>
                <w:sz w:val="18"/>
                <w:szCs w:val="18"/>
              </w:rPr>
              <w:t>. The TA requires the setting up of Contact Points for (Art</w:t>
            </w:r>
            <w:r w:rsidR="00CE1EC2" w:rsidRPr="00ED2E0F">
              <w:rPr>
                <w:color w:val="000000" w:themeColor="text1"/>
                <w:sz w:val="18"/>
                <w:szCs w:val="18"/>
              </w:rPr>
              <w:t>.</w:t>
            </w:r>
            <w:r w:rsidR="006E35E7" w:rsidRPr="00ED2E0F">
              <w:rPr>
                <w:color w:val="000000" w:themeColor="text1"/>
                <w:sz w:val="18"/>
                <w:szCs w:val="18"/>
              </w:rPr>
              <w:t xml:space="preserve"> </w:t>
            </w:r>
            <w:r w:rsidRPr="00ED2E0F">
              <w:rPr>
                <w:color w:val="000000" w:themeColor="text1"/>
                <w:sz w:val="18"/>
                <w:szCs w:val="18"/>
              </w:rPr>
              <w:t>14</w:t>
            </w:r>
            <w:r w:rsidR="002E42A8" w:rsidRPr="00ED2E0F">
              <w:rPr>
                <w:color w:val="000000" w:themeColor="text1"/>
                <w:sz w:val="18"/>
                <w:szCs w:val="18"/>
              </w:rPr>
              <w:t>(</w:t>
            </w:r>
            <w:r w:rsidRPr="00ED2E0F">
              <w:rPr>
                <w:color w:val="000000" w:themeColor="text1"/>
                <w:sz w:val="18"/>
                <w:szCs w:val="18"/>
              </w:rPr>
              <w:t>5</w:t>
            </w:r>
            <w:r w:rsidR="002E42A8" w:rsidRPr="00ED2E0F">
              <w:rPr>
                <w:color w:val="000000" w:themeColor="text1"/>
                <w:sz w:val="18"/>
                <w:szCs w:val="18"/>
              </w:rPr>
              <w:t>)</w:t>
            </w:r>
            <w:r w:rsidRPr="00ED2E0F">
              <w:rPr>
                <w:color w:val="000000" w:themeColor="text1"/>
                <w:sz w:val="18"/>
                <w:szCs w:val="18"/>
              </w:rPr>
              <w:t xml:space="preserve">). Dispute settlement </w:t>
            </w:r>
            <w:proofErr w:type="gramStart"/>
            <w:r w:rsidRPr="00ED2E0F">
              <w:rPr>
                <w:color w:val="000000" w:themeColor="text1"/>
                <w:sz w:val="18"/>
                <w:szCs w:val="18"/>
              </w:rPr>
              <w:t>includes also</w:t>
            </w:r>
            <w:proofErr w:type="gramEnd"/>
            <w:r w:rsidRPr="00ED2E0F">
              <w:rPr>
                <w:color w:val="000000" w:themeColor="text1"/>
                <w:sz w:val="18"/>
                <w:szCs w:val="18"/>
              </w:rPr>
              <w:t xml:space="preserve"> the option of establish</w:t>
            </w:r>
            <w:r w:rsidR="009C2566" w:rsidRPr="00ED2E0F">
              <w:rPr>
                <w:color w:val="000000" w:themeColor="text1"/>
                <w:sz w:val="18"/>
                <w:szCs w:val="18"/>
              </w:rPr>
              <w:t>ing</w:t>
            </w:r>
            <w:r w:rsidRPr="00ED2E0F">
              <w:rPr>
                <w:color w:val="000000" w:themeColor="text1"/>
                <w:sz w:val="18"/>
                <w:szCs w:val="18"/>
              </w:rPr>
              <w:t xml:space="preserve"> Expert Panels (Art</w:t>
            </w:r>
            <w:r w:rsidR="00CE1EC2" w:rsidRPr="00ED2E0F">
              <w:rPr>
                <w:color w:val="000000" w:themeColor="text1"/>
                <w:sz w:val="18"/>
                <w:szCs w:val="18"/>
              </w:rPr>
              <w:t>.</w:t>
            </w:r>
            <w:r w:rsidRPr="00ED2E0F">
              <w:rPr>
                <w:color w:val="000000" w:themeColor="text1"/>
                <w:sz w:val="18"/>
                <w:szCs w:val="18"/>
              </w:rPr>
              <w:t xml:space="preserve"> 17.1</w:t>
            </w:r>
            <w:r w:rsidR="00335DCF" w:rsidRPr="00ED2E0F">
              <w:rPr>
                <w:color w:val="000000" w:themeColor="text1"/>
                <w:sz w:val="18"/>
                <w:szCs w:val="18"/>
              </w:rPr>
              <w:t>1</w:t>
            </w:r>
            <w:r w:rsidRPr="00ED2E0F">
              <w:rPr>
                <w:color w:val="000000" w:themeColor="text1"/>
                <w:sz w:val="18"/>
                <w:szCs w:val="18"/>
              </w:rPr>
              <w:t xml:space="preserve">) The material scope of these delegated tasks </w:t>
            </w:r>
            <w:r w:rsidR="0041383B" w:rsidRPr="00ED2E0F">
              <w:rPr>
                <w:color w:val="000000" w:themeColor="text1"/>
                <w:sz w:val="18"/>
                <w:szCs w:val="18"/>
              </w:rPr>
              <w:t xml:space="preserve">is </w:t>
            </w:r>
            <w:r w:rsidRPr="00ED2E0F">
              <w:rPr>
                <w:color w:val="000000" w:themeColor="text1"/>
                <w:sz w:val="18"/>
                <w:szCs w:val="18"/>
              </w:rPr>
              <w:t xml:space="preserve">overall speaking moderate, covering issues within the Chapter. </w:t>
            </w:r>
            <w:r w:rsidR="00A471D9" w:rsidRPr="00ED2E0F">
              <w:rPr>
                <w:color w:val="000000" w:themeColor="text1"/>
                <w:sz w:val="18"/>
                <w:szCs w:val="18"/>
                <w:lang w:val="en-GB"/>
              </w:rPr>
              <w:t xml:space="preserve">The enforcement mechanisms do not include the </w:t>
            </w:r>
            <w:r w:rsidR="00954C52" w:rsidRPr="00ED2E0F">
              <w:rPr>
                <w:color w:val="000000" w:themeColor="text1"/>
                <w:sz w:val="18"/>
                <w:szCs w:val="18"/>
                <w:lang w:val="en-GB"/>
              </w:rPr>
              <w:t>authority to</w:t>
            </w:r>
            <w:r w:rsidR="00A471D9" w:rsidRPr="00ED2E0F">
              <w:rPr>
                <w:color w:val="000000" w:themeColor="text1"/>
                <w:sz w:val="18"/>
                <w:szCs w:val="18"/>
                <w:lang w:val="en-GB"/>
              </w:rPr>
              <w:t xml:space="preserve"> </w:t>
            </w:r>
            <w:r w:rsidR="005B4C4E" w:rsidRPr="00ED2E0F">
              <w:rPr>
                <w:color w:val="000000" w:themeColor="text1"/>
                <w:sz w:val="18"/>
                <w:szCs w:val="18"/>
                <w:lang w:val="en-GB"/>
              </w:rPr>
              <w:t>impose</w:t>
            </w:r>
            <w:r w:rsidR="00A471D9" w:rsidRPr="00ED2E0F">
              <w:rPr>
                <w:color w:val="000000" w:themeColor="text1"/>
                <w:sz w:val="18"/>
                <w:szCs w:val="18"/>
                <w:lang w:val="en-GB"/>
              </w:rPr>
              <w:t xml:space="preserve"> sanctions or suspension of trade concessions. However, </w:t>
            </w:r>
            <w:r w:rsidRPr="00ED2E0F">
              <w:rPr>
                <w:color w:val="000000" w:themeColor="text1"/>
                <w:sz w:val="18"/>
                <w:szCs w:val="18"/>
              </w:rPr>
              <w:t xml:space="preserve">CSOs views are to be taken into account in the </w:t>
            </w:r>
            <w:r w:rsidRPr="00ED2E0F">
              <w:rPr>
                <w:color w:val="000000" w:themeColor="text1"/>
                <w:sz w:val="18"/>
                <w:szCs w:val="18"/>
              </w:rPr>
              <w:lastRenderedPageBreak/>
              <w:t>consultations by the TSD Sub-Committee (Art</w:t>
            </w:r>
            <w:r w:rsidR="00CE1EC2" w:rsidRPr="00ED2E0F">
              <w:rPr>
                <w:color w:val="000000" w:themeColor="text1"/>
                <w:sz w:val="18"/>
                <w:szCs w:val="18"/>
              </w:rPr>
              <w:t>.</w:t>
            </w:r>
            <w:r w:rsidRPr="00ED2E0F">
              <w:rPr>
                <w:color w:val="000000" w:themeColor="text1"/>
                <w:sz w:val="18"/>
                <w:szCs w:val="18"/>
              </w:rPr>
              <w:t xml:space="preserve"> </w:t>
            </w:r>
            <w:r w:rsidR="00CB0B62" w:rsidRPr="00ED2E0F">
              <w:rPr>
                <w:color w:val="000000" w:themeColor="text1"/>
                <w:sz w:val="18"/>
                <w:szCs w:val="18"/>
              </w:rPr>
              <w:t>1</w:t>
            </w:r>
            <w:r w:rsidR="00A471D9" w:rsidRPr="00ED2E0F">
              <w:rPr>
                <w:color w:val="000000" w:themeColor="text1"/>
                <w:sz w:val="18"/>
                <w:szCs w:val="18"/>
              </w:rPr>
              <w:t>6</w:t>
            </w:r>
            <w:r w:rsidR="00CB0B62" w:rsidRPr="00ED2E0F">
              <w:rPr>
                <w:color w:val="000000" w:themeColor="text1"/>
                <w:sz w:val="18"/>
                <w:szCs w:val="18"/>
              </w:rPr>
              <w:t>.</w:t>
            </w:r>
            <w:r w:rsidR="00A471D9" w:rsidRPr="00ED2E0F">
              <w:rPr>
                <w:color w:val="000000" w:themeColor="text1"/>
                <w:sz w:val="18"/>
                <w:szCs w:val="18"/>
              </w:rPr>
              <w:t>6</w:t>
            </w:r>
            <w:r w:rsidR="00CB0B62" w:rsidRPr="00ED2E0F">
              <w:rPr>
                <w:color w:val="000000" w:themeColor="text1"/>
                <w:sz w:val="18"/>
                <w:szCs w:val="18"/>
              </w:rPr>
              <w:t xml:space="preserve">) </w:t>
            </w:r>
            <w:r w:rsidRPr="00ED2E0F">
              <w:rPr>
                <w:color w:val="000000" w:themeColor="text1"/>
                <w:sz w:val="18"/>
                <w:szCs w:val="18"/>
              </w:rPr>
              <w:t>and by the Panel of Experts through the Domestic Advisory Groups (DAGs) (Art</w:t>
            </w:r>
            <w:r w:rsidR="00CE1EC2" w:rsidRPr="00ED2E0F">
              <w:rPr>
                <w:color w:val="000000" w:themeColor="text1"/>
                <w:sz w:val="18"/>
                <w:szCs w:val="18"/>
              </w:rPr>
              <w:t>.</w:t>
            </w:r>
            <w:r w:rsidRPr="00ED2E0F">
              <w:rPr>
                <w:color w:val="000000" w:themeColor="text1"/>
                <w:sz w:val="18"/>
                <w:szCs w:val="18"/>
              </w:rPr>
              <w:t xml:space="preserve"> 17(11</w:t>
            </w:r>
            <w:r w:rsidR="00A471D9" w:rsidRPr="00ED2E0F">
              <w:rPr>
                <w:color w:val="000000" w:themeColor="text1"/>
                <w:sz w:val="18"/>
                <w:szCs w:val="18"/>
              </w:rPr>
              <w:t xml:space="preserve">)), which </w:t>
            </w:r>
            <w:r w:rsidR="00954C52" w:rsidRPr="00ED2E0F">
              <w:rPr>
                <w:color w:val="000000" w:themeColor="text1"/>
                <w:sz w:val="18"/>
                <w:szCs w:val="18"/>
              </w:rPr>
              <w:t xml:space="preserve">could </w:t>
            </w:r>
            <w:r w:rsidR="005B4C4E" w:rsidRPr="00ED2E0F">
              <w:rPr>
                <w:color w:val="000000" w:themeColor="text1"/>
                <w:sz w:val="18"/>
                <w:szCs w:val="18"/>
              </w:rPr>
              <w:t xml:space="preserve">exert </w:t>
            </w:r>
            <w:r w:rsidR="00954C52" w:rsidRPr="00ED2E0F">
              <w:rPr>
                <w:color w:val="000000" w:themeColor="text1"/>
                <w:sz w:val="18"/>
                <w:szCs w:val="18"/>
              </w:rPr>
              <w:t xml:space="preserve">pressure </w:t>
            </w:r>
            <w:r w:rsidR="005B4C4E" w:rsidRPr="00ED2E0F">
              <w:rPr>
                <w:color w:val="000000" w:themeColor="text1"/>
                <w:sz w:val="18"/>
                <w:szCs w:val="18"/>
              </w:rPr>
              <w:t xml:space="preserve">on </w:t>
            </w:r>
            <w:r w:rsidR="00954C52" w:rsidRPr="00ED2E0F">
              <w:rPr>
                <w:color w:val="000000" w:themeColor="text1"/>
                <w:sz w:val="18"/>
                <w:szCs w:val="18"/>
              </w:rPr>
              <w:t xml:space="preserve">a party to comply. </w:t>
            </w:r>
            <w:r w:rsidR="00A471D9" w:rsidRPr="00ED2E0F">
              <w:rPr>
                <w:color w:val="000000" w:themeColor="text1"/>
                <w:sz w:val="18"/>
                <w:szCs w:val="18"/>
              </w:rPr>
              <w:t xml:space="preserve">   </w:t>
            </w:r>
          </w:p>
        </w:tc>
        <w:tc>
          <w:tcPr>
            <w:tcW w:w="1370" w:type="dxa"/>
            <w:vAlign w:val="center"/>
          </w:tcPr>
          <w:p w14:paraId="6B95262C" w14:textId="4C2827A6" w:rsidR="00B64005" w:rsidRPr="00ED2E0F" w:rsidRDefault="0060757D">
            <w:pPr>
              <w:spacing w:before="60" w:after="240"/>
              <w:jc w:val="center"/>
              <w:rPr>
                <w:color w:val="000000" w:themeColor="text1"/>
              </w:rPr>
            </w:pPr>
            <w:r w:rsidRPr="00ED2E0F">
              <w:rPr>
                <w:color w:val="000000" w:themeColor="text1"/>
              </w:rPr>
              <w:lastRenderedPageBreak/>
              <w:t xml:space="preserve">M </w:t>
            </w:r>
          </w:p>
        </w:tc>
        <w:tc>
          <w:tcPr>
            <w:tcW w:w="1268" w:type="dxa"/>
            <w:vMerge w:val="restart"/>
            <w:vAlign w:val="center"/>
          </w:tcPr>
          <w:p w14:paraId="53E64E35" w14:textId="3B85E944" w:rsidR="00B64005" w:rsidRPr="00ED2E0F" w:rsidRDefault="0060757D">
            <w:pPr>
              <w:spacing w:before="60" w:after="240"/>
              <w:jc w:val="center"/>
              <w:rPr>
                <w:color w:val="000000" w:themeColor="text1"/>
              </w:rPr>
            </w:pPr>
            <w:r w:rsidRPr="00ED2E0F">
              <w:rPr>
                <w:color w:val="000000" w:themeColor="text1"/>
              </w:rPr>
              <w:t>M</w:t>
            </w:r>
            <w:r w:rsidR="00B64005" w:rsidRPr="00ED2E0F">
              <w:rPr>
                <w:color w:val="000000" w:themeColor="text1"/>
              </w:rPr>
              <w:t xml:space="preserve"> </w:t>
            </w:r>
          </w:p>
        </w:tc>
      </w:tr>
      <w:tr w:rsidR="00B64005" w:rsidRPr="00ED2E0F" w14:paraId="55C0147D" w14:textId="77777777" w:rsidTr="18E63CAD">
        <w:tc>
          <w:tcPr>
            <w:tcW w:w="2432" w:type="dxa"/>
          </w:tcPr>
          <w:p w14:paraId="24FABB6C" w14:textId="33848A33" w:rsidR="00B64005" w:rsidRPr="00ED2E0F" w:rsidRDefault="00795339">
            <w:pPr>
              <w:spacing w:before="60" w:after="240"/>
              <w:rPr>
                <w:color w:val="000000" w:themeColor="text1"/>
                <w:sz w:val="22"/>
                <w:szCs w:val="22"/>
              </w:rPr>
            </w:pPr>
            <w:r w:rsidRPr="00ED2E0F">
              <w:rPr>
                <w:i/>
                <w:iCs/>
                <w:color w:val="000000" w:themeColor="text1"/>
                <w:sz w:val="22"/>
                <w:szCs w:val="22"/>
              </w:rPr>
              <w:t>Means of implementation</w:t>
            </w:r>
            <w:r w:rsidRPr="00ED2E0F">
              <w:rPr>
                <w:color w:val="000000" w:themeColor="text1"/>
                <w:sz w:val="22"/>
                <w:szCs w:val="22"/>
              </w:rPr>
              <w:t xml:space="preserve"> – </w:t>
            </w:r>
            <w:r w:rsidR="00B64005" w:rsidRPr="00ED2E0F">
              <w:rPr>
                <w:color w:val="000000" w:themeColor="text1"/>
                <w:sz w:val="22"/>
                <w:szCs w:val="22"/>
              </w:rPr>
              <w:t>Institution</w:t>
            </w:r>
          </w:p>
        </w:tc>
        <w:tc>
          <w:tcPr>
            <w:tcW w:w="5136" w:type="dxa"/>
          </w:tcPr>
          <w:p w14:paraId="41F4E38B" w14:textId="367B1B4A" w:rsidR="00B64005" w:rsidRPr="00ED2E0F" w:rsidRDefault="00B64005">
            <w:pPr>
              <w:spacing w:before="60" w:after="240"/>
              <w:rPr>
                <w:color w:val="000000" w:themeColor="text1"/>
                <w:sz w:val="18"/>
                <w:szCs w:val="18"/>
              </w:rPr>
            </w:pPr>
            <w:r w:rsidRPr="00ED2E0F">
              <w:rPr>
                <w:color w:val="000000" w:themeColor="text1"/>
                <w:sz w:val="18"/>
                <w:szCs w:val="18"/>
              </w:rPr>
              <w:t xml:space="preserve">The authority of the institutions with delegated tasks is </w:t>
            </w:r>
            <w:proofErr w:type="gramStart"/>
            <w:r w:rsidRPr="00ED2E0F">
              <w:rPr>
                <w:color w:val="000000" w:themeColor="text1"/>
                <w:sz w:val="18"/>
                <w:szCs w:val="18"/>
              </w:rPr>
              <w:t>relatively high</w:t>
            </w:r>
            <w:proofErr w:type="gramEnd"/>
            <w:r w:rsidRPr="00ED2E0F">
              <w:rPr>
                <w:color w:val="000000" w:themeColor="text1"/>
                <w:sz w:val="18"/>
                <w:szCs w:val="18"/>
              </w:rPr>
              <w:t xml:space="preserve"> as organi</w:t>
            </w:r>
            <w:r w:rsidR="00CE1EC2" w:rsidRPr="00ED2E0F">
              <w:rPr>
                <w:color w:val="000000" w:themeColor="text1"/>
                <w:sz w:val="18"/>
                <w:szCs w:val="18"/>
              </w:rPr>
              <w:t>z</w:t>
            </w:r>
            <w:r w:rsidRPr="00ED2E0F">
              <w:rPr>
                <w:color w:val="000000" w:themeColor="text1"/>
                <w:sz w:val="18"/>
                <w:szCs w:val="18"/>
              </w:rPr>
              <w:t xml:space="preserve">ations officially set up by the </w:t>
            </w:r>
            <w:r w:rsidR="00CE1EC2" w:rsidRPr="00ED2E0F">
              <w:rPr>
                <w:color w:val="000000" w:themeColor="text1"/>
                <w:sz w:val="18"/>
                <w:szCs w:val="18"/>
              </w:rPr>
              <w:t>TA but</w:t>
            </w:r>
            <w:r w:rsidRPr="00ED2E0F">
              <w:rPr>
                <w:color w:val="000000" w:themeColor="text1"/>
                <w:sz w:val="18"/>
                <w:szCs w:val="18"/>
              </w:rPr>
              <w:t xml:space="preserve"> limited substantively to </w:t>
            </w:r>
            <w:r w:rsidR="0041383B" w:rsidRPr="00ED2E0F">
              <w:rPr>
                <w:color w:val="000000" w:themeColor="text1"/>
                <w:sz w:val="18"/>
                <w:szCs w:val="18"/>
              </w:rPr>
              <w:t xml:space="preserve">advising </w:t>
            </w:r>
            <w:r w:rsidRPr="00ED2E0F">
              <w:rPr>
                <w:color w:val="000000" w:themeColor="text1"/>
                <w:sz w:val="18"/>
                <w:szCs w:val="18"/>
              </w:rPr>
              <w:t xml:space="preserve">and recommendations. </w:t>
            </w:r>
          </w:p>
        </w:tc>
        <w:tc>
          <w:tcPr>
            <w:tcW w:w="1370" w:type="dxa"/>
            <w:vAlign w:val="center"/>
          </w:tcPr>
          <w:p w14:paraId="6ACA2602" w14:textId="7EB6A41C" w:rsidR="00B64005" w:rsidRPr="00ED2E0F" w:rsidRDefault="0060757D">
            <w:pPr>
              <w:spacing w:after="240"/>
              <w:jc w:val="center"/>
              <w:rPr>
                <w:color w:val="000000" w:themeColor="text1"/>
              </w:rPr>
            </w:pPr>
            <w:r w:rsidRPr="00ED2E0F">
              <w:rPr>
                <w:color w:val="000000" w:themeColor="text1"/>
              </w:rPr>
              <w:t xml:space="preserve">M </w:t>
            </w:r>
          </w:p>
        </w:tc>
        <w:tc>
          <w:tcPr>
            <w:tcW w:w="1268" w:type="dxa"/>
            <w:vMerge/>
            <w:vAlign w:val="center"/>
          </w:tcPr>
          <w:p w14:paraId="682104BF" w14:textId="77777777" w:rsidR="00B64005" w:rsidRPr="00ED2E0F" w:rsidRDefault="00B64005">
            <w:pPr>
              <w:spacing w:after="240"/>
              <w:jc w:val="center"/>
              <w:rPr>
                <w:color w:val="000000" w:themeColor="text1"/>
              </w:rPr>
            </w:pPr>
          </w:p>
        </w:tc>
      </w:tr>
      <w:tr w:rsidR="00B64005" w:rsidRPr="00ED2E0F" w14:paraId="1FF02668" w14:textId="77777777" w:rsidTr="18E63CAD">
        <w:tc>
          <w:tcPr>
            <w:tcW w:w="2432" w:type="dxa"/>
            <w:vAlign w:val="center"/>
          </w:tcPr>
          <w:p w14:paraId="44DED7FA" w14:textId="77777777" w:rsidR="00B64005" w:rsidRPr="00ED2E0F" w:rsidRDefault="00B64005">
            <w:pPr>
              <w:spacing w:before="60" w:after="240"/>
              <w:jc w:val="center"/>
              <w:rPr>
                <w:b/>
                <w:bCs/>
                <w:color w:val="000000" w:themeColor="text1"/>
                <w:sz w:val="22"/>
                <w:szCs w:val="22"/>
              </w:rPr>
            </w:pPr>
            <w:r w:rsidRPr="00ED2E0F">
              <w:rPr>
                <w:b/>
                <w:bCs/>
                <w:color w:val="000000" w:themeColor="text1"/>
                <w:sz w:val="22"/>
                <w:szCs w:val="22"/>
              </w:rPr>
              <w:t>Overall hardness</w:t>
            </w:r>
          </w:p>
        </w:tc>
        <w:tc>
          <w:tcPr>
            <w:tcW w:w="5136" w:type="dxa"/>
          </w:tcPr>
          <w:p w14:paraId="3410601F" w14:textId="5C99386C" w:rsidR="00B64005" w:rsidRPr="00ED2E0F" w:rsidRDefault="00B64005">
            <w:pPr>
              <w:spacing w:before="60" w:after="240"/>
              <w:rPr>
                <w:color w:val="000000" w:themeColor="text1"/>
                <w:sz w:val="18"/>
                <w:szCs w:val="18"/>
              </w:rPr>
            </w:pPr>
            <w:r w:rsidRPr="00ED2E0F">
              <w:rPr>
                <w:color w:val="000000" w:themeColor="text1"/>
                <w:sz w:val="18"/>
                <w:szCs w:val="18"/>
              </w:rPr>
              <w:t xml:space="preserve">Overall, the EU-Mercosur TA reaches a </w:t>
            </w:r>
            <w:r w:rsidR="004539B9" w:rsidRPr="00ED2E0F">
              <w:rPr>
                <w:color w:val="000000" w:themeColor="text1"/>
                <w:sz w:val="18"/>
                <w:szCs w:val="18"/>
              </w:rPr>
              <w:t xml:space="preserve">medium </w:t>
            </w:r>
            <w:r w:rsidRPr="00ED2E0F">
              <w:rPr>
                <w:color w:val="000000" w:themeColor="text1"/>
                <w:sz w:val="18"/>
                <w:szCs w:val="18"/>
              </w:rPr>
              <w:t xml:space="preserve">level of hardness. It is a </w:t>
            </w:r>
            <w:r w:rsidR="00677ADB" w:rsidRPr="00ED2E0F">
              <w:rPr>
                <w:i/>
                <w:iCs/>
                <w:color w:val="000000" w:themeColor="text1"/>
                <w:sz w:val="18"/>
                <w:szCs w:val="18"/>
              </w:rPr>
              <w:t>source of law</w:t>
            </w:r>
            <w:r w:rsidR="00677ADB" w:rsidRPr="00ED2E0F">
              <w:rPr>
                <w:color w:val="000000" w:themeColor="text1"/>
                <w:sz w:val="18"/>
                <w:szCs w:val="18"/>
              </w:rPr>
              <w:t xml:space="preserve"> </w:t>
            </w:r>
            <w:r w:rsidRPr="00ED2E0F">
              <w:rPr>
                <w:color w:val="000000" w:themeColor="text1"/>
                <w:sz w:val="18"/>
                <w:szCs w:val="18"/>
              </w:rPr>
              <w:t xml:space="preserve">with high formal authority, </w:t>
            </w:r>
            <w:r w:rsidR="00FD5612" w:rsidRPr="00ED2E0F">
              <w:rPr>
                <w:color w:val="000000" w:themeColor="text1"/>
                <w:sz w:val="18"/>
                <w:szCs w:val="18"/>
              </w:rPr>
              <w:t xml:space="preserve">but </w:t>
            </w:r>
            <w:r w:rsidRPr="00ED2E0F">
              <w:rPr>
                <w:color w:val="000000" w:themeColor="text1"/>
                <w:sz w:val="18"/>
                <w:szCs w:val="18"/>
              </w:rPr>
              <w:t>no</w:t>
            </w:r>
            <w:r w:rsidR="00EA4325" w:rsidRPr="00ED2E0F">
              <w:rPr>
                <w:color w:val="000000" w:themeColor="text1"/>
                <w:sz w:val="18"/>
                <w:szCs w:val="18"/>
              </w:rPr>
              <w:t>t fully</w:t>
            </w:r>
            <w:r w:rsidR="0096365C" w:rsidRPr="00ED2E0F">
              <w:rPr>
                <w:color w:val="000000" w:themeColor="text1"/>
                <w:sz w:val="18"/>
                <w:szCs w:val="18"/>
              </w:rPr>
              <w:t xml:space="preserve"> </w:t>
            </w:r>
            <w:r w:rsidRPr="00ED2E0F">
              <w:rPr>
                <w:color w:val="000000" w:themeColor="text1"/>
                <w:sz w:val="18"/>
                <w:szCs w:val="18"/>
              </w:rPr>
              <w:t xml:space="preserve">mandating language. In terms of precision (both accuracy and specificity) as well as </w:t>
            </w:r>
            <w:r w:rsidR="00056CA9" w:rsidRPr="00ED2E0F">
              <w:rPr>
                <w:color w:val="000000" w:themeColor="text1"/>
                <w:sz w:val="18"/>
                <w:szCs w:val="18"/>
              </w:rPr>
              <w:t>i</w:t>
            </w:r>
            <w:r w:rsidR="00EF00CD" w:rsidRPr="00ED2E0F">
              <w:rPr>
                <w:color w:val="000000" w:themeColor="text1"/>
                <w:sz w:val="18"/>
                <w:szCs w:val="18"/>
              </w:rPr>
              <w:t>mplementation</w:t>
            </w:r>
            <w:r w:rsidRPr="00ED2E0F">
              <w:rPr>
                <w:color w:val="000000" w:themeColor="text1"/>
                <w:sz w:val="18"/>
                <w:szCs w:val="18"/>
              </w:rPr>
              <w:t xml:space="preserve">, the FTA reaches a moderate level of hardness. </w:t>
            </w:r>
          </w:p>
        </w:tc>
        <w:tc>
          <w:tcPr>
            <w:tcW w:w="2638" w:type="dxa"/>
            <w:gridSpan w:val="2"/>
            <w:vAlign w:val="center"/>
          </w:tcPr>
          <w:p w14:paraId="734457FB" w14:textId="5B6B0878" w:rsidR="00B64005" w:rsidRPr="00ED2E0F" w:rsidRDefault="00CD7038">
            <w:pPr>
              <w:keepNext/>
              <w:spacing w:before="60" w:after="240"/>
              <w:jc w:val="center"/>
              <w:rPr>
                <w:color w:val="000000" w:themeColor="text1"/>
              </w:rPr>
            </w:pPr>
            <w:r w:rsidRPr="00ED2E0F">
              <w:rPr>
                <w:b/>
                <w:bCs/>
                <w:color w:val="000000" w:themeColor="text1"/>
              </w:rPr>
              <w:t>M</w:t>
            </w:r>
            <w:r w:rsidR="00FE4775" w:rsidRPr="00ED2E0F">
              <w:rPr>
                <w:b/>
                <w:bCs/>
                <w:color w:val="000000" w:themeColor="text1"/>
              </w:rPr>
              <w:t xml:space="preserve"> </w:t>
            </w:r>
          </w:p>
        </w:tc>
      </w:tr>
      <w:tr w:rsidR="00B64005" w:rsidRPr="00ED2E0F" w14:paraId="2C84942B" w14:textId="77777777" w:rsidTr="18E63CAD">
        <w:tc>
          <w:tcPr>
            <w:tcW w:w="2432" w:type="dxa"/>
            <w:vAlign w:val="center"/>
          </w:tcPr>
          <w:p w14:paraId="5AFE1EC0" w14:textId="77777777" w:rsidR="00B64005" w:rsidRPr="00ED2E0F" w:rsidRDefault="00B64005">
            <w:pPr>
              <w:spacing w:before="60" w:after="240"/>
              <w:jc w:val="center"/>
              <w:rPr>
                <w:b/>
                <w:bCs/>
                <w:color w:val="000000" w:themeColor="text1"/>
                <w:sz w:val="22"/>
                <w:szCs w:val="22"/>
              </w:rPr>
            </w:pPr>
            <w:r w:rsidRPr="00ED2E0F">
              <w:rPr>
                <w:b/>
                <w:bCs/>
                <w:color w:val="000000" w:themeColor="text1"/>
                <w:sz w:val="22"/>
                <w:szCs w:val="22"/>
              </w:rPr>
              <w:t>Ambition</w:t>
            </w:r>
          </w:p>
        </w:tc>
        <w:tc>
          <w:tcPr>
            <w:tcW w:w="5136" w:type="dxa"/>
          </w:tcPr>
          <w:p w14:paraId="61EE83B7" w14:textId="68735B5E" w:rsidR="00B64005" w:rsidRPr="00ED2E0F" w:rsidRDefault="00FD5612">
            <w:pPr>
              <w:spacing w:before="60" w:after="240"/>
              <w:rPr>
                <w:color w:val="000000" w:themeColor="text1"/>
                <w:sz w:val="18"/>
                <w:szCs w:val="18"/>
              </w:rPr>
            </w:pPr>
            <w:r w:rsidRPr="00ED2E0F">
              <w:rPr>
                <w:color w:val="000000" w:themeColor="text1"/>
                <w:sz w:val="18"/>
                <w:szCs w:val="18"/>
              </w:rPr>
              <w:t xml:space="preserve">The level of ambition is </w:t>
            </w:r>
            <w:r w:rsidR="00C663D0" w:rsidRPr="00ED2E0F">
              <w:rPr>
                <w:color w:val="000000" w:themeColor="text1"/>
                <w:sz w:val="18"/>
                <w:szCs w:val="18"/>
              </w:rPr>
              <w:t xml:space="preserve">between </w:t>
            </w:r>
            <w:r w:rsidRPr="00ED2E0F">
              <w:rPr>
                <w:color w:val="000000" w:themeColor="text1"/>
                <w:sz w:val="18"/>
                <w:szCs w:val="18"/>
              </w:rPr>
              <w:t>low</w:t>
            </w:r>
            <w:r w:rsidR="00C663D0" w:rsidRPr="00ED2E0F">
              <w:rPr>
                <w:color w:val="000000" w:themeColor="text1"/>
                <w:sz w:val="18"/>
                <w:szCs w:val="18"/>
              </w:rPr>
              <w:t xml:space="preserve"> and medium</w:t>
            </w:r>
            <w:r w:rsidRPr="00ED2E0F">
              <w:rPr>
                <w:color w:val="000000" w:themeColor="text1"/>
                <w:sz w:val="18"/>
                <w:szCs w:val="18"/>
              </w:rPr>
              <w:t xml:space="preserve">. </w:t>
            </w:r>
            <w:r w:rsidR="00B64005" w:rsidRPr="00ED2E0F">
              <w:rPr>
                <w:color w:val="000000" w:themeColor="text1"/>
                <w:sz w:val="18"/>
                <w:szCs w:val="18"/>
              </w:rPr>
              <w:t>No specific requirement</w:t>
            </w:r>
            <w:r w:rsidR="00C663D0" w:rsidRPr="00ED2E0F">
              <w:rPr>
                <w:color w:val="000000" w:themeColor="text1"/>
                <w:sz w:val="18"/>
                <w:szCs w:val="18"/>
              </w:rPr>
              <w:t>s</w:t>
            </w:r>
            <w:r w:rsidR="00B64005" w:rsidRPr="00ED2E0F">
              <w:rPr>
                <w:color w:val="000000" w:themeColor="text1"/>
                <w:sz w:val="18"/>
                <w:szCs w:val="18"/>
              </w:rPr>
              <w:t xml:space="preserve"> in terms of SAF. The level of protection in general (and hence also on SAF) is left for the respective Party to determine while striving for high and effective levels of protection and respecting and promoting, in rather generic terms, the MEA commitments (UNFCCC</w:t>
            </w:r>
            <w:r w:rsidR="003001D7" w:rsidRPr="00ED2E0F">
              <w:rPr>
                <w:rStyle w:val="FootnoteReference"/>
                <w:color w:val="000000" w:themeColor="text1"/>
                <w:sz w:val="18"/>
                <w:szCs w:val="18"/>
              </w:rPr>
              <w:footnoteReference w:id="5"/>
            </w:r>
            <w:r w:rsidR="00B64005" w:rsidRPr="00ED2E0F">
              <w:rPr>
                <w:color w:val="000000" w:themeColor="text1"/>
                <w:sz w:val="18"/>
                <w:szCs w:val="18"/>
              </w:rPr>
              <w:t xml:space="preserve"> and Paris Agreement</w:t>
            </w:r>
            <w:r w:rsidR="003001D7" w:rsidRPr="00ED2E0F">
              <w:rPr>
                <w:rStyle w:val="FootnoteReference"/>
                <w:color w:val="000000" w:themeColor="text1"/>
                <w:sz w:val="18"/>
                <w:szCs w:val="18"/>
              </w:rPr>
              <w:footnoteReference w:id="6"/>
            </w:r>
            <w:r w:rsidR="00B64005" w:rsidRPr="00ED2E0F">
              <w:rPr>
                <w:color w:val="000000" w:themeColor="text1"/>
                <w:sz w:val="18"/>
                <w:szCs w:val="18"/>
              </w:rPr>
              <w:t>; C</w:t>
            </w:r>
            <w:r w:rsidR="00DB4695" w:rsidRPr="00ED2E0F">
              <w:rPr>
                <w:color w:val="000000" w:themeColor="text1"/>
                <w:sz w:val="18"/>
                <w:szCs w:val="18"/>
              </w:rPr>
              <w:t xml:space="preserve">onvention on </w:t>
            </w:r>
            <w:r w:rsidR="00B64005" w:rsidRPr="00ED2E0F">
              <w:rPr>
                <w:color w:val="000000" w:themeColor="text1"/>
                <w:sz w:val="18"/>
                <w:szCs w:val="18"/>
              </w:rPr>
              <w:t>B</w:t>
            </w:r>
            <w:r w:rsidR="00DB4695" w:rsidRPr="00ED2E0F">
              <w:rPr>
                <w:color w:val="000000" w:themeColor="text1"/>
                <w:sz w:val="18"/>
                <w:szCs w:val="18"/>
              </w:rPr>
              <w:t xml:space="preserve">iological </w:t>
            </w:r>
            <w:r w:rsidR="00B64005" w:rsidRPr="00ED2E0F">
              <w:rPr>
                <w:color w:val="000000" w:themeColor="text1"/>
                <w:sz w:val="18"/>
                <w:szCs w:val="18"/>
              </w:rPr>
              <w:t>D</w:t>
            </w:r>
            <w:r w:rsidR="00DB4695" w:rsidRPr="00ED2E0F">
              <w:rPr>
                <w:color w:val="000000" w:themeColor="text1"/>
                <w:sz w:val="18"/>
                <w:szCs w:val="18"/>
              </w:rPr>
              <w:t>iversity</w:t>
            </w:r>
            <w:r w:rsidR="003001D7" w:rsidRPr="00ED2E0F">
              <w:rPr>
                <w:rStyle w:val="FootnoteReference"/>
                <w:color w:val="000000" w:themeColor="text1"/>
                <w:sz w:val="18"/>
                <w:szCs w:val="18"/>
              </w:rPr>
              <w:footnoteReference w:id="7"/>
            </w:r>
            <w:r w:rsidR="00B64005" w:rsidRPr="00ED2E0F">
              <w:rPr>
                <w:color w:val="000000" w:themeColor="text1"/>
                <w:sz w:val="18"/>
                <w:szCs w:val="18"/>
              </w:rPr>
              <w:t xml:space="preserve"> and</w:t>
            </w:r>
            <w:r w:rsidR="00967D17" w:rsidRPr="00ED2E0F">
              <w:rPr>
                <w:color w:val="000000" w:themeColor="text1"/>
                <w:sz w:val="18"/>
                <w:szCs w:val="18"/>
              </w:rPr>
              <w:t xml:space="preserve"> the</w:t>
            </w:r>
            <w:r w:rsidR="00B64005" w:rsidRPr="00ED2E0F">
              <w:rPr>
                <w:color w:val="000000" w:themeColor="text1"/>
                <w:sz w:val="18"/>
                <w:szCs w:val="18"/>
              </w:rPr>
              <w:t xml:space="preserve"> </w:t>
            </w:r>
            <w:r w:rsidR="00967D17" w:rsidRPr="00ED2E0F">
              <w:rPr>
                <w:color w:val="333333"/>
                <w:sz w:val="18"/>
                <w:szCs w:val="18"/>
                <w:shd w:val="clear" w:color="auto" w:fill="FFFFFF"/>
              </w:rPr>
              <w:t>Convention on International Trade in Endangered Species</w:t>
            </w:r>
            <w:r w:rsidR="003001D7" w:rsidRPr="00ED2E0F">
              <w:rPr>
                <w:rStyle w:val="FootnoteReference"/>
                <w:color w:val="000000" w:themeColor="text1"/>
                <w:sz w:val="18"/>
                <w:szCs w:val="18"/>
              </w:rPr>
              <w:footnoteReference w:id="8"/>
            </w:r>
            <w:r w:rsidR="00B64005" w:rsidRPr="00ED2E0F">
              <w:rPr>
                <w:color w:val="000000" w:themeColor="text1"/>
                <w:sz w:val="18"/>
                <w:szCs w:val="18"/>
              </w:rPr>
              <w:t>). Promotion and cooperation on conservation and sustainable use of forests, and trade in products from sustainably managed forests</w:t>
            </w:r>
            <w:r w:rsidR="004539B9" w:rsidRPr="00ED2E0F">
              <w:rPr>
                <w:color w:val="000000" w:themeColor="text1"/>
                <w:sz w:val="18"/>
                <w:szCs w:val="18"/>
              </w:rPr>
              <w:t xml:space="preserve"> are also </w:t>
            </w:r>
            <w:proofErr w:type="gramStart"/>
            <w:r w:rsidR="004539B9" w:rsidRPr="00ED2E0F">
              <w:rPr>
                <w:color w:val="000000" w:themeColor="text1"/>
                <w:sz w:val="18"/>
                <w:szCs w:val="18"/>
              </w:rPr>
              <w:t>mentioned</w:t>
            </w:r>
            <w:r w:rsidR="003001D7" w:rsidRPr="00ED2E0F">
              <w:rPr>
                <w:color w:val="000000" w:themeColor="text1"/>
                <w:sz w:val="18"/>
                <w:szCs w:val="18"/>
              </w:rPr>
              <w:t>, but</w:t>
            </w:r>
            <w:proofErr w:type="gramEnd"/>
            <w:r w:rsidR="00536B35" w:rsidRPr="00ED2E0F">
              <w:rPr>
                <w:color w:val="000000" w:themeColor="text1"/>
                <w:sz w:val="18"/>
                <w:szCs w:val="18"/>
              </w:rPr>
              <w:t xml:space="preserve"> are </w:t>
            </w:r>
            <w:r w:rsidR="003001D7" w:rsidRPr="00ED2E0F">
              <w:rPr>
                <w:color w:val="000000" w:themeColor="text1"/>
                <w:sz w:val="18"/>
                <w:szCs w:val="18"/>
              </w:rPr>
              <w:t xml:space="preserve"> </w:t>
            </w:r>
            <w:r w:rsidR="00056CA9" w:rsidRPr="00ED2E0F">
              <w:rPr>
                <w:color w:val="000000" w:themeColor="text1"/>
                <w:sz w:val="18"/>
                <w:szCs w:val="18"/>
              </w:rPr>
              <w:t>determined by the</w:t>
            </w:r>
            <w:r w:rsidR="00EB4833" w:rsidRPr="00ED2E0F">
              <w:rPr>
                <w:color w:val="000000" w:themeColor="text1"/>
                <w:sz w:val="18"/>
                <w:szCs w:val="18"/>
              </w:rPr>
              <w:t xml:space="preserve"> law of the country of harvest. </w:t>
            </w:r>
            <w:r w:rsidR="003001D7" w:rsidRPr="00ED2E0F">
              <w:rPr>
                <w:color w:val="000000" w:themeColor="text1"/>
                <w:sz w:val="18"/>
                <w:szCs w:val="18"/>
              </w:rPr>
              <w:t xml:space="preserve">   </w:t>
            </w:r>
          </w:p>
        </w:tc>
        <w:tc>
          <w:tcPr>
            <w:tcW w:w="2638" w:type="dxa"/>
            <w:gridSpan w:val="2"/>
            <w:vAlign w:val="center"/>
          </w:tcPr>
          <w:p w14:paraId="163FE6C3" w14:textId="31A47088" w:rsidR="00B64005" w:rsidRPr="00ED2E0F" w:rsidRDefault="005B2414">
            <w:pPr>
              <w:keepNext/>
              <w:spacing w:before="60" w:after="240"/>
              <w:jc w:val="center"/>
              <w:rPr>
                <w:b/>
                <w:bCs/>
                <w:color w:val="000000" w:themeColor="text1"/>
              </w:rPr>
            </w:pPr>
            <w:r w:rsidRPr="00ED2E0F">
              <w:rPr>
                <w:b/>
                <w:bCs/>
                <w:color w:val="000000" w:themeColor="text1"/>
              </w:rPr>
              <w:t>L</w:t>
            </w:r>
            <w:r w:rsidR="006D1CC9">
              <w:rPr>
                <w:b/>
                <w:bCs/>
                <w:color w:val="000000" w:themeColor="text1"/>
              </w:rPr>
              <w:t>–</w:t>
            </w:r>
            <w:r w:rsidR="00C663D0" w:rsidRPr="00ED2E0F">
              <w:rPr>
                <w:b/>
                <w:bCs/>
                <w:color w:val="000000" w:themeColor="text1"/>
              </w:rPr>
              <w:t>M</w:t>
            </w:r>
          </w:p>
        </w:tc>
      </w:tr>
    </w:tbl>
    <w:p w14:paraId="7642149B" w14:textId="77777777" w:rsidR="008168C2" w:rsidRPr="00ED2E0F" w:rsidRDefault="008168C2" w:rsidP="007167D1"/>
    <w:p w14:paraId="2217AE33" w14:textId="5DDB3883" w:rsidR="008168C2" w:rsidRPr="00ED2E0F" w:rsidRDefault="008168C2" w:rsidP="007167D1">
      <w:r w:rsidRPr="00ED2E0F">
        <w:t xml:space="preserve">* </w:t>
      </w:r>
      <w:r w:rsidRPr="00ED2E0F">
        <w:rPr>
          <w:b/>
          <w:bCs/>
        </w:rPr>
        <w:t>Scale</w:t>
      </w:r>
      <w:r w:rsidRPr="00ED2E0F">
        <w:t>: Low (L), Medium (M), High (H)</w:t>
      </w:r>
    </w:p>
    <w:p w14:paraId="0C7A17C1" w14:textId="1FCAEE08" w:rsidR="00B64005" w:rsidRPr="00ED2E0F" w:rsidRDefault="00B64005" w:rsidP="00ED2E0F">
      <w:pPr>
        <w:rPr>
          <w:sz w:val="18"/>
          <w:szCs w:val="18"/>
        </w:rPr>
      </w:pPr>
      <w:r w:rsidRPr="00ED2E0F">
        <w:br w:type="page"/>
      </w:r>
    </w:p>
    <w:tbl>
      <w:tblPr>
        <w:tblpPr w:leftFromText="180" w:rightFromText="180" w:horzAnchor="page" w:tblpX="868"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4479"/>
        <w:gridCol w:w="1109"/>
        <w:gridCol w:w="2319"/>
      </w:tblGrid>
      <w:tr w:rsidR="001A6262" w:rsidRPr="00ED2E0F" w14:paraId="6FB74DD0" w14:textId="77777777" w:rsidTr="0086365E">
        <w:trPr>
          <w:trHeight w:val="898"/>
        </w:trPr>
        <w:tc>
          <w:tcPr>
            <w:tcW w:w="2299" w:type="dxa"/>
            <w:vAlign w:val="center"/>
          </w:tcPr>
          <w:p w14:paraId="42EDFD49" w14:textId="558E635E" w:rsidR="001A6262" w:rsidRPr="00ED2E0F" w:rsidRDefault="001A6262" w:rsidP="007D7B26">
            <w:pPr>
              <w:spacing w:after="120"/>
              <w:jc w:val="center"/>
              <w:rPr>
                <w:b/>
                <w:bCs/>
                <w:color w:val="000000" w:themeColor="text1"/>
                <w:sz w:val="22"/>
                <w:szCs w:val="22"/>
              </w:rPr>
            </w:pPr>
            <w:r w:rsidRPr="00ED2E0F">
              <w:rPr>
                <w:b/>
                <w:bCs/>
                <w:color w:val="000000" w:themeColor="text1"/>
                <w:sz w:val="22"/>
                <w:szCs w:val="22"/>
              </w:rPr>
              <w:lastRenderedPageBreak/>
              <w:t xml:space="preserve">Aspect of </w:t>
            </w:r>
            <w:r w:rsidR="006D1CC9">
              <w:rPr>
                <w:b/>
                <w:bCs/>
                <w:color w:val="000000" w:themeColor="text1"/>
                <w:sz w:val="22"/>
                <w:szCs w:val="22"/>
              </w:rPr>
              <w:t>S</w:t>
            </w:r>
            <w:r w:rsidR="006D1CC9" w:rsidRPr="00ED2E0F">
              <w:rPr>
                <w:b/>
                <w:bCs/>
                <w:color w:val="000000" w:themeColor="text1"/>
                <w:sz w:val="22"/>
                <w:szCs w:val="22"/>
              </w:rPr>
              <w:t>oftness</w:t>
            </w:r>
            <w:r w:rsidRPr="00ED2E0F">
              <w:rPr>
                <w:b/>
                <w:bCs/>
                <w:color w:val="000000" w:themeColor="text1"/>
                <w:sz w:val="22"/>
                <w:szCs w:val="22"/>
              </w:rPr>
              <w:t>/</w:t>
            </w:r>
            <w:r w:rsidR="006D1CC9">
              <w:rPr>
                <w:b/>
                <w:bCs/>
                <w:color w:val="000000" w:themeColor="text1"/>
                <w:sz w:val="22"/>
                <w:szCs w:val="22"/>
              </w:rPr>
              <w:t>H</w:t>
            </w:r>
            <w:r w:rsidR="006D1CC9" w:rsidRPr="00ED2E0F">
              <w:rPr>
                <w:b/>
                <w:bCs/>
                <w:color w:val="000000" w:themeColor="text1"/>
                <w:sz w:val="22"/>
                <w:szCs w:val="22"/>
              </w:rPr>
              <w:t>ardness</w:t>
            </w:r>
          </w:p>
        </w:tc>
        <w:tc>
          <w:tcPr>
            <w:tcW w:w="4479" w:type="dxa"/>
            <w:vAlign w:val="center"/>
          </w:tcPr>
          <w:p w14:paraId="3F1ABFDF" w14:textId="5286F9DE" w:rsidR="001A6262" w:rsidRPr="00ED2E0F" w:rsidRDefault="001A6262" w:rsidP="007D7B26">
            <w:pPr>
              <w:spacing w:after="120"/>
              <w:jc w:val="center"/>
              <w:rPr>
                <w:b/>
                <w:bCs/>
                <w:color w:val="000000" w:themeColor="text1"/>
                <w:sz w:val="22"/>
                <w:szCs w:val="22"/>
              </w:rPr>
            </w:pPr>
            <w:r w:rsidRPr="00ED2E0F">
              <w:rPr>
                <w:b/>
                <w:bCs/>
                <w:color w:val="000000" w:themeColor="text1"/>
                <w:sz w:val="22"/>
                <w:szCs w:val="22"/>
              </w:rPr>
              <w:t xml:space="preserve">Summary of </w:t>
            </w:r>
            <w:r w:rsidR="006D1CC9">
              <w:rPr>
                <w:b/>
                <w:bCs/>
                <w:color w:val="000000" w:themeColor="text1"/>
                <w:sz w:val="22"/>
                <w:szCs w:val="22"/>
              </w:rPr>
              <w:t>A</w:t>
            </w:r>
            <w:r w:rsidR="006D1CC9" w:rsidRPr="00ED2E0F">
              <w:rPr>
                <w:b/>
                <w:bCs/>
                <w:color w:val="000000" w:themeColor="text1"/>
                <w:sz w:val="22"/>
                <w:szCs w:val="22"/>
              </w:rPr>
              <w:t>nalysis</w:t>
            </w:r>
          </w:p>
        </w:tc>
        <w:tc>
          <w:tcPr>
            <w:tcW w:w="1109" w:type="dxa"/>
            <w:vAlign w:val="center"/>
          </w:tcPr>
          <w:p w14:paraId="54EC10BE" w14:textId="77777777" w:rsidR="001A6262" w:rsidRPr="00ED2E0F" w:rsidRDefault="001A6262" w:rsidP="007D7B26">
            <w:pPr>
              <w:spacing w:before="120" w:after="120"/>
              <w:jc w:val="center"/>
              <w:rPr>
                <w:b/>
                <w:bCs/>
                <w:color w:val="000000" w:themeColor="text1"/>
                <w:sz w:val="22"/>
                <w:szCs w:val="22"/>
              </w:rPr>
            </w:pPr>
            <w:r w:rsidRPr="00ED2E0F">
              <w:rPr>
                <w:b/>
                <w:bCs/>
                <w:color w:val="000000" w:themeColor="text1"/>
                <w:sz w:val="22"/>
                <w:szCs w:val="22"/>
              </w:rPr>
              <w:t xml:space="preserve">Score* </w:t>
            </w:r>
          </w:p>
          <w:p w14:paraId="7F4B2781" w14:textId="50750234" w:rsidR="001A6262" w:rsidRPr="00ED2E0F" w:rsidRDefault="00BE5CDA" w:rsidP="007D7B26">
            <w:pPr>
              <w:spacing w:before="120" w:after="120"/>
              <w:jc w:val="center"/>
              <w:rPr>
                <w:b/>
                <w:bCs/>
                <w:color w:val="000000" w:themeColor="text1"/>
                <w:sz w:val="22"/>
                <w:szCs w:val="22"/>
              </w:rPr>
            </w:pPr>
            <w:r w:rsidRPr="00ED2E0F">
              <w:rPr>
                <w:b/>
                <w:bCs/>
                <w:color w:val="000000" w:themeColor="text1"/>
                <w:sz w:val="22"/>
                <w:szCs w:val="22"/>
              </w:rPr>
              <w:t>(</w:t>
            </w:r>
            <w:r w:rsidR="001A6262" w:rsidRPr="00ED2E0F">
              <w:rPr>
                <w:b/>
                <w:bCs/>
                <w:color w:val="000000" w:themeColor="text1"/>
                <w:sz w:val="22"/>
                <w:szCs w:val="22"/>
              </w:rPr>
              <w:t xml:space="preserve">L, M, </w:t>
            </w:r>
          </w:p>
          <w:p w14:paraId="25C95FDA" w14:textId="488E5FC9" w:rsidR="001A6262" w:rsidRPr="00ED2E0F" w:rsidRDefault="001A6262" w:rsidP="007D7B26">
            <w:pPr>
              <w:spacing w:before="120" w:after="120"/>
              <w:jc w:val="center"/>
              <w:rPr>
                <w:b/>
                <w:bCs/>
                <w:color w:val="000000" w:themeColor="text1"/>
                <w:sz w:val="22"/>
                <w:szCs w:val="22"/>
              </w:rPr>
            </w:pPr>
            <w:r w:rsidRPr="00ED2E0F">
              <w:rPr>
                <w:b/>
                <w:bCs/>
                <w:color w:val="000000" w:themeColor="text1"/>
                <w:sz w:val="22"/>
                <w:szCs w:val="22"/>
              </w:rPr>
              <w:t>H</w:t>
            </w:r>
            <w:r w:rsidR="00BE5CDA" w:rsidRPr="00ED2E0F">
              <w:rPr>
                <w:b/>
                <w:bCs/>
                <w:color w:val="000000" w:themeColor="text1"/>
                <w:sz w:val="22"/>
                <w:szCs w:val="22"/>
              </w:rPr>
              <w:t>)</w:t>
            </w:r>
          </w:p>
        </w:tc>
        <w:tc>
          <w:tcPr>
            <w:tcW w:w="2319" w:type="dxa"/>
            <w:vAlign w:val="center"/>
          </w:tcPr>
          <w:p w14:paraId="5E0C8AC7" w14:textId="77777777" w:rsidR="006D1CC9" w:rsidRDefault="001A6262" w:rsidP="007D7B26">
            <w:pPr>
              <w:spacing w:before="120" w:after="240"/>
              <w:jc w:val="center"/>
              <w:rPr>
                <w:b/>
                <w:bCs/>
                <w:color w:val="000000" w:themeColor="text1"/>
                <w:sz w:val="22"/>
                <w:szCs w:val="22"/>
              </w:rPr>
            </w:pPr>
            <w:r w:rsidRPr="00ED2E0F">
              <w:rPr>
                <w:b/>
                <w:bCs/>
                <w:color w:val="000000" w:themeColor="text1"/>
                <w:sz w:val="22"/>
                <w:szCs w:val="22"/>
              </w:rPr>
              <w:t xml:space="preserve">Combining </w:t>
            </w:r>
          </w:p>
          <w:p w14:paraId="396EEE43" w14:textId="1F2CA8FF" w:rsidR="001A6262" w:rsidRPr="00ED2E0F" w:rsidRDefault="006D1CC9" w:rsidP="007D7B26">
            <w:pPr>
              <w:spacing w:before="120" w:after="240"/>
              <w:jc w:val="center"/>
              <w:rPr>
                <w:b/>
                <w:bCs/>
                <w:color w:val="000000" w:themeColor="text1"/>
                <w:sz w:val="22"/>
                <w:szCs w:val="22"/>
              </w:rPr>
            </w:pPr>
            <w:r>
              <w:rPr>
                <w:b/>
                <w:bCs/>
                <w:color w:val="000000" w:themeColor="text1"/>
                <w:sz w:val="22"/>
                <w:szCs w:val="22"/>
              </w:rPr>
              <w:t>S</w:t>
            </w:r>
            <w:r w:rsidRPr="00ED2E0F">
              <w:rPr>
                <w:b/>
                <w:bCs/>
                <w:color w:val="000000" w:themeColor="text1"/>
                <w:sz w:val="22"/>
                <w:szCs w:val="22"/>
              </w:rPr>
              <w:t>ub</w:t>
            </w:r>
            <w:r w:rsidR="001A6262" w:rsidRPr="00ED2E0F">
              <w:rPr>
                <w:b/>
                <w:bCs/>
                <w:color w:val="000000" w:themeColor="text1"/>
                <w:sz w:val="22"/>
                <w:szCs w:val="22"/>
              </w:rPr>
              <w:t>-dimensions</w:t>
            </w:r>
          </w:p>
        </w:tc>
      </w:tr>
      <w:tr w:rsidR="00B64005" w:rsidRPr="00ED2E0F" w14:paraId="42FB6A3B" w14:textId="77777777" w:rsidTr="0086365E">
        <w:tc>
          <w:tcPr>
            <w:tcW w:w="2299" w:type="dxa"/>
          </w:tcPr>
          <w:p w14:paraId="66311DB8" w14:textId="4FF2ECE9" w:rsidR="00B64005" w:rsidRPr="00ED2E0F" w:rsidRDefault="00CF1E8F" w:rsidP="007D7B26">
            <w:pPr>
              <w:spacing w:before="60" w:after="240"/>
              <w:rPr>
                <w:color w:val="000000" w:themeColor="text1"/>
                <w:sz w:val="22"/>
                <w:szCs w:val="22"/>
              </w:rPr>
            </w:pPr>
            <w:r w:rsidRPr="00ED2E0F">
              <w:rPr>
                <w:i/>
                <w:iCs/>
                <w:color w:val="000000" w:themeColor="text1"/>
                <w:sz w:val="22"/>
                <w:szCs w:val="22"/>
              </w:rPr>
              <w:t>Formal status</w:t>
            </w:r>
            <w:r w:rsidRPr="00ED2E0F">
              <w:rPr>
                <w:color w:val="000000" w:themeColor="text1"/>
                <w:sz w:val="22"/>
                <w:szCs w:val="22"/>
              </w:rPr>
              <w:t xml:space="preserve"> –</w:t>
            </w:r>
            <w:r w:rsidR="00B64005" w:rsidRPr="00ED2E0F">
              <w:rPr>
                <w:color w:val="000000" w:themeColor="text1"/>
                <w:sz w:val="22"/>
                <w:szCs w:val="22"/>
              </w:rPr>
              <w:t xml:space="preserve"> Formal source of law or not?</w:t>
            </w:r>
          </w:p>
        </w:tc>
        <w:tc>
          <w:tcPr>
            <w:tcW w:w="4479" w:type="dxa"/>
          </w:tcPr>
          <w:p w14:paraId="054E111C" w14:textId="78DB41A3" w:rsidR="00B64005" w:rsidRPr="00ED2E0F" w:rsidRDefault="00B64005" w:rsidP="007D7B26">
            <w:pPr>
              <w:spacing w:before="60" w:after="240"/>
              <w:rPr>
                <w:color w:val="000000" w:themeColor="text1"/>
                <w:sz w:val="18"/>
                <w:szCs w:val="18"/>
              </w:rPr>
            </w:pPr>
            <w:r w:rsidRPr="00ED2E0F">
              <w:rPr>
                <w:color w:val="000000" w:themeColor="text1"/>
                <w:sz w:val="18"/>
                <w:szCs w:val="18"/>
              </w:rPr>
              <w:t>The Regulation is a formal source of law, which is binding and directly applicable (i.e.</w:t>
            </w:r>
            <w:r w:rsidR="006E35E7" w:rsidRPr="00ED2E0F">
              <w:rPr>
                <w:color w:val="000000" w:themeColor="text1"/>
                <w:sz w:val="18"/>
                <w:szCs w:val="18"/>
              </w:rPr>
              <w:t>,</w:t>
            </w:r>
            <w:r w:rsidRPr="00ED2E0F">
              <w:rPr>
                <w:color w:val="000000" w:themeColor="text1"/>
                <w:sz w:val="18"/>
                <w:szCs w:val="18"/>
              </w:rPr>
              <w:t xml:space="preserve"> without transposition) in the M</w:t>
            </w:r>
            <w:r w:rsidR="006E35E7" w:rsidRPr="00ED2E0F">
              <w:rPr>
                <w:color w:val="000000" w:themeColor="text1"/>
                <w:sz w:val="18"/>
                <w:szCs w:val="18"/>
              </w:rPr>
              <w:t xml:space="preserve">ember </w:t>
            </w:r>
            <w:r w:rsidRPr="00ED2E0F">
              <w:rPr>
                <w:color w:val="000000" w:themeColor="text1"/>
                <w:sz w:val="18"/>
                <w:szCs w:val="18"/>
              </w:rPr>
              <w:t>S</w:t>
            </w:r>
            <w:r w:rsidR="006E35E7" w:rsidRPr="00ED2E0F">
              <w:rPr>
                <w:color w:val="000000" w:themeColor="text1"/>
                <w:sz w:val="18"/>
                <w:szCs w:val="18"/>
              </w:rPr>
              <w:t>tates</w:t>
            </w:r>
            <w:r w:rsidRPr="00ED2E0F">
              <w:rPr>
                <w:color w:val="000000" w:themeColor="text1"/>
                <w:sz w:val="18"/>
                <w:szCs w:val="18"/>
              </w:rPr>
              <w:t xml:space="preserve">. </w:t>
            </w:r>
            <w:proofErr w:type="gramStart"/>
            <w:r w:rsidRPr="00ED2E0F">
              <w:rPr>
                <w:color w:val="000000" w:themeColor="text1"/>
                <w:sz w:val="18"/>
                <w:szCs w:val="18"/>
              </w:rPr>
              <w:t>Many</w:t>
            </w:r>
            <w:proofErr w:type="gramEnd"/>
            <w:r w:rsidRPr="00ED2E0F">
              <w:rPr>
                <w:color w:val="000000" w:themeColor="text1"/>
                <w:sz w:val="18"/>
                <w:szCs w:val="18"/>
              </w:rPr>
              <w:t xml:space="preserve"> provisions are directly effective. </w:t>
            </w:r>
          </w:p>
        </w:tc>
        <w:tc>
          <w:tcPr>
            <w:tcW w:w="1109" w:type="dxa"/>
            <w:vAlign w:val="center"/>
          </w:tcPr>
          <w:p w14:paraId="1EF31CEA" w14:textId="02E35425" w:rsidR="00B64005" w:rsidRPr="00ED2E0F" w:rsidRDefault="006E0108" w:rsidP="007D7B26">
            <w:pPr>
              <w:spacing w:before="60" w:after="240"/>
              <w:jc w:val="center"/>
              <w:rPr>
                <w:color w:val="000000" w:themeColor="text1"/>
              </w:rPr>
            </w:pPr>
            <w:r w:rsidRPr="00ED2E0F">
              <w:rPr>
                <w:color w:val="000000" w:themeColor="text1"/>
              </w:rPr>
              <w:t xml:space="preserve">H </w:t>
            </w:r>
          </w:p>
        </w:tc>
        <w:tc>
          <w:tcPr>
            <w:tcW w:w="2319" w:type="dxa"/>
            <w:vAlign w:val="center"/>
          </w:tcPr>
          <w:p w14:paraId="6FA90A42" w14:textId="661FC58A" w:rsidR="00B64005" w:rsidRPr="00ED2E0F" w:rsidRDefault="006E0108" w:rsidP="007D7B26">
            <w:pPr>
              <w:spacing w:before="60" w:after="240"/>
              <w:jc w:val="center"/>
              <w:rPr>
                <w:color w:val="000000" w:themeColor="text1"/>
              </w:rPr>
            </w:pPr>
            <w:r w:rsidRPr="00ED2E0F">
              <w:rPr>
                <w:color w:val="000000" w:themeColor="text1"/>
              </w:rPr>
              <w:t xml:space="preserve">H </w:t>
            </w:r>
          </w:p>
        </w:tc>
      </w:tr>
      <w:tr w:rsidR="00B64005" w:rsidRPr="00ED2E0F" w14:paraId="084A082D" w14:textId="77777777" w:rsidTr="0086365E">
        <w:tc>
          <w:tcPr>
            <w:tcW w:w="2299" w:type="dxa"/>
          </w:tcPr>
          <w:p w14:paraId="422734C5" w14:textId="77777777" w:rsidR="00B64005" w:rsidRPr="00ED2E0F" w:rsidRDefault="00B64005" w:rsidP="007D7B26">
            <w:pPr>
              <w:spacing w:before="60" w:after="240"/>
              <w:rPr>
                <w:color w:val="000000" w:themeColor="text1"/>
                <w:sz w:val="22"/>
                <w:szCs w:val="22"/>
              </w:rPr>
            </w:pPr>
            <w:r w:rsidRPr="00ED2E0F">
              <w:rPr>
                <w:i/>
                <w:iCs/>
                <w:color w:val="000000" w:themeColor="text1"/>
                <w:sz w:val="22"/>
                <w:szCs w:val="22"/>
              </w:rPr>
              <w:t>Obligation</w:t>
            </w:r>
            <w:r w:rsidRPr="00ED2E0F">
              <w:rPr>
                <w:color w:val="000000" w:themeColor="text1"/>
                <w:sz w:val="22"/>
                <w:szCs w:val="22"/>
              </w:rPr>
              <w:t xml:space="preserve"> – Authority</w:t>
            </w:r>
          </w:p>
        </w:tc>
        <w:tc>
          <w:tcPr>
            <w:tcW w:w="4479" w:type="dxa"/>
          </w:tcPr>
          <w:p w14:paraId="75205383" w14:textId="77777777" w:rsidR="00B64005" w:rsidRPr="00ED2E0F" w:rsidRDefault="00B64005" w:rsidP="007D7B26">
            <w:pPr>
              <w:spacing w:before="60" w:after="240"/>
              <w:rPr>
                <w:color w:val="000000" w:themeColor="text1"/>
                <w:sz w:val="18"/>
                <w:szCs w:val="18"/>
              </w:rPr>
            </w:pPr>
            <w:r w:rsidRPr="00ED2E0F">
              <w:rPr>
                <w:color w:val="000000" w:themeColor="text1"/>
                <w:sz w:val="18"/>
                <w:szCs w:val="18"/>
              </w:rPr>
              <w:t xml:space="preserve">EU law enjoys </w:t>
            </w:r>
            <w:proofErr w:type="gramStart"/>
            <w:r w:rsidRPr="00ED2E0F">
              <w:rPr>
                <w:color w:val="000000" w:themeColor="text1"/>
                <w:sz w:val="18"/>
                <w:szCs w:val="18"/>
              </w:rPr>
              <w:t>a high level</w:t>
            </w:r>
            <w:proofErr w:type="gramEnd"/>
            <w:r w:rsidRPr="00ED2E0F">
              <w:rPr>
                <w:color w:val="000000" w:themeColor="text1"/>
                <w:sz w:val="18"/>
                <w:szCs w:val="18"/>
              </w:rPr>
              <w:t xml:space="preserve"> of authority towards all stakeholders to whom the law applies.  </w:t>
            </w:r>
          </w:p>
        </w:tc>
        <w:tc>
          <w:tcPr>
            <w:tcW w:w="1109" w:type="dxa"/>
            <w:vAlign w:val="center"/>
          </w:tcPr>
          <w:p w14:paraId="7430C2A5" w14:textId="6BEA1E84" w:rsidR="00B64005" w:rsidRPr="00ED2E0F" w:rsidRDefault="006E0108" w:rsidP="007D7B26">
            <w:pPr>
              <w:spacing w:before="60" w:after="240"/>
              <w:jc w:val="center"/>
              <w:rPr>
                <w:color w:val="000000" w:themeColor="text1"/>
              </w:rPr>
            </w:pPr>
            <w:r w:rsidRPr="00ED2E0F">
              <w:rPr>
                <w:color w:val="000000" w:themeColor="text1"/>
              </w:rPr>
              <w:t xml:space="preserve">H </w:t>
            </w:r>
          </w:p>
        </w:tc>
        <w:tc>
          <w:tcPr>
            <w:tcW w:w="2319" w:type="dxa"/>
            <w:vMerge w:val="restart"/>
            <w:vAlign w:val="center"/>
          </w:tcPr>
          <w:p w14:paraId="0DA8301A" w14:textId="0FA1A791" w:rsidR="00B64005" w:rsidRPr="00ED2E0F" w:rsidRDefault="006E0108" w:rsidP="007D7B26">
            <w:pPr>
              <w:spacing w:before="60" w:after="240"/>
              <w:jc w:val="center"/>
              <w:rPr>
                <w:color w:val="000000" w:themeColor="text1"/>
              </w:rPr>
            </w:pPr>
            <w:r w:rsidRPr="00ED2E0F">
              <w:rPr>
                <w:color w:val="000000" w:themeColor="text1"/>
              </w:rPr>
              <w:t>H</w:t>
            </w:r>
          </w:p>
        </w:tc>
      </w:tr>
      <w:tr w:rsidR="00B64005" w:rsidRPr="00ED2E0F" w14:paraId="10E2AA2B" w14:textId="77777777" w:rsidTr="0086365E">
        <w:tc>
          <w:tcPr>
            <w:tcW w:w="2299" w:type="dxa"/>
          </w:tcPr>
          <w:p w14:paraId="1B2858B4" w14:textId="2C850548" w:rsidR="00B64005" w:rsidRPr="00ED2E0F" w:rsidRDefault="00B64005" w:rsidP="007D7B26">
            <w:pPr>
              <w:spacing w:before="60" w:after="240"/>
              <w:rPr>
                <w:color w:val="000000" w:themeColor="text1"/>
                <w:sz w:val="22"/>
                <w:szCs w:val="22"/>
              </w:rPr>
            </w:pPr>
            <w:r w:rsidRPr="00ED2E0F">
              <w:rPr>
                <w:i/>
                <w:iCs/>
                <w:color w:val="000000" w:themeColor="text1"/>
                <w:sz w:val="22"/>
                <w:szCs w:val="22"/>
              </w:rPr>
              <w:t>Obligation</w:t>
            </w:r>
            <w:r w:rsidRPr="00ED2E0F">
              <w:rPr>
                <w:color w:val="000000" w:themeColor="text1"/>
                <w:sz w:val="22"/>
                <w:szCs w:val="22"/>
              </w:rPr>
              <w:t xml:space="preserve"> – </w:t>
            </w:r>
            <w:r w:rsidR="004525FC" w:rsidRPr="00ED2E0F">
              <w:rPr>
                <w:color w:val="000000" w:themeColor="text1"/>
                <w:sz w:val="22"/>
                <w:szCs w:val="22"/>
              </w:rPr>
              <w:t xml:space="preserve">Mandating </w:t>
            </w:r>
            <w:r w:rsidRPr="00ED2E0F">
              <w:rPr>
                <w:color w:val="000000" w:themeColor="text1"/>
                <w:sz w:val="22"/>
                <w:szCs w:val="22"/>
              </w:rPr>
              <w:t>language</w:t>
            </w:r>
          </w:p>
        </w:tc>
        <w:tc>
          <w:tcPr>
            <w:tcW w:w="4479" w:type="dxa"/>
          </w:tcPr>
          <w:p w14:paraId="75DFA743" w14:textId="062876B9" w:rsidR="00B64005" w:rsidRPr="00ED2E0F" w:rsidRDefault="00B64005" w:rsidP="007D7B26">
            <w:pPr>
              <w:spacing w:before="60" w:after="240"/>
              <w:rPr>
                <w:color w:val="000000" w:themeColor="text1"/>
                <w:sz w:val="18"/>
                <w:szCs w:val="18"/>
              </w:rPr>
            </w:pPr>
            <w:r w:rsidRPr="00ED2E0F">
              <w:rPr>
                <w:color w:val="000000" w:themeColor="text1"/>
                <w:sz w:val="18"/>
                <w:szCs w:val="18"/>
              </w:rPr>
              <w:t xml:space="preserve">The regulation defines in clear and </w:t>
            </w:r>
            <w:r w:rsidR="004525FC" w:rsidRPr="00ED2E0F">
              <w:rPr>
                <w:color w:val="000000" w:themeColor="text1"/>
                <w:sz w:val="18"/>
                <w:szCs w:val="18"/>
              </w:rPr>
              <w:t xml:space="preserve">mandating </w:t>
            </w:r>
            <w:r w:rsidRPr="00ED2E0F">
              <w:rPr>
                <w:color w:val="000000" w:themeColor="text1"/>
                <w:sz w:val="18"/>
                <w:szCs w:val="18"/>
              </w:rPr>
              <w:t xml:space="preserve">language </w:t>
            </w:r>
            <w:r w:rsidR="44DBE798" w:rsidRPr="00ED2E0F">
              <w:rPr>
                <w:color w:val="000000" w:themeColor="text1"/>
                <w:sz w:val="18"/>
                <w:szCs w:val="18"/>
              </w:rPr>
              <w:t xml:space="preserve">food and feed </w:t>
            </w:r>
            <w:r w:rsidRPr="00ED2E0F">
              <w:rPr>
                <w:color w:val="000000" w:themeColor="text1"/>
                <w:sz w:val="18"/>
                <w:szCs w:val="18"/>
              </w:rPr>
              <w:t xml:space="preserve">crop-based biofuels as ineligible under the Regulation. It also sets multiple unequivocal requirements on SAF suppliers, aircraft operators as well as </w:t>
            </w:r>
            <w:r w:rsidR="006E35E7" w:rsidRPr="00ED2E0F">
              <w:rPr>
                <w:color w:val="000000" w:themeColor="text1"/>
                <w:sz w:val="18"/>
                <w:szCs w:val="18"/>
              </w:rPr>
              <w:t xml:space="preserve">EU </w:t>
            </w:r>
            <w:r w:rsidRPr="00ED2E0F">
              <w:rPr>
                <w:color w:val="000000" w:themeColor="text1"/>
                <w:sz w:val="18"/>
                <w:szCs w:val="18"/>
              </w:rPr>
              <w:t xml:space="preserve">airports. </w:t>
            </w:r>
          </w:p>
        </w:tc>
        <w:tc>
          <w:tcPr>
            <w:tcW w:w="1109" w:type="dxa"/>
            <w:vAlign w:val="center"/>
          </w:tcPr>
          <w:p w14:paraId="2020A62F" w14:textId="47A611A9" w:rsidR="00B64005" w:rsidRPr="00ED2E0F" w:rsidRDefault="006E0108" w:rsidP="007D7B26">
            <w:pPr>
              <w:spacing w:before="60" w:after="240"/>
              <w:jc w:val="center"/>
              <w:rPr>
                <w:color w:val="000000" w:themeColor="text1"/>
              </w:rPr>
            </w:pPr>
            <w:r w:rsidRPr="00ED2E0F">
              <w:rPr>
                <w:color w:val="000000" w:themeColor="text1"/>
              </w:rPr>
              <w:t>H</w:t>
            </w:r>
          </w:p>
        </w:tc>
        <w:tc>
          <w:tcPr>
            <w:tcW w:w="2319" w:type="dxa"/>
            <w:vMerge/>
            <w:vAlign w:val="center"/>
          </w:tcPr>
          <w:p w14:paraId="1F9421D5" w14:textId="77777777" w:rsidR="00B64005" w:rsidRPr="00ED2E0F" w:rsidRDefault="00B64005" w:rsidP="007D7B26">
            <w:pPr>
              <w:spacing w:before="60" w:after="240"/>
              <w:jc w:val="center"/>
              <w:rPr>
                <w:color w:val="000000" w:themeColor="text1"/>
              </w:rPr>
            </w:pPr>
          </w:p>
        </w:tc>
      </w:tr>
      <w:tr w:rsidR="00B64005" w:rsidRPr="00ED2E0F" w14:paraId="77C0FDE1" w14:textId="77777777" w:rsidTr="0086365E">
        <w:tc>
          <w:tcPr>
            <w:tcW w:w="2299" w:type="dxa"/>
          </w:tcPr>
          <w:p w14:paraId="62A6F987" w14:textId="77777777" w:rsidR="00B64005" w:rsidRPr="00ED2E0F" w:rsidRDefault="00B64005" w:rsidP="007D7B26">
            <w:pPr>
              <w:spacing w:before="60" w:after="240"/>
              <w:rPr>
                <w:color w:val="000000" w:themeColor="text1"/>
                <w:sz w:val="22"/>
                <w:szCs w:val="22"/>
              </w:rPr>
            </w:pPr>
            <w:r w:rsidRPr="00ED2E0F">
              <w:rPr>
                <w:i/>
                <w:iCs/>
                <w:color w:val="000000" w:themeColor="text1"/>
                <w:sz w:val="22"/>
                <w:szCs w:val="22"/>
              </w:rPr>
              <w:t>Precision</w:t>
            </w:r>
            <w:r w:rsidRPr="00ED2E0F">
              <w:rPr>
                <w:color w:val="000000" w:themeColor="text1"/>
                <w:sz w:val="22"/>
                <w:szCs w:val="22"/>
              </w:rPr>
              <w:t xml:space="preserve"> – Accuracy (</w:t>
            </w:r>
            <w:r w:rsidRPr="00ED2E0F">
              <w:rPr>
                <w:i/>
                <w:iCs/>
                <w:color w:val="000000" w:themeColor="text1"/>
                <w:sz w:val="22"/>
                <w:szCs w:val="22"/>
              </w:rPr>
              <w:t xml:space="preserve">ratione </w:t>
            </w:r>
            <w:proofErr w:type="spellStart"/>
            <w:r w:rsidRPr="00ED2E0F">
              <w:rPr>
                <w:i/>
                <w:iCs/>
                <w:color w:val="000000" w:themeColor="text1"/>
                <w:sz w:val="22"/>
                <w:szCs w:val="22"/>
              </w:rPr>
              <w:t>materiae</w:t>
            </w:r>
            <w:proofErr w:type="spellEnd"/>
            <w:r w:rsidRPr="00ED2E0F">
              <w:rPr>
                <w:color w:val="000000" w:themeColor="text1"/>
                <w:sz w:val="22"/>
                <w:szCs w:val="22"/>
              </w:rPr>
              <w:t>)</w:t>
            </w:r>
          </w:p>
        </w:tc>
        <w:tc>
          <w:tcPr>
            <w:tcW w:w="4479" w:type="dxa"/>
          </w:tcPr>
          <w:p w14:paraId="3ABF9BF1" w14:textId="595F4955" w:rsidR="00B64005" w:rsidRPr="00ED2E0F" w:rsidRDefault="00B64005" w:rsidP="007D7B26">
            <w:pPr>
              <w:spacing w:before="60" w:after="240"/>
              <w:rPr>
                <w:color w:val="000000" w:themeColor="text1"/>
                <w:sz w:val="18"/>
                <w:szCs w:val="18"/>
              </w:rPr>
            </w:pPr>
            <w:r w:rsidRPr="00ED2E0F">
              <w:rPr>
                <w:color w:val="000000" w:themeColor="text1"/>
                <w:sz w:val="18"/>
                <w:szCs w:val="18"/>
              </w:rPr>
              <w:t xml:space="preserve">Is </w:t>
            </w:r>
            <w:proofErr w:type="gramStart"/>
            <w:r w:rsidRPr="00ED2E0F">
              <w:rPr>
                <w:color w:val="000000" w:themeColor="text1"/>
                <w:sz w:val="18"/>
                <w:szCs w:val="18"/>
              </w:rPr>
              <w:t>very accurate</w:t>
            </w:r>
            <w:proofErr w:type="gramEnd"/>
            <w:r w:rsidRPr="00ED2E0F">
              <w:rPr>
                <w:color w:val="000000" w:themeColor="text1"/>
                <w:sz w:val="18"/>
                <w:szCs w:val="18"/>
              </w:rPr>
              <w:t xml:space="preserve"> in terms of </w:t>
            </w:r>
            <w:r w:rsidR="1E18F05C" w:rsidRPr="00ED2E0F">
              <w:rPr>
                <w:color w:val="000000" w:themeColor="text1"/>
                <w:sz w:val="18"/>
                <w:szCs w:val="18"/>
              </w:rPr>
              <w:t xml:space="preserve">defining the types of flights covered by </w:t>
            </w:r>
            <w:r w:rsidRPr="00ED2E0F">
              <w:rPr>
                <w:color w:val="000000" w:themeColor="text1"/>
                <w:sz w:val="18"/>
                <w:szCs w:val="18"/>
              </w:rPr>
              <w:t xml:space="preserve">the use of </w:t>
            </w:r>
            <w:r w:rsidR="3EC67DC3" w:rsidRPr="00ED2E0F">
              <w:rPr>
                <w:color w:val="000000" w:themeColor="text1"/>
                <w:sz w:val="18"/>
                <w:szCs w:val="18"/>
              </w:rPr>
              <w:t>SAF</w:t>
            </w:r>
            <w:r w:rsidRPr="00ED2E0F">
              <w:rPr>
                <w:color w:val="000000" w:themeColor="text1"/>
                <w:sz w:val="18"/>
                <w:szCs w:val="18"/>
              </w:rPr>
              <w:t xml:space="preserve"> (</w:t>
            </w:r>
            <w:r w:rsidR="02FC4491" w:rsidRPr="00ED2E0F">
              <w:rPr>
                <w:color w:val="000000" w:themeColor="text1"/>
                <w:sz w:val="18"/>
                <w:szCs w:val="18"/>
              </w:rPr>
              <w:t>Art</w:t>
            </w:r>
            <w:r w:rsidR="006E35E7" w:rsidRPr="00ED2E0F">
              <w:rPr>
                <w:color w:val="000000" w:themeColor="text1"/>
                <w:sz w:val="18"/>
                <w:szCs w:val="18"/>
              </w:rPr>
              <w:t>.</w:t>
            </w:r>
            <w:r w:rsidR="02FC4491" w:rsidRPr="00ED2E0F">
              <w:rPr>
                <w:color w:val="000000" w:themeColor="text1"/>
                <w:sz w:val="18"/>
                <w:szCs w:val="18"/>
              </w:rPr>
              <w:t xml:space="preserve"> 2</w:t>
            </w:r>
            <w:r w:rsidRPr="00ED2E0F">
              <w:rPr>
                <w:color w:val="000000" w:themeColor="text1"/>
                <w:sz w:val="18"/>
                <w:szCs w:val="18"/>
              </w:rPr>
              <w:t xml:space="preserve">). </w:t>
            </w:r>
            <w:proofErr w:type="spellStart"/>
            <w:r w:rsidRPr="00ED2E0F">
              <w:rPr>
                <w:color w:val="000000" w:themeColor="text1"/>
                <w:sz w:val="18"/>
                <w:szCs w:val="18"/>
              </w:rPr>
              <w:t>ReFuelEU’s</w:t>
            </w:r>
            <w:proofErr w:type="spellEnd"/>
            <w:r w:rsidRPr="00ED2E0F">
              <w:rPr>
                <w:color w:val="000000" w:themeColor="text1"/>
                <w:sz w:val="18"/>
                <w:szCs w:val="18"/>
              </w:rPr>
              <w:t xml:space="preserve"> </w:t>
            </w:r>
            <w:r w:rsidR="000546D9" w:rsidRPr="00ED2E0F">
              <w:rPr>
                <w:color w:val="000000" w:themeColor="text1"/>
                <w:sz w:val="18"/>
                <w:szCs w:val="18"/>
              </w:rPr>
              <w:t xml:space="preserve">mandating </w:t>
            </w:r>
            <w:r w:rsidRPr="00ED2E0F">
              <w:rPr>
                <w:color w:val="000000" w:themeColor="text1"/>
                <w:sz w:val="18"/>
                <w:szCs w:val="18"/>
              </w:rPr>
              <w:t>requirements extend beyond the sustainability criteria of the fuels</w:t>
            </w:r>
            <w:r w:rsidR="7D6B62F4" w:rsidRPr="00ED2E0F">
              <w:rPr>
                <w:color w:val="000000" w:themeColor="text1"/>
                <w:sz w:val="18"/>
                <w:szCs w:val="18"/>
              </w:rPr>
              <w:t>,</w:t>
            </w:r>
            <w:r w:rsidRPr="00ED2E0F">
              <w:rPr>
                <w:color w:val="000000" w:themeColor="text1"/>
                <w:sz w:val="18"/>
                <w:szCs w:val="18"/>
              </w:rPr>
              <w:t xml:space="preserve"> </w:t>
            </w:r>
            <w:r w:rsidR="006E35E7" w:rsidRPr="00ED2E0F">
              <w:rPr>
                <w:color w:val="000000" w:themeColor="text1"/>
                <w:sz w:val="18"/>
                <w:szCs w:val="18"/>
              </w:rPr>
              <w:t>e.g.</w:t>
            </w:r>
            <w:r w:rsidR="0AEBA679" w:rsidRPr="00ED2E0F">
              <w:rPr>
                <w:color w:val="000000" w:themeColor="text1"/>
                <w:sz w:val="18"/>
                <w:szCs w:val="18"/>
              </w:rPr>
              <w:t>,</w:t>
            </w:r>
            <w:r w:rsidRPr="00ED2E0F">
              <w:rPr>
                <w:color w:val="000000" w:themeColor="text1"/>
                <w:sz w:val="18"/>
                <w:szCs w:val="18"/>
              </w:rPr>
              <w:t xml:space="preserve"> to the ways in which they are </w:t>
            </w:r>
            <w:proofErr w:type="spellStart"/>
            <w:r w:rsidRPr="00ED2E0F">
              <w:rPr>
                <w:color w:val="000000" w:themeColor="text1"/>
                <w:sz w:val="18"/>
                <w:szCs w:val="18"/>
              </w:rPr>
              <w:t>fuelled</w:t>
            </w:r>
            <w:proofErr w:type="spellEnd"/>
            <w:r w:rsidRPr="00ED2E0F">
              <w:rPr>
                <w:color w:val="000000" w:themeColor="text1"/>
                <w:sz w:val="18"/>
                <w:szCs w:val="18"/>
              </w:rPr>
              <w:t xml:space="preserve">, preventing the unsustainable practice of </w:t>
            </w:r>
            <w:r w:rsidR="00CE1EC2" w:rsidRPr="00ED2E0F">
              <w:rPr>
                <w:color w:val="000000" w:themeColor="text1"/>
                <w:sz w:val="18"/>
                <w:szCs w:val="18"/>
              </w:rPr>
              <w:t>‘</w:t>
            </w:r>
            <w:r w:rsidRPr="00ED2E0F">
              <w:rPr>
                <w:color w:val="000000" w:themeColor="text1"/>
                <w:sz w:val="18"/>
                <w:szCs w:val="18"/>
              </w:rPr>
              <w:t xml:space="preserve">fuel </w:t>
            </w:r>
            <w:proofErr w:type="spellStart"/>
            <w:r w:rsidRPr="00ED2E0F">
              <w:rPr>
                <w:color w:val="000000" w:themeColor="text1"/>
                <w:sz w:val="18"/>
                <w:szCs w:val="18"/>
              </w:rPr>
              <w:t>tankering</w:t>
            </w:r>
            <w:proofErr w:type="spellEnd"/>
            <w:r w:rsidR="00CE1EC2" w:rsidRPr="00ED2E0F">
              <w:rPr>
                <w:color w:val="000000" w:themeColor="text1"/>
                <w:sz w:val="18"/>
                <w:szCs w:val="18"/>
              </w:rPr>
              <w:t>’</w:t>
            </w:r>
            <w:r w:rsidRPr="00ED2E0F">
              <w:rPr>
                <w:color w:val="000000" w:themeColor="text1"/>
                <w:sz w:val="18"/>
                <w:szCs w:val="18"/>
              </w:rPr>
              <w:t xml:space="preserve">, and the SAF infrastructure to be made available. The specificity and accuracy of </w:t>
            </w:r>
            <w:proofErr w:type="spellStart"/>
            <w:r w:rsidRPr="00ED2E0F">
              <w:rPr>
                <w:color w:val="000000" w:themeColor="text1"/>
                <w:sz w:val="18"/>
                <w:szCs w:val="18"/>
              </w:rPr>
              <w:t>ReFuelEU</w:t>
            </w:r>
            <w:proofErr w:type="spellEnd"/>
            <w:r w:rsidRPr="00ED2E0F">
              <w:rPr>
                <w:color w:val="000000" w:themeColor="text1"/>
                <w:sz w:val="18"/>
                <w:szCs w:val="18"/>
              </w:rPr>
              <w:t xml:space="preserve"> </w:t>
            </w:r>
            <w:proofErr w:type="gramStart"/>
            <w:r w:rsidRPr="00ED2E0F">
              <w:rPr>
                <w:color w:val="000000" w:themeColor="text1"/>
                <w:sz w:val="18"/>
                <w:szCs w:val="18"/>
              </w:rPr>
              <w:t>thus are</w:t>
            </w:r>
            <w:proofErr w:type="gramEnd"/>
            <w:r w:rsidRPr="00ED2E0F">
              <w:rPr>
                <w:color w:val="000000" w:themeColor="text1"/>
                <w:sz w:val="18"/>
                <w:szCs w:val="18"/>
              </w:rPr>
              <w:t xml:space="preserve"> </w:t>
            </w:r>
            <w:proofErr w:type="gramStart"/>
            <w:r w:rsidRPr="00ED2E0F">
              <w:rPr>
                <w:color w:val="000000" w:themeColor="text1"/>
                <w:sz w:val="18"/>
                <w:szCs w:val="18"/>
              </w:rPr>
              <w:t>very high</w:t>
            </w:r>
            <w:proofErr w:type="gramEnd"/>
            <w:r w:rsidRPr="00ED2E0F">
              <w:rPr>
                <w:color w:val="000000" w:themeColor="text1"/>
                <w:sz w:val="18"/>
                <w:szCs w:val="18"/>
              </w:rPr>
              <w:t>. (</w:t>
            </w:r>
            <w:r w:rsidR="1FDB1BC0" w:rsidRPr="00ED2E0F">
              <w:rPr>
                <w:color w:val="000000" w:themeColor="text1"/>
                <w:sz w:val="18"/>
                <w:szCs w:val="18"/>
              </w:rPr>
              <w:t>Art</w:t>
            </w:r>
            <w:r w:rsidR="7D0E0419" w:rsidRPr="00ED2E0F">
              <w:rPr>
                <w:color w:val="000000" w:themeColor="text1"/>
                <w:sz w:val="18"/>
                <w:szCs w:val="18"/>
              </w:rPr>
              <w:t>s</w:t>
            </w:r>
            <w:r w:rsidR="1FDB1BC0" w:rsidRPr="00ED2E0F">
              <w:rPr>
                <w:color w:val="000000" w:themeColor="text1"/>
                <w:sz w:val="18"/>
                <w:szCs w:val="18"/>
              </w:rPr>
              <w:t xml:space="preserve"> </w:t>
            </w:r>
            <w:r w:rsidRPr="00ED2E0F">
              <w:rPr>
                <w:color w:val="000000" w:themeColor="text1"/>
                <w:sz w:val="18"/>
                <w:szCs w:val="18"/>
              </w:rPr>
              <w:t xml:space="preserve">5, </w:t>
            </w:r>
            <w:r w:rsidR="5956CED3" w:rsidRPr="00ED2E0F">
              <w:rPr>
                <w:color w:val="000000" w:themeColor="text1"/>
                <w:sz w:val="18"/>
                <w:szCs w:val="18"/>
              </w:rPr>
              <w:t>6</w:t>
            </w:r>
            <w:r w:rsidR="006E35E7" w:rsidRPr="00ED2E0F">
              <w:rPr>
                <w:color w:val="000000" w:themeColor="text1"/>
                <w:sz w:val="18"/>
                <w:szCs w:val="18"/>
              </w:rPr>
              <w:t>,</w:t>
            </w:r>
            <w:r w:rsidRPr="00ED2E0F">
              <w:rPr>
                <w:color w:val="000000" w:themeColor="text1"/>
                <w:sz w:val="18"/>
                <w:szCs w:val="18"/>
              </w:rPr>
              <w:t xml:space="preserve"> </w:t>
            </w:r>
            <w:r w:rsidR="0F7D643F" w:rsidRPr="00ED2E0F">
              <w:rPr>
                <w:color w:val="000000" w:themeColor="text1"/>
                <w:sz w:val="18"/>
                <w:szCs w:val="18"/>
              </w:rPr>
              <w:t>7</w:t>
            </w:r>
            <w:r w:rsidRPr="00ED2E0F">
              <w:rPr>
                <w:color w:val="000000" w:themeColor="text1"/>
                <w:sz w:val="18"/>
                <w:szCs w:val="18"/>
              </w:rPr>
              <w:t>)</w:t>
            </w:r>
            <w:proofErr w:type="gramStart"/>
            <w:r w:rsidRPr="00ED2E0F">
              <w:rPr>
                <w:color w:val="000000" w:themeColor="text1"/>
                <w:sz w:val="18"/>
                <w:szCs w:val="18"/>
              </w:rPr>
              <w:t xml:space="preserve">. </w:t>
            </w:r>
            <w:r w:rsidRPr="00ED2E0F">
              <w:rPr>
                <w:lang w:val="en-GB"/>
              </w:rPr>
              <w:t xml:space="preserve"> </w:t>
            </w:r>
            <w:proofErr w:type="gramEnd"/>
            <w:r w:rsidRPr="00ED2E0F">
              <w:rPr>
                <w:color w:val="000000" w:themeColor="text1"/>
                <w:sz w:val="18"/>
                <w:szCs w:val="18"/>
              </w:rPr>
              <w:t xml:space="preserve"> </w:t>
            </w:r>
          </w:p>
        </w:tc>
        <w:tc>
          <w:tcPr>
            <w:tcW w:w="1109" w:type="dxa"/>
            <w:vAlign w:val="center"/>
          </w:tcPr>
          <w:p w14:paraId="63CE359B" w14:textId="2B67BA6E" w:rsidR="00B64005" w:rsidRPr="00ED2E0F" w:rsidRDefault="006E0108" w:rsidP="007D7B26">
            <w:pPr>
              <w:spacing w:before="60" w:after="240"/>
              <w:jc w:val="center"/>
              <w:rPr>
                <w:color w:val="000000" w:themeColor="text1"/>
              </w:rPr>
            </w:pPr>
            <w:r w:rsidRPr="00ED2E0F">
              <w:rPr>
                <w:color w:val="000000" w:themeColor="text1"/>
              </w:rPr>
              <w:t>H</w:t>
            </w:r>
          </w:p>
        </w:tc>
        <w:tc>
          <w:tcPr>
            <w:tcW w:w="2319" w:type="dxa"/>
            <w:vMerge w:val="restart"/>
            <w:vAlign w:val="center"/>
          </w:tcPr>
          <w:p w14:paraId="78EB58F7" w14:textId="4567DD16" w:rsidR="00B64005" w:rsidRPr="00ED2E0F" w:rsidRDefault="006E0108" w:rsidP="007D7B26">
            <w:pPr>
              <w:spacing w:before="60" w:after="240"/>
              <w:jc w:val="center"/>
              <w:rPr>
                <w:color w:val="000000" w:themeColor="text1"/>
              </w:rPr>
            </w:pPr>
            <w:r w:rsidRPr="00ED2E0F">
              <w:rPr>
                <w:color w:val="000000" w:themeColor="text1"/>
              </w:rPr>
              <w:t>H</w:t>
            </w:r>
          </w:p>
        </w:tc>
      </w:tr>
      <w:tr w:rsidR="00B64005" w:rsidRPr="00ED2E0F" w14:paraId="43CAA868" w14:textId="77777777" w:rsidTr="0086365E">
        <w:tc>
          <w:tcPr>
            <w:tcW w:w="2299" w:type="dxa"/>
          </w:tcPr>
          <w:p w14:paraId="41D88E35" w14:textId="77777777" w:rsidR="00B64005" w:rsidRPr="00ED2E0F" w:rsidRDefault="00B64005" w:rsidP="007D7B26">
            <w:pPr>
              <w:spacing w:before="60" w:after="240"/>
              <w:rPr>
                <w:color w:val="000000" w:themeColor="text1"/>
                <w:sz w:val="22"/>
                <w:szCs w:val="22"/>
              </w:rPr>
            </w:pPr>
            <w:r w:rsidRPr="00ED2E0F">
              <w:rPr>
                <w:i/>
                <w:iCs/>
                <w:color w:val="000000" w:themeColor="text1"/>
                <w:sz w:val="22"/>
                <w:szCs w:val="22"/>
              </w:rPr>
              <w:t>Precision</w:t>
            </w:r>
            <w:r w:rsidRPr="00ED2E0F">
              <w:rPr>
                <w:color w:val="000000" w:themeColor="text1"/>
                <w:sz w:val="22"/>
                <w:szCs w:val="22"/>
              </w:rPr>
              <w:t xml:space="preserve"> – Specificity (</w:t>
            </w:r>
            <w:r w:rsidRPr="00ED2E0F">
              <w:rPr>
                <w:i/>
                <w:iCs/>
                <w:color w:val="000000" w:themeColor="text1"/>
                <w:sz w:val="22"/>
                <w:szCs w:val="22"/>
              </w:rPr>
              <w:t>ratione personae</w:t>
            </w:r>
            <w:r w:rsidRPr="00ED2E0F">
              <w:rPr>
                <w:color w:val="000000" w:themeColor="text1"/>
                <w:sz w:val="22"/>
                <w:szCs w:val="22"/>
              </w:rPr>
              <w:t>)</w:t>
            </w:r>
          </w:p>
        </w:tc>
        <w:tc>
          <w:tcPr>
            <w:tcW w:w="4479" w:type="dxa"/>
          </w:tcPr>
          <w:p w14:paraId="2BD46FA1" w14:textId="378D2F93" w:rsidR="00B64005" w:rsidRPr="00ED2E0F" w:rsidRDefault="00B64005" w:rsidP="007D7B26">
            <w:pPr>
              <w:spacing w:before="60" w:after="240"/>
              <w:rPr>
                <w:color w:val="000000" w:themeColor="text1"/>
                <w:sz w:val="18"/>
                <w:szCs w:val="18"/>
              </w:rPr>
            </w:pPr>
            <w:r w:rsidRPr="00ED2E0F">
              <w:rPr>
                <w:color w:val="000000" w:themeColor="text1"/>
                <w:sz w:val="18"/>
                <w:szCs w:val="18"/>
              </w:rPr>
              <w:t xml:space="preserve">The Regulation targets </w:t>
            </w:r>
            <w:r w:rsidR="00D35183" w:rsidRPr="00ED2E0F">
              <w:rPr>
                <w:color w:val="000000" w:themeColor="text1"/>
                <w:sz w:val="18"/>
                <w:szCs w:val="18"/>
              </w:rPr>
              <w:t xml:space="preserve">in </w:t>
            </w:r>
            <w:r w:rsidRPr="00ED2E0F">
              <w:rPr>
                <w:color w:val="000000" w:themeColor="text1"/>
                <w:sz w:val="18"/>
                <w:szCs w:val="18"/>
              </w:rPr>
              <w:t xml:space="preserve">specific </w:t>
            </w:r>
            <w:r w:rsidR="00D35183" w:rsidRPr="00ED2E0F">
              <w:rPr>
                <w:color w:val="000000" w:themeColor="text1"/>
                <w:sz w:val="18"/>
                <w:szCs w:val="18"/>
              </w:rPr>
              <w:t xml:space="preserve">terms </w:t>
            </w:r>
            <w:r w:rsidRPr="00ED2E0F">
              <w:rPr>
                <w:color w:val="000000" w:themeColor="text1"/>
                <w:sz w:val="18"/>
                <w:szCs w:val="18"/>
              </w:rPr>
              <w:t>key aviation actors: airports, aircraft operators</w:t>
            </w:r>
            <w:r w:rsidR="00645047" w:rsidRPr="00ED2E0F">
              <w:rPr>
                <w:color w:val="000000" w:themeColor="text1"/>
                <w:sz w:val="18"/>
                <w:szCs w:val="18"/>
              </w:rPr>
              <w:t xml:space="preserve">, </w:t>
            </w:r>
            <w:r w:rsidRPr="00ED2E0F">
              <w:rPr>
                <w:color w:val="000000" w:themeColor="text1"/>
                <w:sz w:val="18"/>
                <w:szCs w:val="18"/>
              </w:rPr>
              <w:t>SAF suppliers</w:t>
            </w:r>
            <w:r w:rsidR="00E303FD" w:rsidRPr="00ED2E0F">
              <w:rPr>
                <w:color w:val="000000" w:themeColor="text1"/>
                <w:sz w:val="18"/>
                <w:szCs w:val="18"/>
              </w:rPr>
              <w:t>, and Member States’ competent authorities</w:t>
            </w:r>
            <w:r w:rsidR="679F136E" w:rsidRPr="00ED2E0F">
              <w:rPr>
                <w:color w:val="000000" w:themeColor="text1"/>
                <w:sz w:val="18"/>
                <w:szCs w:val="18"/>
              </w:rPr>
              <w:t>.</w:t>
            </w:r>
            <w:r w:rsidRPr="00ED2E0F">
              <w:rPr>
                <w:color w:val="000000" w:themeColor="text1"/>
                <w:sz w:val="18"/>
                <w:szCs w:val="18"/>
              </w:rPr>
              <w:t xml:space="preserve"> </w:t>
            </w:r>
            <w:r w:rsidR="00D35183" w:rsidRPr="00ED2E0F">
              <w:rPr>
                <w:color w:val="000000" w:themeColor="text1"/>
                <w:sz w:val="18"/>
                <w:szCs w:val="18"/>
              </w:rPr>
              <w:t xml:space="preserve">The scope is also broad; 95% of flights </w:t>
            </w:r>
            <w:proofErr w:type="gramStart"/>
            <w:r w:rsidR="00D35183" w:rsidRPr="00ED2E0F">
              <w:rPr>
                <w:color w:val="000000" w:themeColor="text1"/>
                <w:sz w:val="18"/>
                <w:szCs w:val="18"/>
              </w:rPr>
              <w:t>departing</w:t>
            </w:r>
            <w:proofErr w:type="gramEnd"/>
            <w:r w:rsidR="00D35183" w:rsidRPr="00ED2E0F">
              <w:rPr>
                <w:color w:val="000000" w:themeColor="text1"/>
                <w:sz w:val="18"/>
                <w:szCs w:val="18"/>
              </w:rPr>
              <w:t xml:space="preserve"> from EU airports</w:t>
            </w:r>
            <w:proofErr w:type="gramStart"/>
            <w:r w:rsidR="00D35183" w:rsidRPr="00ED2E0F">
              <w:rPr>
                <w:color w:val="000000" w:themeColor="text1"/>
                <w:sz w:val="18"/>
                <w:szCs w:val="18"/>
              </w:rPr>
              <w:t xml:space="preserve">. </w:t>
            </w:r>
            <w:r w:rsidRPr="00ED2E0F">
              <w:rPr>
                <w:color w:val="000000" w:themeColor="text1"/>
                <w:sz w:val="18"/>
                <w:szCs w:val="18"/>
              </w:rPr>
              <w:t xml:space="preserve"> </w:t>
            </w:r>
            <w:proofErr w:type="gramEnd"/>
            <w:r w:rsidRPr="00ED2E0F">
              <w:rPr>
                <w:color w:val="000000" w:themeColor="text1"/>
                <w:sz w:val="18"/>
                <w:szCs w:val="18"/>
              </w:rPr>
              <w:t xml:space="preserve">  </w:t>
            </w:r>
          </w:p>
        </w:tc>
        <w:tc>
          <w:tcPr>
            <w:tcW w:w="1109" w:type="dxa"/>
            <w:vAlign w:val="center"/>
          </w:tcPr>
          <w:p w14:paraId="0FCB4E4E" w14:textId="6429BF77" w:rsidR="00B64005" w:rsidRPr="00ED2E0F" w:rsidRDefault="006E0108" w:rsidP="007D7B26">
            <w:pPr>
              <w:spacing w:before="60" w:after="240"/>
              <w:jc w:val="center"/>
              <w:rPr>
                <w:color w:val="000000" w:themeColor="text1"/>
              </w:rPr>
            </w:pPr>
            <w:r w:rsidRPr="00ED2E0F">
              <w:rPr>
                <w:color w:val="000000" w:themeColor="text1"/>
              </w:rPr>
              <w:t>H</w:t>
            </w:r>
          </w:p>
        </w:tc>
        <w:tc>
          <w:tcPr>
            <w:tcW w:w="2319" w:type="dxa"/>
            <w:vMerge/>
            <w:vAlign w:val="center"/>
          </w:tcPr>
          <w:p w14:paraId="0587BF83" w14:textId="77777777" w:rsidR="00B64005" w:rsidRPr="00ED2E0F" w:rsidRDefault="00B64005" w:rsidP="007D7B26">
            <w:pPr>
              <w:spacing w:before="60" w:after="240"/>
              <w:jc w:val="center"/>
              <w:rPr>
                <w:color w:val="000000" w:themeColor="text1"/>
              </w:rPr>
            </w:pPr>
          </w:p>
        </w:tc>
      </w:tr>
      <w:tr w:rsidR="00B64005" w:rsidRPr="00ED2E0F" w14:paraId="5046394C" w14:textId="77777777" w:rsidTr="0086365E">
        <w:tc>
          <w:tcPr>
            <w:tcW w:w="2299" w:type="dxa"/>
          </w:tcPr>
          <w:p w14:paraId="50AB70E0" w14:textId="4EFFBBE2" w:rsidR="00B64005" w:rsidRPr="00ED2E0F" w:rsidRDefault="00A3750C" w:rsidP="007D7B26">
            <w:pPr>
              <w:spacing w:before="60" w:after="240"/>
              <w:rPr>
                <w:color w:val="000000" w:themeColor="text1"/>
                <w:sz w:val="22"/>
                <w:szCs w:val="22"/>
              </w:rPr>
            </w:pPr>
            <w:r w:rsidRPr="00ED2E0F">
              <w:rPr>
                <w:i/>
                <w:iCs/>
                <w:color w:val="000000" w:themeColor="text1"/>
                <w:sz w:val="22"/>
                <w:szCs w:val="22"/>
              </w:rPr>
              <w:t>Means of implementation</w:t>
            </w:r>
            <w:r w:rsidRPr="00ED2E0F">
              <w:rPr>
                <w:color w:val="000000" w:themeColor="text1"/>
                <w:sz w:val="22"/>
                <w:szCs w:val="22"/>
              </w:rPr>
              <w:t xml:space="preserve"> – </w:t>
            </w:r>
            <w:r w:rsidR="00B64005" w:rsidRPr="00ED2E0F">
              <w:rPr>
                <w:color w:val="000000" w:themeColor="text1"/>
                <w:sz w:val="22"/>
                <w:szCs w:val="22"/>
              </w:rPr>
              <w:t>Scope</w:t>
            </w:r>
          </w:p>
        </w:tc>
        <w:tc>
          <w:tcPr>
            <w:tcW w:w="4479" w:type="dxa"/>
          </w:tcPr>
          <w:p w14:paraId="5C162C12" w14:textId="34E72602" w:rsidR="00B64005" w:rsidRPr="00ED2E0F" w:rsidRDefault="6159F9EF" w:rsidP="007D7B26">
            <w:pPr>
              <w:spacing w:after="240"/>
              <w:rPr>
                <w:color w:val="000000" w:themeColor="text1"/>
                <w:sz w:val="18"/>
                <w:szCs w:val="18"/>
              </w:rPr>
            </w:pPr>
            <w:r w:rsidRPr="00ED2E0F">
              <w:rPr>
                <w:color w:val="000000" w:themeColor="text1"/>
                <w:sz w:val="18"/>
                <w:szCs w:val="18"/>
              </w:rPr>
              <w:t>T</w:t>
            </w:r>
            <w:r w:rsidR="00B64005" w:rsidRPr="00ED2E0F">
              <w:rPr>
                <w:color w:val="000000" w:themeColor="text1"/>
                <w:sz w:val="18"/>
                <w:szCs w:val="18"/>
              </w:rPr>
              <w:t xml:space="preserve">he </w:t>
            </w:r>
            <w:r w:rsidR="003E37AE" w:rsidRPr="00ED2E0F">
              <w:rPr>
                <w:color w:val="000000" w:themeColor="text1"/>
                <w:sz w:val="18"/>
                <w:szCs w:val="18"/>
              </w:rPr>
              <w:t xml:space="preserve">EASA </w:t>
            </w:r>
            <w:r w:rsidR="709CF064" w:rsidRPr="00ED2E0F">
              <w:rPr>
                <w:color w:val="000000" w:themeColor="text1"/>
                <w:sz w:val="18"/>
                <w:szCs w:val="18"/>
              </w:rPr>
              <w:t>is given</w:t>
            </w:r>
            <w:r w:rsidR="00B64005" w:rsidRPr="00ED2E0F">
              <w:rPr>
                <w:color w:val="000000" w:themeColor="text1"/>
                <w:sz w:val="18"/>
                <w:szCs w:val="18"/>
              </w:rPr>
              <w:t xml:space="preserve"> various supervisory tasks regarding SAF, such as reporting </w:t>
            </w:r>
            <w:r w:rsidR="4E4D8555" w:rsidRPr="00ED2E0F">
              <w:rPr>
                <w:color w:val="000000" w:themeColor="text1"/>
                <w:sz w:val="18"/>
                <w:szCs w:val="18"/>
              </w:rPr>
              <w:t xml:space="preserve">and monitoring </w:t>
            </w:r>
            <w:r w:rsidR="2F920CA3" w:rsidRPr="00ED2E0F">
              <w:rPr>
                <w:color w:val="000000" w:themeColor="text1"/>
                <w:sz w:val="18"/>
                <w:szCs w:val="18"/>
              </w:rPr>
              <w:t>obligations</w:t>
            </w:r>
            <w:r w:rsidR="41776C94" w:rsidRPr="00ED2E0F">
              <w:rPr>
                <w:color w:val="000000" w:themeColor="text1"/>
                <w:sz w:val="18"/>
                <w:szCs w:val="18"/>
              </w:rPr>
              <w:t xml:space="preserve"> e.g., on SAF purchases </w:t>
            </w:r>
            <w:r w:rsidR="00B64005" w:rsidRPr="00ED2E0F">
              <w:rPr>
                <w:color w:val="000000" w:themeColor="text1"/>
                <w:sz w:val="18"/>
                <w:szCs w:val="18"/>
              </w:rPr>
              <w:t>(</w:t>
            </w:r>
            <w:r w:rsidR="7716AAD7" w:rsidRPr="00ED2E0F">
              <w:rPr>
                <w:color w:val="000000" w:themeColor="text1"/>
                <w:sz w:val="18"/>
                <w:szCs w:val="18"/>
              </w:rPr>
              <w:t>Recital 27, Arts 5-11, 13</w:t>
            </w:r>
            <w:r w:rsidR="00B64005" w:rsidRPr="00ED2E0F">
              <w:rPr>
                <w:color w:val="000000" w:themeColor="text1"/>
                <w:sz w:val="18"/>
                <w:szCs w:val="18"/>
              </w:rPr>
              <w:t xml:space="preserve">). The Member States </w:t>
            </w:r>
            <w:r w:rsidR="00512D32" w:rsidRPr="00ED2E0F">
              <w:rPr>
                <w:color w:val="000000" w:themeColor="text1"/>
                <w:sz w:val="18"/>
                <w:szCs w:val="18"/>
              </w:rPr>
              <w:t>have</w:t>
            </w:r>
            <w:r w:rsidR="00B64005" w:rsidRPr="00ED2E0F">
              <w:rPr>
                <w:color w:val="000000" w:themeColor="text1"/>
                <w:sz w:val="18"/>
                <w:szCs w:val="18"/>
              </w:rPr>
              <w:t xml:space="preserve"> multiple enforcement tasks (Art</w:t>
            </w:r>
            <w:r w:rsidR="52A19796" w:rsidRPr="00ED2E0F">
              <w:rPr>
                <w:color w:val="000000" w:themeColor="text1"/>
                <w:sz w:val="18"/>
                <w:szCs w:val="18"/>
              </w:rPr>
              <w:t>s</w:t>
            </w:r>
            <w:r w:rsidR="00B64005" w:rsidRPr="00ED2E0F">
              <w:rPr>
                <w:color w:val="000000" w:themeColor="text1"/>
                <w:sz w:val="18"/>
                <w:szCs w:val="18"/>
              </w:rPr>
              <w:t xml:space="preserve"> 11</w:t>
            </w:r>
            <w:r w:rsidR="006E35E7" w:rsidRPr="00ED2E0F">
              <w:rPr>
                <w:color w:val="000000" w:themeColor="text1"/>
                <w:sz w:val="18"/>
                <w:szCs w:val="18"/>
              </w:rPr>
              <w:t>-</w:t>
            </w:r>
            <w:r w:rsidR="4E0B6ABB" w:rsidRPr="00ED2E0F">
              <w:rPr>
                <w:color w:val="000000" w:themeColor="text1"/>
                <w:sz w:val="18"/>
                <w:szCs w:val="18"/>
              </w:rPr>
              <w:t>12</w:t>
            </w:r>
            <w:r w:rsidR="00B64005" w:rsidRPr="00ED2E0F">
              <w:rPr>
                <w:color w:val="000000" w:themeColor="text1"/>
                <w:sz w:val="18"/>
                <w:szCs w:val="18"/>
              </w:rPr>
              <w:t>)</w:t>
            </w:r>
            <w:r w:rsidR="006E35E7" w:rsidRPr="00ED2E0F">
              <w:rPr>
                <w:color w:val="000000" w:themeColor="text1"/>
                <w:sz w:val="18"/>
                <w:szCs w:val="18"/>
              </w:rPr>
              <w:t>.</w:t>
            </w:r>
            <w:r w:rsidR="00B64005" w:rsidRPr="00ED2E0F">
              <w:rPr>
                <w:color w:val="000000" w:themeColor="text1"/>
                <w:sz w:val="18"/>
                <w:szCs w:val="18"/>
              </w:rPr>
              <w:t xml:space="preserve"> </w:t>
            </w:r>
          </w:p>
        </w:tc>
        <w:tc>
          <w:tcPr>
            <w:tcW w:w="1109" w:type="dxa"/>
            <w:vAlign w:val="center"/>
          </w:tcPr>
          <w:p w14:paraId="59A5A18E" w14:textId="296B3A1B" w:rsidR="00B64005" w:rsidRPr="00ED2E0F" w:rsidRDefault="00B7309F" w:rsidP="007D7B26">
            <w:pPr>
              <w:spacing w:before="60" w:after="240"/>
              <w:jc w:val="center"/>
              <w:rPr>
                <w:color w:val="000000" w:themeColor="text1"/>
              </w:rPr>
            </w:pPr>
            <w:r w:rsidRPr="00ED2E0F">
              <w:rPr>
                <w:color w:val="000000" w:themeColor="text1"/>
              </w:rPr>
              <w:t>H</w:t>
            </w:r>
          </w:p>
        </w:tc>
        <w:tc>
          <w:tcPr>
            <w:tcW w:w="2319" w:type="dxa"/>
            <w:vMerge w:val="restart"/>
            <w:vAlign w:val="center"/>
          </w:tcPr>
          <w:p w14:paraId="42339775" w14:textId="6838E540" w:rsidR="00B64005" w:rsidRPr="00ED2E0F" w:rsidRDefault="00B7309F" w:rsidP="007D7B26">
            <w:pPr>
              <w:spacing w:before="60" w:after="240"/>
              <w:jc w:val="center"/>
              <w:rPr>
                <w:color w:val="000000" w:themeColor="text1"/>
              </w:rPr>
            </w:pPr>
            <w:r w:rsidRPr="00ED2E0F">
              <w:rPr>
                <w:color w:val="000000" w:themeColor="text1"/>
              </w:rPr>
              <w:t>H</w:t>
            </w:r>
          </w:p>
        </w:tc>
      </w:tr>
      <w:tr w:rsidR="00B64005" w:rsidRPr="00ED2E0F" w14:paraId="07B30245" w14:textId="77777777" w:rsidTr="0086365E">
        <w:tc>
          <w:tcPr>
            <w:tcW w:w="2299" w:type="dxa"/>
          </w:tcPr>
          <w:p w14:paraId="3110F1A0" w14:textId="0DA6D2C6" w:rsidR="00B64005" w:rsidRPr="00ED2E0F" w:rsidRDefault="00A3750C" w:rsidP="007D7B26">
            <w:pPr>
              <w:spacing w:before="60" w:after="240"/>
              <w:rPr>
                <w:color w:val="000000" w:themeColor="text1"/>
                <w:sz w:val="22"/>
                <w:szCs w:val="22"/>
              </w:rPr>
            </w:pPr>
            <w:r w:rsidRPr="00ED2E0F">
              <w:rPr>
                <w:i/>
                <w:iCs/>
                <w:color w:val="000000" w:themeColor="text1"/>
                <w:sz w:val="22"/>
                <w:szCs w:val="22"/>
              </w:rPr>
              <w:t>Means of implementation</w:t>
            </w:r>
            <w:r w:rsidRPr="00ED2E0F">
              <w:rPr>
                <w:color w:val="000000" w:themeColor="text1"/>
                <w:sz w:val="22"/>
                <w:szCs w:val="22"/>
              </w:rPr>
              <w:t xml:space="preserve"> – </w:t>
            </w:r>
            <w:r w:rsidR="00B64005" w:rsidRPr="00ED2E0F">
              <w:rPr>
                <w:color w:val="000000" w:themeColor="text1"/>
                <w:sz w:val="22"/>
                <w:szCs w:val="22"/>
              </w:rPr>
              <w:t>Institution</w:t>
            </w:r>
          </w:p>
        </w:tc>
        <w:tc>
          <w:tcPr>
            <w:tcW w:w="4479" w:type="dxa"/>
          </w:tcPr>
          <w:p w14:paraId="721258DE" w14:textId="651718B6" w:rsidR="00B64005" w:rsidRPr="00ED2E0F" w:rsidRDefault="00B64005" w:rsidP="007D7B26">
            <w:pPr>
              <w:spacing w:before="60" w:after="240"/>
              <w:rPr>
                <w:color w:val="000000" w:themeColor="text1"/>
                <w:sz w:val="18"/>
                <w:szCs w:val="18"/>
              </w:rPr>
            </w:pPr>
            <w:r w:rsidRPr="00ED2E0F">
              <w:rPr>
                <w:color w:val="000000" w:themeColor="text1"/>
                <w:sz w:val="18"/>
                <w:szCs w:val="18"/>
              </w:rPr>
              <w:t xml:space="preserve">The EU </w:t>
            </w:r>
            <w:r w:rsidR="006E35E7" w:rsidRPr="00ED2E0F">
              <w:rPr>
                <w:color w:val="000000" w:themeColor="text1"/>
                <w:sz w:val="18"/>
                <w:szCs w:val="18"/>
              </w:rPr>
              <w:t xml:space="preserve">previously </w:t>
            </w:r>
            <w:r w:rsidRPr="00ED2E0F">
              <w:rPr>
                <w:color w:val="000000" w:themeColor="text1"/>
                <w:sz w:val="18"/>
                <w:szCs w:val="18"/>
              </w:rPr>
              <w:t xml:space="preserve">established the </w:t>
            </w:r>
            <w:r w:rsidR="00575F95" w:rsidRPr="00ED2E0F">
              <w:rPr>
                <w:color w:val="000000" w:themeColor="text1"/>
                <w:sz w:val="18"/>
                <w:szCs w:val="18"/>
              </w:rPr>
              <w:t>EASA</w:t>
            </w:r>
            <w:r w:rsidRPr="00ED2E0F">
              <w:rPr>
                <w:color w:val="000000" w:themeColor="text1"/>
                <w:sz w:val="18"/>
                <w:szCs w:val="18"/>
              </w:rPr>
              <w:t>,</w:t>
            </w:r>
            <w:r w:rsidR="006E35E7" w:rsidRPr="00ED2E0F">
              <w:rPr>
                <w:color w:val="000000" w:themeColor="text1"/>
                <w:sz w:val="18"/>
                <w:szCs w:val="18"/>
              </w:rPr>
              <w:t xml:space="preserve"> </w:t>
            </w:r>
            <w:r w:rsidRPr="00ED2E0F">
              <w:rPr>
                <w:color w:val="000000" w:themeColor="text1"/>
                <w:sz w:val="18"/>
                <w:szCs w:val="18"/>
              </w:rPr>
              <w:t xml:space="preserve">which serves as the central institution also for the present Regulation. </w:t>
            </w:r>
          </w:p>
        </w:tc>
        <w:tc>
          <w:tcPr>
            <w:tcW w:w="1109" w:type="dxa"/>
            <w:vAlign w:val="center"/>
          </w:tcPr>
          <w:p w14:paraId="44E8435F" w14:textId="69BFBC16" w:rsidR="00B64005" w:rsidRPr="00ED2E0F" w:rsidRDefault="00B7309F" w:rsidP="007D7B26">
            <w:pPr>
              <w:spacing w:after="240"/>
              <w:jc w:val="center"/>
              <w:rPr>
                <w:color w:val="000000" w:themeColor="text1"/>
              </w:rPr>
            </w:pPr>
            <w:r w:rsidRPr="00ED2E0F">
              <w:rPr>
                <w:color w:val="000000" w:themeColor="text1"/>
              </w:rPr>
              <w:t>H</w:t>
            </w:r>
          </w:p>
        </w:tc>
        <w:tc>
          <w:tcPr>
            <w:tcW w:w="2319" w:type="dxa"/>
            <w:vMerge/>
            <w:vAlign w:val="center"/>
          </w:tcPr>
          <w:p w14:paraId="1D6D5DC5" w14:textId="77777777" w:rsidR="00B64005" w:rsidRPr="00ED2E0F" w:rsidRDefault="00B64005" w:rsidP="007D7B26">
            <w:pPr>
              <w:spacing w:after="240"/>
              <w:jc w:val="center"/>
              <w:rPr>
                <w:color w:val="000000" w:themeColor="text1"/>
              </w:rPr>
            </w:pPr>
          </w:p>
        </w:tc>
      </w:tr>
      <w:tr w:rsidR="00B64005" w:rsidRPr="00ED2E0F" w14:paraId="520DECC9" w14:textId="77777777" w:rsidTr="0086365E">
        <w:tc>
          <w:tcPr>
            <w:tcW w:w="2299" w:type="dxa"/>
            <w:vAlign w:val="center"/>
          </w:tcPr>
          <w:p w14:paraId="796AD147" w14:textId="77777777" w:rsidR="00B64005" w:rsidRPr="00ED2E0F" w:rsidRDefault="00B64005" w:rsidP="007D7B26">
            <w:pPr>
              <w:spacing w:before="60" w:after="240"/>
              <w:jc w:val="center"/>
              <w:rPr>
                <w:b/>
                <w:bCs/>
                <w:color w:val="000000" w:themeColor="text1"/>
                <w:sz w:val="22"/>
                <w:szCs w:val="22"/>
              </w:rPr>
            </w:pPr>
            <w:r w:rsidRPr="00ED2E0F">
              <w:rPr>
                <w:b/>
                <w:bCs/>
                <w:color w:val="000000" w:themeColor="text1"/>
                <w:sz w:val="22"/>
                <w:szCs w:val="22"/>
              </w:rPr>
              <w:t>Overall hardness</w:t>
            </w:r>
          </w:p>
        </w:tc>
        <w:tc>
          <w:tcPr>
            <w:tcW w:w="4479" w:type="dxa"/>
          </w:tcPr>
          <w:p w14:paraId="11EB8430" w14:textId="339053FE" w:rsidR="00B64005" w:rsidRPr="00ED2E0F" w:rsidRDefault="00B64005" w:rsidP="007D7B26">
            <w:pPr>
              <w:spacing w:before="60" w:after="240"/>
              <w:rPr>
                <w:color w:val="000000" w:themeColor="text1"/>
                <w:sz w:val="18"/>
                <w:szCs w:val="18"/>
              </w:rPr>
            </w:pPr>
            <w:r w:rsidRPr="00ED2E0F">
              <w:rPr>
                <w:color w:val="000000" w:themeColor="text1"/>
                <w:sz w:val="18"/>
                <w:szCs w:val="18"/>
              </w:rPr>
              <w:t xml:space="preserve">The </w:t>
            </w:r>
            <w:proofErr w:type="spellStart"/>
            <w:r w:rsidRPr="00ED2E0F">
              <w:rPr>
                <w:color w:val="000000" w:themeColor="text1"/>
                <w:sz w:val="18"/>
                <w:szCs w:val="18"/>
              </w:rPr>
              <w:t>ReFuelEU</w:t>
            </w:r>
            <w:proofErr w:type="spellEnd"/>
            <w:r w:rsidRPr="00ED2E0F">
              <w:rPr>
                <w:color w:val="000000" w:themeColor="text1"/>
                <w:sz w:val="18"/>
                <w:szCs w:val="18"/>
              </w:rPr>
              <w:t xml:space="preserve"> Regulation is a hard instrument on all accounts</w:t>
            </w:r>
            <w:proofErr w:type="gramStart"/>
            <w:r w:rsidRPr="00ED2E0F">
              <w:rPr>
                <w:color w:val="000000" w:themeColor="text1"/>
                <w:sz w:val="18"/>
                <w:szCs w:val="18"/>
              </w:rPr>
              <w:t xml:space="preserve">.  </w:t>
            </w:r>
            <w:proofErr w:type="gramEnd"/>
            <w:r w:rsidRPr="00ED2E0F">
              <w:rPr>
                <w:color w:val="000000" w:themeColor="text1"/>
                <w:sz w:val="18"/>
                <w:szCs w:val="18"/>
              </w:rPr>
              <w:t xml:space="preserve"> </w:t>
            </w:r>
          </w:p>
        </w:tc>
        <w:tc>
          <w:tcPr>
            <w:tcW w:w="3428" w:type="dxa"/>
            <w:gridSpan w:val="2"/>
            <w:vAlign w:val="center"/>
          </w:tcPr>
          <w:p w14:paraId="133ACE6D" w14:textId="42F31469" w:rsidR="00B64005" w:rsidRPr="00ED2E0F" w:rsidRDefault="00B7309F" w:rsidP="007D7B26">
            <w:pPr>
              <w:keepNext/>
              <w:spacing w:before="60" w:after="240"/>
              <w:jc w:val="center"/>
              <w:rPr>
                <w:color w:val="000000" w:themeColor="text1"/>
              </w:rPr>
            </w:pPr>
            <w:r w:rsidRPr="00ED2E0F">
              <w:rPr>
                <w:b/>
                <w:bCs/>
                <w:color w:val="000000" w:themeColor="text1"/>
              </w:rPr>
              <w:t xml:space="preserve">H </w:t>
            </w:r>
          </w:p>
        </w:tc>
      </w:tr>
      <w:tr w:rsidR="00B64005" w:rsidRPr="00ED2E0F" w14:paraId="234206BD" w14:textId="77777777" w:rsidTr="0086365E">
        <w:tc>
          <w:tcPr>
            <w:tcW w:w="2299" w:type="dxa"/>
            <w:vAlign w:val="center"/>
          </w:tcPr>
          <w:p w14:paraId="7B41B5E7" w14:textId="77777777" w:rsidR="00B64005" w:rsidRPr="00ED2E0F" w:rsidRDefault="00B64005" w:rsidP="007D7B26">
            <w:pPr>
              <w:spacing w:before="60" w:after="240"/>
              <w:jc w:val="center"/>
              <w:rPr>
                <w:color w:val="000000" w:themeColor="text1"/>
                <w:sz w:val="22"/>
                <w:szCs w:val="22"/>
              </w:rPr>
            </w:pPr>
            <w:r w:rsidRPr="00ED2E0F">
              <w:rPr>
                <w:b/>
                <w:bCs/>
                <w:color w:val="000000" w:themeColor="text1"/>
                <w:sz w:val="22"/>
                <w:szCs w:val="22"/>
              </w:rPr>
              <w:t>Ambition</w:t>
            </w:r>
          </w:p>
        </w:tc>
        <w:tc>
          <w:tcPr>
            <w:tcW w:w="4479" w:type="dxa"/>
          </w:tcPr>
          <w:p w14:paraId="22EC6BC9" w14:textId="0262D185" w:rsidR="00B64005" w:rsidRPr="00ED2E0F" w:rsidRDefault="00B64005" w:rsidP="007D7B26">
            <w:pPr>
              <w:spacing w:before="60" w:after="240"/>
              <w:rPr>
                <w:color w:val="000000" w:themeColor="text1"/>
                <w:sz w:val="18"/>
                <w:szCs w:val="18"/>
              </w:rPr>
            </w:pPr>
            <w:r w:rsidRPr="00ED2E0F">
              <w:rPr>
                <w:color w:val="000000" w:themeColor="text1"/>
                <w:sz w:val="18"/>
                <w:szCs w:val="18"/>
              </w:rPr>
              <w:t xml:space="preserve">The </w:t>
            </w:r>
            <w:proofErr w:type="spellStart"/>
            <w:r w:rsidR="2D04A0B9" w:rsidRPr="00ED2E0F">
              <w:rPr>
                <w:color w:val="000000" w:themeColor="text1"/>
                <w:sz w:val="18"/>
                <w:szCs w:val="18"/>
              </w:rPr>
              <w:t>ReFuelEU</w:t>
            </w:r>
            <w:proofErr w:type="spellEnd"/>
            <w:r w:rsidR="2D04A0B9" w:rsidRPr="00ED2E0F">
              <w:rPr>
                <w:color w:val="000000" w:themeColor="text1"/>
                <w:sz w:val="18"/>
                <w:szCs w:val="18"/>
              </w:rPr>
              <w:t xml:space="preserve"> </w:t>
            </w:r>
            <w:r w:rsidRPr="00ED2E0F">
              <w:rPr>
                <w:color w:val="000000" w:themeColor="text1"/>
                <w:sz w:val="18"/>
                <w:szCs w:val="18"/>
              </w:rPr>
              <w:t xml:space="preserve">Regulation has a gradually increasing target to reach </w:t>
            </w:r>
            <w:r w:rsidR="23F60DD2" w:rsidRPr="00ED2E0F">
              <w:rPr>
                <w:color w:val="000000" w:themeColor="text1"/>
                <w:sz w:val="18"/>
                <w:szCs w:val="18"/>
              </w:rPr>
              <w:t xml:space="preserve">mandatory SAF share </w:t>
            </w:r>
            <w:r w:rsidR="0F917B11" w:rsidRPr="00ED2E0F">
              <w:rPr>
                <w:color w:val="000000" w:themeColor="text1"/>
                <w:sz w:val="18"/>
                <w:szCs w:val="18"/>
              </w:rPr>
              <w:t>of 70%</w:t>
            </w:r>
            <w:r w:rsidRPr="00ED2E0F">
              <w:rPr>
                <w:color w:val="000000" w:themeColor="text1"/>
                <w:sz w:val="18"/>
                <w:szCs w:val="18"/>
              </w:rPr>
              <w:t xml:space="preserve"> by 2050. Considering the barely existing share of SAF in use at the time of enactment of the proposed Regulation, its uptake, as well as the inclusion of synthetic fuels, can be considered quite ambitious</w:t>
            </w:r>
            <w:proofErr w:type="gramStart"/>
            <w:r w:rsidRPr="00ED2E0F">
              <w:rPr>
                <w:color w:val="000000" w:themeColor="text1"/>
                <w:sz w:val="18"/>
                <w:szCs w:val="18"/>
              </w:rPr>
              <w:t xml:space="preserve">.  </w:t>
            </w:r>
            <w:proofErr w:type="gramEnd"/>
            <w:r w:rsidR="007D5B6B" w:rsidRPr="00ED2E0F">
              <w:rPr>
                <w:color w:val="000000" w:themeColor="text1"/>
                <w:sz w:val="18"/>
                <w:szCs w:val="18"/>
              </w:rPr>
              <w:t xml:space="preserve">This translates to a </w:t>
            </w:r>
            <w:r w:rsidR="00D35183" w:rsidRPr="00ED2E0F">
              <w:rPr>
                <w:color w:val="000000" w:themeColor="text1"/>
                <w:sz w:val="18"/>
                <w:szCs w:val="18"/>
              </w:rPr>
              <w:t>moderate-to-</w:t>
            </w:r>
            <w:proofErr w:type="gramStart"/>
            <w:r w:rsidR="007D5B6B" w:rsidRPr="00ED2E0F">
              <w:rPr>
                <w:color w:val="000000" w:themeColor="text1"/>
                <w:sz w:val="18"/>
                <w:szCs w:val="18"/>
              </w:rPr>
              <w:t>high level</w:t>
            </w:r>
            <w:proofErr w:type="gramEnd"/>
            <w:r w:rsidR="007D5B6B" w:rsidRPr="00ED2E0F">
              <w:rPr>
                <w:color w:val="000000" w:themeColor="text1"/>
                <w:sz w:val="18"/>
                <w:szCs w:val="18"/>
              </w:rPr>
              <w:t xml:space="preserve"> of ambition. </w:t>
            </w:r>
          </w:p>
        </w:tc>
        <w:tc>
          <w:tcPr>
            <w:tcW w:w="3428" w:type="dxa"/>
            <w:gridSpan w:val="2"/>
            <w:vAlign w:val="center"/>
          </w:tcPr>
          <w:p w14:paraId="62EFC413" w14:textId="2C1F71B0" w:rsidR="00B64005" w:rsidRPr="00ED2E0F" w:rsidRDefault="00C663D0" w:rsidP="007D7B26">
            <w:pPr>
              <w:keepNext/>
              <w:spacing w:before="60" w:after="240"/>
              <w:jc w:val="center"/>
              <w:rPr>
                <w:b/>
                <w:bCs/>
                <w:color w:val="000000" w:themeColor="text1"/>
              </w:rPr>
            </w:pPr>
            <w:r w:rsidRPr="00ED2E0F">
              <w:rPr>
                <w:b/>
                <w:bCs/>
                <w:color w:val="000000" w:themeColor="text1"/>
              </w:rPr>
              <w:t>M-</w:t>
            </w:r>
            <w:r w:rsidR="00B7309F" w:rsidRPr="00ED2E0F">
              <w:rPr>
                <w:b/>
                <w:bCs/>
                <w:color w:val="000000" w:themeColor="text1"/>
              </w:rPr>
              <w:t>H</w:t>
            </w:r>
          </w:p>
        </w:tc>
      </w:tr>
    </w:tbl>
    <w:p w14:paraId="37094179" w14:textId="578175A6" w:rsidR="00B64005" w:rsidRPr="00ED2E0F" w:rsidRDefault="005B4C4E" w:rsidP="0086365E">
      <w:pPr>
        <w:pStyle w:val="Caption"/>
        <w:keepNext/>
        <w:spacing w:before="120" w:after="240" w:line="240" w:lineRule="auto"/>
        <w:ind w:left="-450"/>
        <w:rPr>
          <w:color w:val="000000" w:themeColor="text1"/>
          <w:sz w:val="22"/>
          <w:szCs w:val="22"/>
          <w:lang w:val="en-US"/>
        </w:rPr>
      </w:pPr>
      <w:r w:rsidRPr="00ED2E0F">
        <w:rPr>
          <w:b/>
          <w:bCs/>
          <w:color w:val="000000" w:themeColor="text1"/>
          <w:sz w:val="22"/>
          <w:szCs w:val="22"/>
          <w:lang w:val="en-US"/>
        </w:rPr>
        <w:t xml:space="preserve">Annex </w:t>
      </w:r>
      <w:r w:rsidR="00B64005" w:rsidRPr="00ED2E0F">
        <w:rPr>
          <w:b/>
          <w:bCs/>
          <w:color w:val="000000" w:themeColor="text1"/>
          <w:sz w:val="22"/>
          <w:szCs w:val="22"/>
          <w:lang w:val="en-US"/>
        </w:rPr>
        <w:t>3</w:t>
      </w:r>
      <w:r w:rsidR="00B64005" w:rsidRPr="00ED2E0F">
        <w:rPr>
          <w:color w:val="000000" w:themeColor="text1"/>
          <w:sz w:val="22"/>
          <w:szCs w:val="22"/>
          <w:lang w:val="en-US"/>
        </w:rPr>
        <w:t xml:space="preserve"> </w:t>
      </w:r>
      <w:r w:rsidR="006D1CC9">
        <w:rPr>
          <w:color w:val="000000" w:themeColor="text1"/>
          <w:sz w:val="22"/>
          <w:szCs w:val="22"/>
          <w:lang w:val="en-US"/>
        </w:rPr>
        <w:t xml:space="preserve"> </w:t>
      </w:r>
      <w:r w:rsidR="00B64005" w:rsidRPr="00ED2E0F">
        <w:rPr>
          <w:color w:val="000000" w:themeColor="text1"/>
          <w:sz w:val="22"/>
          <w:szCs w:val="22"/>
          <w:lang w:val="en-US"/>
        </w:rPr>
        <w:t xml:space="preserve">The </w:t>
      </w:r>
      <w:r w:rsidR="006D1CC9">
        <w:rPr>
          <w:color w:val="000000" w:themeColor="text1"/>
          <w:sz w:val="22"/>
          <w:szCs w:val="22"/>
          <w:lang w:val="en-US"/>
        </w:rPr>
        <w:t>H</w:t>
      </w:r>
      <w:r w:rsidR="006D1CC9" w:rsidRPr="00ED2E0F">
        <w:rPr>
          <w:color w:val="000000" w:themeColor="text1"/>
          <w:sz w:val="22"/>
          <w:szCs w:val="22"/>
          <w:lang w:val="en-US"/>
        </w:rPr>
        <w:t xml:space="preserve">ardness </w:t>
      </w:r>
      <w:r w:rsidR="00B64005" w:rsidRPr="00ED2E0F">
        <w:rPr>
          <w:color w:val="000000" w:themeColor="text1"/>
          <w:sz w:val="22"/>
          <w:szCs w:val="22"/>
          <w:lang w:val="en-US"/>
        </w:rPr>
        <w:t xml:space="preserve">of </w:t>
      </w:r>
      <w:r w:rsidR="006D1CC9">
        <w:rPr>
          <w:color w:val="000000" w:themeColor="text1"/>
          <w:sz w:val="22"/>
          <w:szCs w:val="22"/>
          <w:lang w:val="en-US"/>
        </w:rPr>
        <w:t xml:space="preserve">the </w:t>
      </w:r>
      <w:proofErr w:type="spellStart"/>
      <w:r w:rsidR="6BCA8594" w:rsidRPr="00ED2E0F">
        <w:rPr>
          <w:color w:val="000000" w:themeColor="text1"/>
          <w:sz w:val="22"/>
          <w:szCs w:val="22"/>
          <w:lang w:val="en-US"/>
        </w:rPr>
        <w:t>ReFuelEU</w:t>
      </w:r>
      <w:proofErr w:type="spellEnd"/>
      <w:r w:rsidR="0057013E" w:rsidRPr="00ED2E0F">
        <w:rPr>
          <w:color w:val="000000" w:themeColor="text1"/>
          <w:sz w:val="22"/>
          <w:szCs w:val="22"/>
          <w:lang w:val="en-US"/>
        </w:rPr>
        <w:t xml:space="preserve"> </w:t>
      </w:r>
      <w:r w:rsidR="00B64005" w:rsidRPr="00ED2E0F">
        <w:rPr>
          <w:color w:val="000000" w:themeColor="text1"/>
          <w:sz w:val="22"/>
          <w:szCs w:val="22"/>
          <w:lang w:val="en-US"/>
        </w:rPr>
        <w:t>Regulation</w:t>
      </w:r>
      <w:r w:rsidR="00727AC1" w:rsidRPr="00ED2E0F">
        <w:rPr>
          <w:rStyle w:val="FootnoteReference"/>
          <w:color w:val="000000" w:themeColor="text1"/>
          <w:sz w:val="22"/>
          <w:szCs w:val="22"/>
          <w:lang w:val="en-US"/>
        </w:rPr>
        <w:footnoteReference w:id="9"/>
      </w:r>
      <w:r w:rsidR="00B64005" w:rsidRPr="00ED2E0F">
        <w:rPr>
          <w:color w:val="000000" w:themeColor="text1"/>
          <w:sz w:val="22"/>
          <w:szCs w:val="22"/>
          <w:lang w:val="en-US"/>
        </w:rPr>
        <w:t xml:space="preserve"> </w:t>
      </w:r>
      <w:r w:rsidR="008D07DC" w:rsidRPr="00ED2E0F">
        <w:rPr>
          <w:color w:val="000000" w:themeColor="text1"/>
          <w:sz w:val="22"/>
          <w:szCs w:val="22"/>
          <w:lang w:val="en-US"/>
        </w:rPr>
        <w:t xml:space="preserve">in </w:t>
      </w:r>
      <w:r w:rsidR="006D1CC9">
        <w:rPr>
          <w:color w:val="000000" w:themeColor="text1"/>
          <w:sz w:val="22"/>
          <w:szCs w:val="22"/>
          <w:lang w:val="en-US"/>
        </w:rPr>
        <w:t>G</w:t>
      </w:r>
      <w:r w:rsidR="006D1CC9" w:rsidRPr="00ED2E0F">
        <w:rPr>
          <w:color w:val="000000" w:themeColor="text1"/>
          <w:sz w:val="22"/>
          <w:szCs w:val="22"/>
          <w:lang w:val="en-US"/>
        </w:rPr>
        <w:t xml:space="preserve">overning </w:t>
      </w:r>
      <w:r w:rsidR="008D07DC" w:rsidRPr="00ED2E0F">
        <w:rPr>
          <w:color w:val="000000" w:themeColor="text1"/>
          <w:sz w:val="22"/>
          <w:szCs w:val="22"/>
          <w:lang w:val="en-US"/>
        </w:rPr>
        <w:t>SAF</w:t>
      </w:r>
    </w:p>
    <w:p w14:paraId="75DF034A" w14:textId="20F2BA38" w:rsidR="00A0798C" w:rsidRDefault="001C0ED3" w:rsidP="0086365E">
      <w:pPr>
        <w:spacing w:after="240"/>
      </w:pPr>
      <w:r w:rsidRPr="00ED2E0F">
        <w:t xml:space="preserve">* </w:t>
      </w:r>
      <w:r w:rsidRPr="00ED2E0F">
        <w:rPr>
          <w:b/>
          <w:bCs/>
        </w:rPr>
        <w:t>Scale</w:t>
      </w:r>
      <w:r w:rsidRPr="00ED2E0F">
        <w:t>: Low (L), Medium (M), High (H)</w:t>
      </w:r>
    </w:p>
    <w:sectPr w:rsidR="00A0798C">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FBB8D" w14:textId="77777777" w:rsidR="00D04082" w:rsidRDefault="00D04082">
      <w:r>
        <w:separator/>
      </w:r>
    </w:p>
  </w:endnote>
  <w:endnote w:type="continuationSeparator" w:id="0">
    <w:p w14:paraId="2D391D7F" w14:textId="77777777" w:rsidR="00D04082" w:rsidRDefault="00D04082">
      <w:r>
        <w:continuationSeparator/>
      </w:r>
    </w:p>
  </w:endnote>
  <w:endnote w:type="continuationNotice" w:id="1">
    <w:p w14:paraId="7C8297A0" w14:textId="77777777" w:rsidR="00D04082" w:rsidRDefault="00D04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1039630"/>
      <w:docPartObj>
        <w:docPartGallery w:val="Page Numbers (Bottom of Page)"/>
        <w:docPartUnique/>
      </w:docPartObj>
    </w:sdtPr>
    <w:sdtContent>
      <w:p w14:paraId="0B8EBB71" w14:textId="77777777" w:rsidR="006449AC" w:rsidRDefault="00217F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B98E3A" w14:textId="77777777" w:rsidR="006449AC" w:rsidRDefault="00644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7796311"/>
      <w:docPartObj>
        <w:docPartGallery w:val="Page Numbers (Bottom of Page)"/>
        <w:docPartUnique/>
      </w:docPartObj>
    </w:sdtPr>
    <w:sdtContent>
      <w:p w14:paraId="4F9747D4" w14:textId="77777777" w:rsidR="006449AC" w:rsidRDefault="00217F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9AB820E" w14:textId="77777777" w:rsidR="006449AC" w:rsidRDefault="00644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33A72" w14:textId="77777777" w:rsidR="00D04082" w:rsidRDefault="00D04082">
      <w:r>
        <w:separator/>
      </w:r>
    </w:p>
  </w:footnote>
  <w:footnote w:type="continuationSeparator" w:id="0">
    <w:p w14:paraId="1FACCF26" w14:textId="77777777" w:rsidR="00D04082" w:rsidRDefault="00D04082">
      <w:r>
        <w:continuationSeparator/>
      </w:r>
    </w:p>
  </w:footnote>
  <w:footnote w:type="continuationNotice" w:id="1">
    <w:p w14:paraId="134B110B" w14:textId="77777777" w:rsidR="00D04082" w:rsidRDefault="00D04082"/>
  </w:footnote>
  <w:footnote w:id="2">
    <w:p w14:paraId="61458FA4" w14:textId="293CF155" w:rsidR="003A1F0A" w:rsidRDefault="003A1F0A">
      <w:pPr>
        <w:pStyle w:val="FootnoteText"/>
      </w:pPr>
      <w:r>
        <w:rPr>
          <w:rStyle w:val="FootnoteReference"/>
        </w:rPr>
        <w:footnoteRef/>
      </w:r>
      <w:r>
        <w:t xml:space="preserve"> </w:t>
      </w:r>
      <w:r w:rsidR="00932B7F">
        <w:rPr>
          <w:color w:val="000000" w:themeColor="text1"/>
          <w:lang w:val="en-GB"/>
        </w:rPr>
        <w:t>ICAO Assembly Resolution A40-19 (2019).</w:t>
      </w:r>
    </w:p>
  </w:footnote>
  <w:footnote w:id="3">
    <w:p w14:paraId="1FEDFF25" w14:textId="77777777" w:rsidR="00087CC7" w:rsidRPr="00191182" w:rsidRDefault="00087CC7" w:rsidP="00087CC7">
      <w:pPr>
        <w:pStyle w:val="FootnoteText"/>
        <w:rPr>
          <w:iCs/>
        </w:rPr>
      </w:pPr>
      <w:r>
        <w:rPr>
          <w:rStyle w:val="FootnoteReference"/>
        </w:rPr>
        <w:footnoteRef/>
      </w:r>
      <w:r>
        <w:t xml:space="preserve"> </w:t>
      </w:r>
      <w:r w:rsidRPr="00BA5C3E">
        <w:rPr>
          <w:color w:val="000000" w:themeColor="text1"/>
          <w:lang w:val="en-GB"/>
        </w:rPr>
        <w:t xml:space="preserve">ICAO, </w:t>
      </w:r>
      <w:r w:rsidRPr="00465F8F">
        <w:rPr>
          <w:i/>
          <w:color w:val="000000" w:themeColor="text1"/>
          <w:shd w:val="clear" w:color="auto" w:fill="FFFFFF"/>
          <w:lang w:val="en-GB"/>
        </w:rPr>
        <w:t xml:space="preserve">Annex 16 </w:t>
      </w:r>
      <w:r w:rsidRPr="00BA5C3E">
        <w:rPr>
          <w:i/>
          <w:color w:val="000000" w:themeColor="text1"/>
          <w:shd w:val="clear" w:color="auto" w:fill="FFFFFF"/>
          <w:lang w:val="en-GB"/>
        </w:rPr>
        <w:t>to the Convention on International Civil Aviation:</w:t>
      </w:r>
      <w:r w:rsidRPr="00465F8F">
        <w:rPr>
          <w:i/>
          <w:color w:val="000000" w:themeColor="text1"/>
          <w:shd w:val="clear" w:color="auto" w:fill="FFFFFF"/>
          <w:lang w:val="en-GB"/>
        </w:rPr>
        <w:t xml:space="preserve"> Environmental Protection</w:t>
      </w:r>
      <w:r w:rsidRPr="006D1CC9">
        <w:rPr>
          <w:iCs/>
          <w:color w:val="000000" w:themeColor="text1"/>
          <w:shd w:val="clear" w:color="auto" w:fill="FFFFFF"/>
          <w:lang w:val="en-GB"/>
        </w:rPr>
        <w:t>,</w:t>
      </w:r>
      <w:r w:rsidRPr="00465F8F">
        <w:rPr>
          <w:i/>
          <w:color w:val="000000" w:themeColor="text1"/>
          <w:shd w:val="clear" w:color="auto" w:fill="FFFFFF"/>
          <w:lang w:val="en-GB"/>
        </w:rPr>
        <w:t xml:space="preserve"> </w:t>
      </w:r>
      <w:r w:rsidRPr="00BA5C3E">
        <w:rPr>
          <w:iCs/>
          <w:color w:val="000000" w:themeColor="text1"/>
          <w:shd w:val="clear" w:color="auto" w:fill="FFFFFF"/>
          <w:lang w:val="en-GB"/>
        </w:rPr>
        <w:t>Vol. IV (2023)</w:t>
      </w:r>
      <w:r w:rsidRPr="00465F8F">
        <w:rPr>
          <w:i/>
          <w:color w:val="000000" w:themeColor="text1"/>
          <w:shd w:val="clear" w:color="auto" w:fill="FFFFFF"/>
          <w:lang w:val="en-GB"/>
        </w:rPr>
        <w:t>,</w:t>
      </w:r>
      <w:r>
        <w:rPr>
          <w:i/>
          <w:color w:val="000000" w:themeColor="text1"/>
          <w:shd w:val="clear" w:color="auto" w:fill="FFFFFF"/>
          <w:lang w:val="en-GB"/>
        </w:rPr>
        <w:t xml:space="preserve"> </w:t>
      </w:r>
      <w:r>
        <w:rPr>
          <w:iCs/>
          <w:color w:val="000000" w:themeColor="text1"/>
          <w:shd w:val="clear" w:color="auto" w:fill="FFFFFF"/>
          <w:lang w:val="en-GB"/>
        </w:rPr>
        <w:t>para. 2.1.</w:t>
      </w:r>
    </w:p>
  </w:footnote>
  <w:footnote w:id="4">
    <w:p w14:paraId="7DF2628A" w14:textId="27376BC9" w:rsidR="00F849C7" w:rsidRDefault="00F849C7">
      <w:pPr>
        <w:pStyle w:val="FootnoteText"/>
      </w:pPr>
      <w:r w:rsidRPr="00E95DBC">
        <w:rPr>
          <w:rStyle w:val="FootnoteReference"/>
        </w:rPr>
        <w:footnoteRef/>
      </w:r>
      <w:r w:rsidRPr="00E95DBC">
        <w:t xml:space="preserve"> EU-</w:t>
      </w:r>
      <w:proofErr w:type="spellStart"/>
      <w:r w:rsidRPr="00E95DBC">
        <w:t>Mercorsur</w:t>
      </w:r>
      <w:proofErr w:type="spellEnd"/>
      <w:r w:rsidRPr="00E95DBC">
        <w:t xml:space="preserve"> Trade Agreement, </w:t>
      </w:r>
      <w:r w:rsidR="006D1CC9">
        <w:t>A</w:t>
      </w:r>
      <w:r w:rsidR="006D1CC9" w:rsidRPr="00E95DBC">
        <w:t xml:space="preserve">greement </w:t>
      </w:r>
      <w:r w:rsidRPr="00E95DBC">
        <w:t xml:space="preserve">in </w:t>
      </w:r>
      <w:r w:rsidR="006D1CC9">
        <w:t>P</w:t>
      </w:r>
      <w:r w:rsidR="006D1CC9" w:rsidRPr="00E95DBC">
        <w:t>rinciple</w:t>
      </w:r>
      <w:r w:rsidRPr="00E95DBC">
        <w:t xml:space="preserve">, Brussels (Belgium), 1 July 2019, </w:t>
      </w:r>
      <w:r w:rsidR="00E07A9E" w:rsidRPr="00E95DBC">
        <w:t xml:space="preserve">TSD Chapter, </w:t>
      </w:r>
      <w:r w:rsidRPr="00E95DBC">
        <w:t xml:space="preserve">available at: </w:t>
      </w:r>
      <w:hyperlink r:id="rId1" w:history="1">
        <w:r w:rsidRPr="00E95DBC">
          <w:rPr>
            <w:rStyle w:val="Hyperlink"/>
          </w:rPr>
          <w:t>https://policy.trade.ec.europa.eu/eu-trade-relationships-country-and-region/countries-and-regions/mercosur/eu-mercosur-agreement/text-agreement_en</w:t>
        </w:r>
      </w:hyperlink>
      <w:r w:rsidRPr="00E95DBC">
        <w:t>.</w:t>
      </w:r>
    </w:p>
  </w:footnote>
  <w:footnote w:id="5">
    <w:p w14:paraId="19D199ED" w14:textId="6DD19123" w:rsidR="003001D7" w:rsidRPr="00E95DBC" w:rsidRDefault="003001D7">
      <w:pPr>
        <w:pStyle w:val="FootnoteText"/>
      </w:pPr>
      <w:r w:rsidRPr="00E95DBC">
        <w:rPr>
          <w:rStyle w:val="FootnoteReference"/>
        </w:rPr>
        <w:footnoteRef/>
      </w:r>
      <w:r w:rsidRPr="00E95DBC">
        <w:t xml:space="preserve"> </w:t>
      </w:r>
      <w:r w:rsidR="00D867AC" w:rsidRPr="00E95DBC">
        <w:t>Rio de Janeiro (Brazil), 9 May 1992, in force 21 Mar. 1994, available at: https://unfccc.int/resource/docs/convkp/conveng.pdf</w:t>
      </w:r>
    </w:p>
  </w:footnote>
  <w:footnote w:id="6">
    <w:p w14:paraId="24206E32" w14:textId="48F09BB8" w:rsidR="003001D7" w:rsidRPr="00E95DBC" w:rsidRDefault="003001D7">
      <w:pPr>
        <w:pStyle w:val="FootnoteText"/>
      </w:pPr>
      <w:r w:rsidRPr="00E95DBC">
        <w:rPr>
          <w:rStyle w:val="FootnoteReference"/>
        </w:rPr>
        <w:footnoteRef/>
      </w:r>
      <w:r w:rsidRPr="00E95DBC">
        <w:t xml:space="preserve"> </w:t>
      </w:r>
      <w:r w:rsidR="00DB4695" w:rsidRPr="00E95DBC">
        <w:rPr>
          <w:color w:val="000000" w:themeColor="text1"/>
          <w:shd w:val="clear" w:color="auto" w:fill="FFFFFF"/>
          <w:lang w:val="en-GB"/>
        </w:rPr>
        <w:t xml:space="preserve">Paris (France), 12 Dec. 2015, in force 4 Nov. 2016, available at: </w:t>
      </w:r>
      <w:hyperlink r:id="rId2" w:history="1">
        <w:r w:rsidR="00DB4695" w:rsidRPr="00E95DBC">
          <w:rPr>
            <w:rStyle w:val="Hyperlink"/>
            <w:shd w:val="clear" w:color="auto" w:fill="FFFFFF"/>
            <w:lang w:val="en-GB"/>
          </w:rPr>
          <w:t>https://unfccc.int/sites/default/files/english_paris_agreement.pdf</w:t>
        </w:r>
      </w:hyperlink>
      <w:r w:rsidR="006D1CC9" w:rsidRPr="006D1CC9">
        <w:rPr>
          <w:rStyle w:val="Hyperlink"/>
          <w:u w:val="none"/>
          <w:shd w:val="clear" w:color="auto" w:fill="FFFFFF"/>
          <w:lang w:val="en-GB"/>
        </w:rPr>
        <w:t>.</w:t>
      </w:r>
    </w:p>
  </w:footnote>
  <w:footnote w:id="7">
    <w:p w14:paraId="21302D67" w14:textId="4DCB6594" w:rsidR="003001D7" w:rsidRPr="00E95DBC" w:rsidRDefault="003001D7">
      <w:pPr>
        <w:pStyle w:val="FootnoteText"/>
      </w:pPr>
      <w:r w:rsidRPr="00E95DBC">
        <w:rPr>
          <w:rStyle w:val="FootnoteReference"/>
        </w:rPr>
        <w:footnoteRef/>
      </w:r>
      <w:r w:rsidRPr="00E95DBC">
        <w:t xml:space="preserve"> </w:t>
      </w:r>
      <w:r w:rsidR="00E446FA" w:rsidRPr="00E95DBC">
        <w:t>Rio de Janeiro (Brazil),</w:t>
      </w:r>
      <w:r w:rsidR="00E446FA" w:rsidRPr="00E95DBC">
        <w:rPr>
          <w:color w:val="333333"/>
          <w:shd w:val="clear" w:color="auto" w:fill="FFFFFF"/>
        </w:rPr>
        <w:t xml:space="preserve"> 5 June 1992, in force 29 Dec. 1993, available at:</w:t>
      </w:r>
      <w:r w:rsidR="00E446FA" w:rsidRPr="00E95DBC">
        <w:rPr>
          <w:rStyle w:val="apple-converted-space"/>
          <w:color w:val="333333"/>
          <w:shd w:val="clear" w:color="auto" w:fill="FFFFFF"/>
        </w:rPr>
        <w:t> </w:t>
      </w:r>
      <w:hyperlink r:id="rId3" w:history="1">
        <w:r w:rsidR="00E446FA" w:rsidRPr="00E95DBC">
          <w:rPr>
            <w:rStyle w:val="Hyperlink"/>
            <w:color w:val="333333"/>
            <w:bdr w:val="none" w:sz="0" w:space="0" w:color="auto" w:frame="1"/>
          </w:rPr>
          <w:t>http://www.cbd.int/convention</w:t>
        </w:r>
      </w:hyperlink>
      <w:r w:rsidR="00E446FA" w:rsidRPr="00E95DBC">
        <w:rPr>
          <w:color w:val="333333"/>
          <w:shd w:val="clear" w:color="auto" w:fill="FFFFFF"/>
        </w:rPr>
        <w:t>.</w:t>
      </w:r>
      <w:r w:rsidR="00E446FA" w:rsidRPr="00E95DBC">
        <w:t xml:space="preserve"> </w:t>
      </w:r>
    </w:p>
  </w:footnote>
  <w:footnote w:id="8">
    <w:p w14:paraId="66142BC7" w14:textId="62CD2C66" w:rsidR="003001D7" w:rsidRPr="00967D17" w:rsidRDefault="003001D7">
      <w:pPr>
        <w:pStyle w:val="FootnoteText"/>
      </w:pPr>
      <w:r w:rsidRPr="00E95DBC">
        <w:rPr>
          <w:rStyle w:val="FootnoteReference"/>
        </w:rPr>
        <w:footnoteRef/>
      </w:r>
      <w:r w:rsidR="00967D17" w:rsidRPr="00E95DBC">
        <w:t xml:space="preserve"> </w:t>
      </w:r>
      <w:r w:rsidR="00967D17" w:rsidRPr="00E95DBC">
        <w:rPr>
          <w:color w:val="333333"/>
          <w:shd w:val="clear" w:color="auto" w:fill="FFFFFF"/>
        </w:rPr>
        <w:t>Geneva (Switzerland), 3 Mar. 1973, in force 1 July 1975, available at:</w:t>
      </w:r>
      <w:r w:rsidR="00967D17" w:rsidRPr="00E95DBC">
        <w:rPr>
          <w:rStyle w:val="apple-converted-space"/>
          <w:color w:val="333333"/>
          <w:shd w:val="clear" w:color="auto" w:fill="FFFFFF"/>
        </w:rPr>
        <w:t> </w:t>
      </w:r>
      <w:hyperlink r:id="rId4" w:history="1">
        <w:r w:rsidR="00967D17" w:rsidRPr="00E95DBC">
          <w:rPr>
            <w:rStyle w:val="Hyperlink"/>
            <w:color w:val="333333"/>
            <w:bdr w:val="none" w:sz="0" w:space="0" w:color="auto" w:frame="1"/>
          </w:rPr>
          <w:t>https://www.cites.org/eng/disc/text.php</w:t>
        </w:r>
      </w:hyperlink>
      <w:r w:rsidR="00967D17" w:rsidRPr="00E95DBC">
        <w:t>.</w:t>
      </w:r>
    </w:p>
  </w:footnote>
  <w:footnote w:id="9">
    <w:p w14:paraId="28383F41" w14:textId="142EB698" w:rsidR="00727AC1" w:rsidRDefault="00727AC1">
      <w:pPr>
        <w:pStyle w:val="FootnoteText"/>
      </w:pPr>
      <w:r w:rsidRPr="00CB5245">
        <w:rPr>
          <w:rStyle w:val="FootnoteReference"/>
        </w:rPr>
        <w:footnoteRef/>
      </w:r>
      <w:r w:rsidRPr="00CB5245">
        <w:t xml:space="preserve"> </w:t>
      </w:r>
      <w:r w:rsidR="00E303FD" w:rsidRPr="00CB5245">
        <w:rPr>
          <w:rStyle w:val="CommentReference"/>
          <w:sz w:val="20"/>
          <w:szCs w:val="20"/>
        </w:rPr>
        <w:t>Regulation (EU) 2023/2405 on Ensuring a Level Playing Field for Sustainable Air Transport [2023] OJ L 2023/2405</w:t>
      </w:r>
      <w:r w:rsidR="006D1CC9">
        <w:rPr>
          <w:rStyle w:val="CommentReference"/>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05"/>
    <w:rsid w:val="00042AE5"/>
    <w:rsid w:val="00047E58"/>
    <w:rsid w:val="000546D9"/>
    <w:rsid w:val="00056CA9"/>
    <w:rsid w:val="00071583"/>
    <w:rsid w:val="00087CC7"/>
    <w:rsid w:val="000A02C4"/>
    <w:rsid w:val="000A5837"/>
    <w:rsid w:val="000C0ED0"/>
    <w:rsid w:val="000D2FAC"/>
    <w:rsid w:val="00117DB5"/>
    <w:rsid w:val="00123703"/>
    <w:rsid w:val="00127C04"/>
    <w:rsid w:val="00145E49"/>
    <w:rsid w:val="001523E6"/>
    <w:rsid w:val="0017120D"/>
    <w:rsid w:val="00172302"/>
    <w:rsid w:val="00191182"/>
    <w:rsid w:val="001A0462"/>
    <w:rsid w:val="001A6262"/>
    <w:rsid w:val="001C0ED3"/>
    <w:rsid w:val="001D6E08"/>
    <w:rsid w:val="00204396"/>
    <w:rsid w:val="00214E5F"/>
    <w:rsid w:val="00217F4A"/>
    <w:rsid w:val="00222478"/>
    <w:rsid w:val="0026004C"/>
    <w:rsid w:val="00275176"/>
    <w:rsid w:val="00290E9F"/>
    <w:rsid w:val="002B55DA"/>
    <w:rsid w:val="002C632F"/>
    <w:rsid w:val="002D6EF9"/>
    <w:rsid w:val="002E1DF1"/>
    <w:rsid w:val="002E42A8"/>
    <w:rsid w:val="002F5C6D"/>
    <w:rsid w:val="003001D7"/>
    <w:rsid w:val="00330AAF"/>
    <w:rsid w:val="00335DCF"/>
    <w:rsid w:val="00363C8D"/>
    <w:rsid w:val="003A1F0A"/>
    <w:rsid w:val="003A6A01"/>
    <w:rsid w:val="003B26DD"/>
    <w:rsid w:val="003E163C"/>
    <w:rsid w:val="003E37AE"/>
    <w:rsid w:val="00401499"/>
    <w:rsid w:val="00402CA9"/>
    <w:rsid w:val="0041383B"/>
    <w:rsid w:val="00422971"/>
    <w:rsid w:val="00422FA6"/>
    <w:rsid w:val="004334F9"/>
    <w:rsid w:val="00436061"/>
    <w:rsid w:val="004525FC"/>
    <w:rsid w:val="004539B9"/>
    <w:rsid w:val="00455027"/>
    <w:rsid w:val="00461F95"/>
    <w:rsid w:val="00472035"/>
    <w:rsid w:val="004720B9"/>
    <w:rsid w:val="00474C69"/>
    <w:rsid w:val="0048349F"/>
    <w:rsid w:val="004B29D6"/>
    <w:rsid w:val="004C28B8"/>
    <w:rsid w:val="004C2E0B"/>
    <w:rsid w:val="004C50E1"/>
    <w:rsid w:val="004D7614"/>
    <w:rsid w:val="004E0522"/>
    <w:rsid w:val="004E2599"/>
    <w:rsid w:val="004E73D4"/>
    <w:rsid w:val="00505F94"/>
    <w:rsid w:val="00507533"/>
    <w:rsid w:val="00512D32"/>
    <w:rsid w:val="00520997"/>
    <w:rsid w:val="00522641"/>
    <w:rsid w:val="0053344E"/>
    <w:rsid w:val="00536B35"/>
    <w:rsid w:val="00540951"/>
    <w:rsid w:val="00560BA3"/>
    <w:rsid w:val="0057013E"/>
    <w:rsid w:val="00575F95"/>
    <w:rsid w:val="00582F12"/>
    <w:rsid w:val="005954C8"/>
    <w:rsid w:val="005A3A6E"/>
    <w:rsid w:val="005B2414"/>
    <w:rsid w:val="005B3980"/>
    <w:rsid w:val="005B465D"/>
    <w:rsid w:val="005B4C4E"/>
    <w:rsid w:val="005D7B04"/>
    <w:rsid w:val="0060757D"/>
    <w:rsid w:val="00614553"/>
    <w:rsid w:val="006449AC"/>
    <w:rsid w:val="00645047"/>
    <w:rsid w:val="00645FEE"/>
    <w:rsid w:val="0064743D"/>
    <w:rsid w:val="00677ADB"/>
    <w:rsid w:val="006827BE"/>
    <w:rsid w:val="006925DC"/>
    <w:rsid w:val="006B12C3"/>
    <w:rsid w:val="006C1B0F"/>
    <w:rsid w:val="006D1CC9"/>
    <w:rsid w:val="006E0108"/>
    <w:rsid w:val="006E04CA"/>
    <w:rsid w:val="006E24BA"/>
    <w:rsid w:val="006E35E7"/>
    <w:rsid w:val="00707268"/>
    <w:rsid w:val="0071072E"/>
    <w:rsid w:val="007132AB"/>
    <w:rsid w:val="007167D1"/>
    <w:rsid w:val="007236CA"/>
    <w:rsid w:val="00727AC1"/>
    <w:rsid w:val="00732373"/>
    <w:rsid w:val="007331DB"/>
    <w:rsid w:val="00742E47"/>
    <w:rsid w:val="007467BB"/>
    <w:rsid w:val="00753706"/>
    <w:rsid w:val="00757101"/>
    <w:rsid w:val="007729C8"/>
    <w:rsid w:val="0077684E"/>
    <w:rsid w:val="00795339"/>
    <w:rsid w:val="007A25B8"/>
    <w:rsid w:val="007A635B"/>
    <w:rsid w:val="007D5B6B"/>
    <w:rsid w:val="007D6DAF"/>
    <w:rsid w:val="007D7B26"/>
    <w:rsid w:val="007E19D4"/>
    <w:rsid w:val="00805A16"/>
    <w:rsid w:val="008106AD"/>
    <w:rsid w:val="008168C2"/>
    <w:rsid w:val="008175E7"/>
    <w:rsid w:val="0083152F"/>
    <w:rsid w:val="00853B75"/>
    <w:rsid w:val="0086365E"/>
    <w:rsid w:val="00880074"/>
    <w:rsid w:val="008827B1"/>
    <w:rsid w:val="008937FE"/>
    <w:rsid w:val="0089456F"/>
    <w:rsid w:val="00897734"/>
    <w:rsid w:val="008C0F2C"/>
    <w:rsid w:val="008D07DC"/>
    <w:rsid w:val="008D0D96"/>
    <w:rsid w:val="008F5072"/>
    <w:rsid w:val="00910DCC"/>
    <w:rsid w:val="009150CB"/>
    <w:rsid w:val="00915D60"/>
    <w:rsid w:val="009240D0"/>
    <w:rsid w:val="00927A91"/>
    <w:rsid w:val="00932B7F"/>
    <w:rsid w:val="00944F29"/>
    <w:rsid w:val="00954C52"/>
    <w:rsid w:val="00955984"/>
    <w:rsid w:val="0096365C"/>
    <w:rsid w:val="00967D17"/>
    <w:rsid w:val="00967E3F"/>
    <w:rsid w:val="00972C74"/>
    <w:rsid w:val="00987C65"/>
    <w:rsid w:val="009A38F1"/>
    <w:rsid w:val="009B79ED"/>
    <w:rsid w:val="009C0A08"/>
    <w:rsid w:val="009C2566"/>
    <w:rsid w:val="009C6DBF"/>
    <w:rsid w:val="009D172B"/>
    <w:rsid w:val="00A0269E"/>
    <w:rsid w:val="00A0798C"/>
    <w:rsid w:val="00A21781"/>
    <w:rsid w:val="00A219AE"/>
    <w:rsid w:val="00A23F9D"/>
    <w:rsid w:val="00A270B6"/>
    <w:rsid w:val="00A33B57"/>
    <w:rsid w:val="00A3750C"/>
    <w:rsid w:val="00A471D9"/>
    <w:rsid w:val="00A92009"/>
    <w:rsid w:val="00AC0DBD"/>
    <w:rsid w:val="00AD0B69"/>
    <w:rsid w:val="00B27F36"/>
    <w:rsid w:val="00B32A83"/>
    <w:rsid w:val="00B36982"/>
    <w:rsid w:val="00B522A8"/>
    <w:rsid w:val="00B636EE"/>
    <w:rsid w:val="00B64005"/>
    <w:rsid w:val="00B7309F"/>
    <w:rsid w:val="00B75DA4"/>
    <w:rsid w:val="00B96E13"/>
    <w:rsid w:val="00BA4AC0"/>
    <w:rsid w:val="00BB1069"/>
    <w:rsid w:val="00BD3581"/>
    <w:rsid w:val="00BE5CDA"/>
    <w:rsid w:val="00C155CE"/>
    <w:rsid w:val="00C24B27"/>
    <w:rsid w:val="00C663D0"/>
    <w:rsid w:val="00C838A3"/>
    <w:rsid w:val="00C97B15"/>
    <w:rsid w:val="00CA594B"/>
    <w:rsid w:val="00CB0B62"/>
    <w:rsid w:val="00CB5245"/>
    <w:rsid w:val="00CD1C66"/>
    <w:rsid w:val="00CD7038"/>
    <w:rsid w:val="00CE1EC2"/>
    <w:rsid w:val="00CE2AC3"/>
    <w:rsid w:val="00CF1E8F"/>
    <w:rsid w:val="00D03C58"/>
    <w:rsid w:val="00D04082"/>
    <w:rsid w:val="00D31B7D"/>
    <w:rsid w:val="00D35183"/>
    <w:rsid w:val="00D37088"/>
    <w:rsid w:val="00D805D1"/>
    <w:rsid w:val="00D81789"/>
    <w:rsid w:val="00D867AC"/>
    <w:rsid w:val="00D94F99"/>
    <w:rsid w:val="00DB4695"/>
    <w:rsid w:val="00DC0D08"/>
    <w:rsid w:val="00DC260E"/>
    <w:rsid w:val="00DC401F"/>
    <w:rsid w:val="00DD76F4"/>
    <w:rsid w:val="00DE2CAA"/>
    <w:rsid w:val="00DF289C"/>
    <w:rsid w:val="00DF3F8A"/>
    <w:rsid w:val="00E03668"/>
    <w:rsid w:val="00E07A9E"/>
    <w:rsid w:val="00E303FD"/>
    <w:rsid w:val="00E373C0"/>
    <w:rsid w:val="00E41C6A"/>
    <w:rsid w:val="00E446FA"/>
    <w:rsid w:val="00E60CE2"/>
    <w:rsid w:val="00E665A1"/>
    <w:rsid w:val="00E83330"/>
    <w:rsid w:val="00E94C8D"/>
    <w:rsid w:val="00E95DBC"/>
    <w:rsid w:val="00EA4325"/>
    <w:rsid w:val="00EB4833"/>
    <w:rsid w:val="00EB4B19"/>
    <w:rsid w:val="00EC4FD6"/>
    <w:rsid w:val="00ED2E0F"/>
    <w:rsid w:val="00EE7B5D"/>
    <w:rsid w:val="00EF00CD"/>
    <w:rsid w:val="00F01E52"/>
    <w:rsid w:val="00F04A8B"/>
    <w:rsid w:val="00F14CA8"/>
    <w:rsid w:val="00F27957"/>
    <w:rsid w:val="00F442FA"/>
    <w:rsid w:val="00F5199A"/>
    <w:rsid w:val="00F70672"/>
    <w:rsid w:val="00F74D7E"/>
    <w:rsid w:val="00F76C3D"/>
    <w:rsid w:val="00F849C7"/>
    <w:rsid w:val="00F85921"/>
    <w:rsid w:val="00FD5612"/>
    <w:rsid w:val="00FE4775"/>
    <w:rsid w:val="00FF7446"/>
    <w:rsid w:val="010EF61B"/>
    <w:rsid w:val="0187DB5A"/>
    <w:rsid w:val="01D82E9C"/>
    <w:rsid w:val="02FC4491"/>
    <w:rsid w:val="03134563"/>
    <w:rsid w:val="049548A1"/>
    <w:rsid w:val="04A6696C"/>
    <w:rsid w:val="05605BE6"/>
    <w:rsid w:val="0AEBA679"/>
    <w:rsid w:val="0C360096"/>
    <w:rsid w:val="0C9345B2"/>
    <w:rsid w:val="0D3C38C1"/>
    <w:rsid w:val="0E5D0FB4"/>
    <w:rsid w:val="0F7D643F"/>
    <w:rsid w:val="0F917B11"/>
    <w:rsid w:val="0FB4ACBE"/>
    <w:rsid w:val="1093EBD7"/>
    <w:rsid w:val="1154E486"/>
    <w:rsid w:val="126AE25B"/>
    <w:rsid w:val="12EA1D6A"/>
    <w:rsid w:val="147DE5BA"/>
    <w:rsid w:val="15666A81"/>
    <w:rsid w:val="1619B61B"/>
    <w:rsid w:val="1654C690"/>
    <w:rsid w:val="16A2C08B"/>
    <w:rsid w:val="17A7FF66"/>
    <w:rsid w:val="17B3DCBA"/>
    <w:rsid w:val="17C1FAFB"/>
    <w:rsid w:val="18E63CAD"/>
    <w:rsid w:val="1C4BA53A"/>
    <w:rsid w:val="1DA84019"/>
    <w:rsid w:val="1DE7759B"/>
    <w:rsid w:val="1E0513DE"/>
    <w:rsid w:val="1E18F05C"/>
    <w:rsid w:val="1E861E3A"/>
    <w:rsid w:val="1FABEB93"/>
    <w:rsid w:val="1FDB1BC0"/>
    <w:rsid w:val="20BBA4D4"/>
    <w:rsid w:val="21451F01"/>
    <w:rsid w:val="2172F5D6"/>
    <w:rsid w:val="223C4ECC"/>
    <w:rsid w:val="225ECB43"/>
    <w:rsid w:val="22BAE6BE"/>
    <w:rsid w:val="230EC637"/>
    <w:rsid w:val="232F4E3F"/>
    <w:rsid w:val="23F60DD2"/>
    <w:rsid w:val="2456B71F"/>
    <w:rsid w:val="24DB3341"/>
    <w:rsid w:val="27456E24"/>
    <w:rsid w:val="276E71E9"/>
    <w:rsid w:val="290A424A"/>
    <w:rsid w:val="2962FAA7"/>
    <w:rsid w:val="29858F9F"/>
    <w:rsid w:val="29FBA3C1"/>
    <w:rsid w:val="2A42153D"/>
    <w:rsid w:val="2AA612AB"/>
    <w:rsid w:val="2BEC852C"/>
    <w:rsid w:val="2D04A0B9"/>
    <w:rsid w:val="2F920CA3"/>
    <w:rsid w:val="30623A25"/>
    <w:rsid w:val="30735167"/>
    <w:rsid w:val="308D1013"/>
    <w:rsid w:val="34BF4CE9"/>
    <w:rsid w:val="35BAE0E1"/>
    <w:rsid w:val="3748F7A8"/>
    <w:rsid w:val="3756B142"/>
    <w:rsid w:val="38F281A3"/>
    <w:rsid w:val="3AC75E0D"/>
    <w:rsid w:val="3B6AC043"/>
    <w:rsid w:val="3BEEF265"/>
    <w:rsid w:val="3C1C68CB"/>
    <w:rsid w:val="3C4BA780"/>
    <w:rsid w:val="3EC67DC3"/>
    <w:rsid w:val="3F93608E"/>
    <w:rsid w:val="3FBE4349"/>
    <w:rsid w:val="41424827"/>
    <w:rsid w:val="41776C94"/>
    <w:rsid w:val="43FC8004"/>
    <w:rsid w:val="44137D52"/>
    <w:rsid w:val="445CBDB3"/>
    <w:rsid w:val="44A8E205"/>
    <w:rsid w:val="44DBE798"/>
    <w:rsid w:val="4618E55F"/>
    <w:rsid w:val="46B70E04"/>
    <w:rsid w:val="47AE6764"/>
    <w:rsid w:val="47F2FB8B"/>
    <w:rsid w:val="48755413"/>
    <w:rsid w:val="49CE95FD"/>
    <w:rsid w:val="4AC3AC24"/>
    <w:rsid w:val="4BF4B8E3"/>
    <w:rsid w:val="4E0B6ABB"/>
    <w:rsid w:val="4E10915E"/>
    <w:rsid w:val="4E4D8555"/>
    <w:rsid w:val="50538526"/>
    <w:rsid w:val="5246E1AA"/>
    <w:rsid w:val="52A19796"/>
    <w:rsid w:val="52E9FFCE"/>
    <w:rsid w:val="553F02DA"/>
    <w:rsid w:val="55406206"/>
    <w:rsid w:val="5606C960"/>
    <w:rsid w:val="56DDFFBF"/>
    <w:rsid w:val="574788E9"/>
    <w:rsid w:val="5956CED3"/>
    <w:rsid w:val="59FDC559"/>
    <w:rsid w:val="5A55E3EF"/>
    <w:rsid w:val="5A57DDE1"/>
    <w:rsid w:val="5AE04E35"/>
    <w:rsid w:val="5AF3638B"/>
    <w:rsid w:val="5C451B9E"/>
    <w:rsid w:val="5E8003F6"/>
    <w:rsid w:val="60E9839D"/>
    <w:rsid w:val="6146E499"/>
    <w:rsid w:val="6159F9EF"/>
    <w:rsid w:val="62058E4A"/>
    <w:rsid w:val="65BE84F3"/>
    <w:rsid w:val="674E26CC"/>
    <w:rsid w:val="679F136E"/>
    <w:rsid w:val="682AB9A0"/>
    <w:rsid w:val="687BA4BC"/>
    <w:rsid w:val="68E31BF1"/>
    <w:rsid w:val="6A7EEC52"/>
    <w:rsid w:val="6B625A62"/>
    <w:rsid w:val="6BB79502"/>
    <w:rsid w:val="6BCA8594"/>
    <w:rsid w:val="6CC28220"/>
    <w:rsid w:val="6E5F500B"/>
    <w:rsid w:val="6F5457FA"/>
    <w:rsid w:val="709CF064"/>
    <w:rsid w:val="7195F343"/>
    <w:rsid w:val="7331C3A4"/>
    <w:rsid w:val="7427F9A7"/>
    <w:rsid w:val="75EFCB6B"/>
    <w:rsid w:val="76BD43DF"/>
    <w:rsid w:val="76FD0FCF"/>
    <w:rsid w:val="7716AAD7"/>
    <w:rsid w:val="773343AA"/>
    <w:rsid w:val="7762B6FF"/>
    <w:rsid w:val="77F51650"/>
    <w:rsid w:val="78D1243C"/>
    <w:rsid w:val="7B08337D"/>
    <w:rsid w:val="7C92EF4F"/>
    <w:rsid w:val="7CDDA8B0"/>
    <w:rsid w:val="7D0E0419"/>
    <w:rsid w:val="7D340D47"/>
    <w:rsid w:val="7D6B62F4"/>
    <w:rsid w:val="7DF092E5"/>
    <w:rsid w:val="7E549053"/>
    <w:rsid w:val="7FE08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A4CE1"/>
  <w15:chartTrackingRefBased/>
  <w15:docId w15:val="{06DE4ACE-BDF6-45DC-98AC-C6059A1C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00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4005"/>
  </w:style>
  <w:style w:type="paragraph" w:styleId="Header">
    <w:name w:val="header"/>
    <w:basedOn w:val="Normal"/>
    <w:link w:val="HeaderChar"/>
    <w:uiPriority w:val="99"/>
    <w:unhideWhenUsed/>
    <w:rsid w:val="00B64005"/>
    <w:pPr>
      <w:tabs>
        <w:tab w:val="center" w:pos="4513"/>
        <w:tab w:val="right" w:pos="9026"/>
      </w:tabs>
    </w:pPr>
  </w:style>
  <w:style w:type="character" w:customStyle="1" w:styleId="HeaderChar">
    <w:name w:val="Header Char"/>
    <w:basedOn w:val="DefaultParagraphFont"/>
    <w:link w:val="Header"/>
    <w:uiPriority w:val="99"/>
    <w:rsid w:val="00B64005"/>
    <w:rPr>
      <w:rFonts w:ascii="Times New Roman" w:eastAsia="Times New Roman" w:hAnsi="Times New Roman" w:cs="Times New Roman"/>
      <w:lang w:val="en-US" w:eastAsia="en-GB"/>
    </w:rPr>
  </w:style>
  <w:style w:type="paragraph" w:styleId="Footer">
    <w:name w:val="footer"/>
    <w:basedOn w:val="Normal"/>
    <w:link w:val="FooterChar"/>
    <w:uiPriority w:val="99"/>
    <w:unhideWhenUsed/>
    <w:rsid w:val="00B64005"/>
    <w:pPr>
      <w:tabs>
        <w:tab w:val="center" w:pos="4513"/>
        <w:tab w:val="right" w:pos="9026"/>
      </w:tabs>
    </w:pPr>
  </w:style>
  <w:style w:type="character" w:customStyle="1" w:styleId="FooterChar">
    <w:name w:val="Footer Char"/>
    <w:basedOn w:val="DefaultParagraphFont"/>
    <w:link w:val="Footer"/>
    <w:uiPriority w:val="99"/>
    <w:rsid w:val="00B64005"/>
    <w:rPr>
      <w:rFonts w:ascii="Times New Roman" w:eastAsia="Times New Roman" w:hAnsi="Times New Roman" w:cs="Times New Roman"/>
      <w:lang w:val="en-US" w:eastAsia="en-GB"/>
    </w:rPr>
  </w:style>
  <w:style w:type="character" w:styleId="PageNumber">
    <w:name w:val="page number"/>
    <w:basedOn w:val="DefaultParagraphFont"/>
    <w:uiPriority w:val="99"/>
    <w:semiHidden/>
    <w:unhideWhenUsed/>
    <w:rsid w:val="00B64005"/>
  </w:style>
  <w:style w:type="paragraph" w:styleId="Caption">
    <w:name w:val="caption"/>
    <w:basedOn w:val="Normal"/>
    <w:next w:val="Normal"/>
    <w:uiPriority w:val="35"/>
    <w:unhideWhenUsed/>
    <w:qFormat/>
    <w:rsid w:val="00B64005"/>
    <w:pPr>
      <w:spacing w:after="200" w:line="200" w:lineRule="exact"/>
      <w:jc w:val="both"/>
    </w:pPr>
    <w:rPr>
      <w:i/>
      <w:iCs/>
      <w:color w:val="44546A" w:themeColor="text2"/>
      <w:sz w:val="18"/>
      <w:szCs w:val="18"/>
      <w:lang w:val="en-GB"/>
    </w:rPr>
  </w:style>
  <w:style w:type="paragraph" w:styleId="Revision">
    <w:name w:val="Revision"/>
    <w:hidden/>
    <w:uiPriority w:val="99"/>
    <w:semiHidden/>
    <w:rsid w:val="00C97B15"/>
    <w:rPr>
      <w:rFonts w:ascii="Times New Roman" w:eastAsia="Times New Roman" w:hAnsi="Times New Roman" w:cs="Times New Roman"/>
      <w:lang w:eastAsia="en-GB"/>
    </w:rPr>
  </w:style>
  <w:style w:type="paragraph" w:styleId="CommentText">
    <w:name w:val="annotation text"/>
    <w:basedOn w:val="Normal"/>
    <w:link w:val="CommentTextChar"/>
    <w:uiPriority w:val="99"/>
    <w:semiHidden/>
    <w:unhideWhenUsed/>
    <w:rsid w:val="00E83330"/>
    <w:rPr>
      <w:sz w:val="20"/>
      <w:szCs w:val="20"/>
    </w:rPr>
  </w:style>
  <w:style w:type="character" w:customStyle="1" w:styleId="CommentTextChar">
    <w:name w:val="Comment Text Char"/>
    <w:basedOn w:val="DefaultParagraphFont"/>
    <w:link w:val="CommentText"/>
    <w:uiPriority w:val="99"/>
    <w:semiHidden/>
    <w:rsid w:val="00E83330"/>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E83330"/>
    <w:rPr>
      <w:sz w:val="16"/>
      <w:szCs w:val="16"/>
    </w:rPr>
  </w:style>
  <w:style w:type="paragraph" w:styleId="CommentSubject">
    <w:name w:val="annotation subject"/>
    <w:basedOn w:val="CommentText"/>
    <w:next w:val="CommentText"/>
    <w:link w:val="CommentSubjectChar"/>
    <w:uiPriority w:val="99"/>
    <w:semiHidden/>
    <w:unhideWhenUsed/>
    <w:rsid w:val="00CE1EC2"/>
    <w:rPr>
      <w:b/>
      <w:bCs/>
    </w:rPr>
  </w:style>
  <w:style w:type="character" w:customStyle="1" w:styleId="CommentSubjectChar">
    <w:name w:val="Comment Subject Char"/>
    <w:basedOn w:val="CommentTextChar"/>
    <w:link w:val="CommentSubject"/>
    <w:uiPriority w:val="99"/>
    <w:semiHidden/>
    <w:rsid w:val="00CE1EC2"/>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sid w:val="003A1F0A"/>
    <w:rPr>
      <w:sz w:val="20"/>
      <w:szCs w:val="20"/>
    </w:rPr>
  </w:style>
  <w:style w:type="character" w:customStyle="1" w:styleId="FootnoteTextChar">
    <w:name w:val="Footnote Text Char"/>
    <w:basedOn w:val="DefaultParagraphFont"/>
    <w:link w:val="FootnoteText"/>
    <w:uiPriority w:val="99"/>
    <w:semiHidden/>
    <w:rsid w:val="003A1F0A"/>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3A1F0A"/>
    <w:rPr>
      <w:vertAlign w:val="superscript"/>
    </w:rPr>
  </w:style>
  <w:style w:type="character" w:styleId="Hyperlink">
    <w:name w:val="Hyperlink"/>
    <w:basedOn w:val="DefaultParagraphFont"/>
    <w:uiPriority w:val="99"/>
    <w:unhideWhenUsed/>
    <w:rsid w:val="00F849C7"/>
    <w:rPr>
      <w:color w:val="0000FF"/>
      <w:u w:val="single"/>
    </w:rPr>
  </w:style>
  <w:style w:type="character" w:styleId="FollowedHyperlink">
    <w:name w:val="FollowedHyperlink"/>
    <w:basedOn w:val="DefaultParagraphFont"/>
    <w:uiPriority w:val="99"/>
    <w:semiHidden/>
    <w:unhideWhenUsed/>
    <w:rsid w:val="002E42A8"/>
    <w:rPr>
      <w:color w:val="954F72" w:themeColor="followedHyperlink"/>
      <w:u w:val="single"/>
    </w:rPr>
  </w:style>
  <w:style w:type="character" w:customStyle="1" w:styleId="apple-converted-space">
    <w:name w:val="apple-converted-space"/>
    <w:basedOn w:val="DefaultParagraphFont"/>
    <w:rsid w:val="00E44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bd.int/convention" TargetMode="External"/><Relationship Id="rId2" Type="http://schemas.openxmlformats.org/officeDocument/2006/relationships/hyperlink" Target="https://unfccc.int/sites/default/files/english_paris_agreement.pdf" TargetMode="External"/><Relationship Id="rId1" Type="http://schemas.openxmlformats.org/officeDocument/2006/relationships/hyperlink" Target="https://policy.trade.ec.europa.eu/eu-trade-relationships-country-and-region/countries-and-regions/mercosur/eu-mercosur-agreement/text-agreement_en" TargetMode="External"/><Relationship Id="rId4" Type="http://schemas.openxmlformats.org/officeDocument/2006/relationships/hyperlink" Target="https://www.cites.org/eng/disc/tex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0C7BEB8-DE23-9345-AA21-5E8C3499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 KALIMO</dc:creator>
  <cp:keywords/>
  <dc:description/>
  <cp:lastModifiedBy>Liz McElwain</cp:lastModifiedBy>
  <cp:revision>2</cp:revision>
  <cp:lastPrinted>2024-04-10T22:46:00Z</cp:lastPrinted>
  <dcterms:created xsi:type="dcterms:W3CDTF">2024-12-29T20:24:00Z</dcterms:created>
  <dcterms:modified xsi:type="dcterms:W3CDTF">2024-12-29T20:24:00Z</dcterms:modified>
</cp:coreProperties>
</file>