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259" w:rsidRDefault="009E4259">
      <w:pPr>
        <w:spacing w:after="240" w:line="240" w:lineRule="auto"/>
        <w:jc w:val="center"/>
        <w:rPr>
          <w:rFonts w:eastAsia="Times New Roman"/>
          <w:b/>
          <w:sz w:val="28"/>
          <w:szCs w:val="28"/>
        </w:rPr>
      </w:pPr>
      <w:r w:rsidRPr="009E4259">
        <w:rPr>
          <w:rFonts w:eastAsia="Times New Roman"/>
          <w:b/>
          <w:sz w:val="28"/>
          <w:szCs w:val="28"/>
        </w:rPr>
        <w:t>Long-term effectiveness of banning highly hazardous pesticides on suicide mortality: A 12-year quasi-experimental study in South Korea</w:t>
      </w:r>
    </w:p>
    <w:p w:rsidR="001D69C1" w:rsidRPr="009E4259" w:rsidRDefault="00000000">
      <w:pPr>
        <w:spacing w:after="240" w:line="240" w:lineRule="auto"/>
        <w:jc w:val="center"/>
        <w:rPr>
          <w:sz w:val="24"/>
          <w:szCs w:val="24"/>
        </w:rPr>
      </w:pPr>
      <w:r w:rsidRPr="009E4259">
        <w:rPr>
          <w:rFonts w:eastAsia="Times New Roman"/>
          <w:b/>
          <w:sz w:val="24"/>
          <w:szCs w:val="24"/>
        </w:rPr>
        <w:t xml:space="preserve">Supplementary </w:t>
      </w:r>
      <w:r w:rsidR="009E4259" w:rsidRPr="009E4259">
        <w:rPr>
          <w:rFonts w:eastAsia="Times New Roman"/>
          <w:b/>
          <w:sz w:val="24"/>
          <w:szCs w:val="24"/>
        </w:rPr>
        <w:t>Materials</w:t>
      </w:r>
    </w:p>
    <w:p w:rsidR="001D69C1" w:rsidRPr="009E4259" w:rsidRDefault="00000000">
      <w:pPr>
        <w:spacing w:before="240" w:after="120" w:line="240" w:lineRule="auto"/>
        <w:rPr>
          <w:sz w:val="24"/>
          <w:szCs w:val="24"/>
        </w:rPr>
      </w:pPr>
      <w:r w:rsidRPr="009E4259">
        <w:rPr>
          <w:rFonts w:eastAsia="Times New Roman"/>
          <w:b/>
          <w:sz w:val="24"/>
          <w:szCs w:val="24"/>
        </w:rPr>
        <w:t>Contents</w:t>
      </w:r>
    </w:p>
    <w:p w:rsidR="001D69C1" w:rsidRPr="009E4259" w:rsidRDefault="00000000" w:rsidP="009E4259">
      <w:pPr>
        <w:spacing w:after="0"/>
        <w:ind w:left="360"/>
        <w:rPr>
          <w:sz w:val="20"/>
          <w:szCs w:val="20"/>
        </w:rPr>
      </w:pPr>
      <w:r w:rsidRPr="009E4259">
        <w:rPr>
          <w:rFonts w:eastAsia="Times New Roman"/>
          <w:sz w:val="20"/>
          <w:szCs w:val="20"/>
        </w:rPr>
        <w:t>eTable 1. Time series properties of monthly pesticide suicide counts</w:t>
      </w:r>
    </w:p>
    <w:p w:rsidR="001D69C1" w:rsidRPr="009E4259" w:rsidRDefault="00000000" w:rsidP="009E4259">
      <w:pPr>
        <w:spacing w:after="0"/>
        <w:ind w:left="360"/>
        <w:rPr>
          <w:sz w:val="20"/>
          <w:szCs w:val="20"/>
        </w:rPr>
      </w:pPr>
      <w:r w:rsidRPr="009E4259">
        <w:rPr>
          <w:rFonts w:eastAsia="Times New Roman"/>
          <w:sz w:val="20"/>
          <w:szCs w:val="20"/>
        </w:rPr>
        <w:t>eTable 2. ARIMA model specification for pesticide suicide time series</w:t>
      </w:r>
    </w:p>
    <w:p w:rsidR="001D69C1" w:rsidRPr="009E4259" w:rsidRDefault="00000000" w:rsidP="009E4259">
      <w:pPr>
        <w:spacing w:after="0"/>
        <w:ind w:left="360"/>
        <w:rPr>
          <w:sz w:val="20"/>
          <w:szCs w:val="20"/>
        </w:rPr>
      </w:pPr>
      <w:r w:rsidRPr="009E4259">
        <w:rPr>
          <w:rFonts w:eastAsia="Times New Roman"/>
          <w:sz w:val="20"/>
          <w:szCs w:val="20"/>
        </w:rPr>
        <w:t>eTable 3. Subgroup analysis of pesticide suicide following the paraquat ban</w:t>
      </w:r>
    </w:p>
    <w:p w:rsidR="001D69C1" w:rsidRPr="009E4259" w:rsidRDefault="00000000" w:rsidP="009E4259">
      <w:pPr>
        <w:spacing w:after="0"/>
        <w:ind w:left="360"/>
        <w:rPr>
          <w:sz w:val="20"/>
          <w:szCs w:val="20"/>
        </w:rPr>
      </w:pPr>
      <w:r w:rsidRPr="009E4259">
        <w:rPr>
          <w:sz w:val="20"/>
          <w:szCs w:val="20"/>
        </w:rPr>
        <w:t>eTable 4. Comparison of count-based and rate-based ITS analysis for pesticide suicide</w:t>
      </w:r>
    </w:p>
    <w:p w:rsidR="001D69C1" w:rsidRPr="009E4259" w:rsidRDefault="00000000" w:rsidP="009E4259">
      <w:pPr>
        <w:spacing w:after="0"/>
        <w:ind w:left="360"/>
        <w:rPr>
          <w:sz w:val="20"/>
          <w:szCs w:val="20"/>
        </w:rPr>
      </w:pPr>
      <w:r w:rsidRPr="009E4259">
        <w:rPr>
          <w:rFonts w:eastAsia="Times New Roman"/>
          <w:sz w:val="20"/>
          <w:szCs w:val="20"/>
        </w:rPr>
        <w:t>eTable 5. Sensitivity analysis for intervention timing</w:t>
      </w:r>
    </w:p>
    <w:p w:rsidR="001D69C1" w:rsidRPr="009E4259" w:rsidRDefault="00000000" w:rsidP="009E4259">
      <w:pPr>
        <w:spacing w:after="0"/>
        <w:ind w:left="360"/>
        <w:rPr>
          <w:sz w:val="20"/>
          <w:szCs w:val="20"/>
        </w:rPr>
      </w:pPr>
      <w:r w:rsidRPr="009E4259">
        <w:rPr>
          <w:rFonts w:eastAsia="Times New Roman"/>
          <w:sz w:val="20"/>
          <w:szCs w:val="20"/>
        </w:rPr>
        <w:t>eTable 6. Sensitivity analysis for initial period length</w:t>
      </w:r>
    </w:p>
    <w:p w:rsidR="001D69C1" w:rsidRPr="009E4259" w:rsidRDefault="00000000" w:rsidP="009E4259">
      <w:pPr>
        <w:spacing w:after="0"/>
        <w:ind w:left="360"/>
        <w:rPr>
          <w:sz w:val="20"/>
          <w:szCs w:val="20"/>
        </w:rPr>
      </w:pPr>
      <w:r w:rsidRPr="009E4259">
        <w:rPr>
          <w:rFonts w:eastAsia="Times New Roman"/>
          <w:sz w:val="20"/>
          <w:szCs w:val="20"/>
        </w:rPr>
        <w:t>eTable 7. Sensitivity analysis using log transformation</w:t>
      </w:r>
    </w:p>
    <w:p w:rsidR="001D69C1" w:rsidRPr="009E4259" w:rsidRDefault="00000000" w:rsidP="009E4259">
      <w:pPr>
        <w:spacing w:after="0"/>
        <w:ind w:left="360"/>
        <w:rPr>
          <w:sz w:val="20"/>
          <w:szCs w:val="20"/>
        </w:rPr>
      </w:pPr>
      <w:r w:rsidRPr="009E4259">
        <w:rPr>
          <w:rFonts w:eastAsia="Times New Roman"/>
          <w:sz w:val="20"/>
          <w:szCs w:val="20"/>
        </w:rPr>
        <w:t>eTable 8. Suicide method ranking changes before and after the paraquat ban</w:t>
      </w:r>
    </w:p>
    <w:p w:rsidR="001D69C1" w:rsidRPr="009E4259" w:rsidRDefault="00000000" w:rsidP="009E4259">
      <w:pPr>
        <w:spacing w:after="0"/>
        <w:ind w:left="360"/>
        <w:rPr>
          <w:sz w:val="20"/>
          <w:szCs w:val="20"/>
        </w:rPr>
      </w:pPr>
      <w:r w:rsidRPr="009E4259">
        <w:rPr>
          <w:rFonts w:eastAsia="Times New Roman"/>
          <w:sz w:val="20"/>
          <w:szCs w:val="20"/>
        </w:rPr>
        <w:t>eTable 9. Structural breakpoint analysis for gas poisoning suicide</w:t>
      </w:r>
    </w:p>
    <w:p w:rsidR="001D69C1" w:rsidRPr="009E4259" w:rsidRDefault="00000000" w:rsidP="009E4259">
      <w:pPr>
        <w:spacing w:after="0"/>
        <w:ind w:left="360"/>
        <w:rPr>
          <w:sz w:val="20"/>
          <w:szCs w:val="20"/>
        </w:rPr>
      </w:pPr>
      <w:r w:rsidRPr="009E4259">
        <w:rPr>
          <w:rFonts w:eastAsia="Times New Roman"/>
          <w:sz w:val="20"/>
          <w:szCs w:val="20"/>
        </w:rPr>
        <w:t>eTable 10. Sensitivity analysis using pre-ban data only for counterfactual projection</w:t>
      </w:r>
    </w:p>
    <w:p w:rsidR="001D69C1" w:rsidRPr="009E4259" w:rsidRDefault="00000000" w:rsidP="009E4259">
      <w:pPr>
        <w:spacing w:after="0"/>
        <w:ind w:left="360"/>
        <w:rPr>
          <w:sz w:val="20"/>
          <w:szCs w:val="20"/>
        </w:rPr>
      </w:pPr>
      <w:r w:rsidRPr="009E4259">
        <w:rPr>
          <w:rFonts w:eastAsia="Times New Roman"/>
          <w:sz w:val="20"/>
          <w:szCs w:val="20"/>
        </w:rPr>
        <w:t>eTable 11. A priori two-stage interrupted time series analysis of pesticide suicide, with intervention points at December 2011 (sales restriction) and November 2012 (complete ban)</w:t>
      </w:r>
    </w:p>
    <w:p w:rsidR="001D69C1" w:rsidRPr="009E4259" w:rsidRDefault="00000000" w:rsidP="009E4259">
      <w:pPr>
        <w:spacing w:after="0"/>
        <w:ind w:left="360"/>
        <w:rPr>
          <w:sz w:val="20"/>
          <w:szCs w:val="20"/>
        </w:rPr>
      </w:pPr>
      <w:r w:rsidRPr="009E4259">
        <w:rPr>
          <w:rFonts w:eastAsia="Times New Roman"/>
          <w:sz w:val="20"/>
          <w:szCs w:val="20"/>
        </w:rPr>
        <w:t>eTable 12. Interrupted time series analysis for total suicide mortality</w:t>
      </w:r>
    </w:p>
    <w:p w:rsidR="001D69C1" w:rsidRDefault="00000000" w:rsidP="009E4259">
      <w:pPr>
        <w:spacing w:after="0"/>
        <w:ind w:left="360"/>
        <w:rPr>
          <w:rFonts w:eastAsia="Times New Roman"/>
          <w:sz w:val="20"/>
          <w:szCs w:val="20"/>
        </w:rPr>
      </w:pPr>
      <w:r w:rsidRPr="009E4259">
        <w:rPr>
          <w:rFonts w:eastAsia="Times New Roman"/>
          <w:sz w:val="20"/>
          <w:szCs w:val="20"/>
        </w:rPr>
        <w:t>eTable 13. Exploratory difference-in-differences analysis (secondary analysis)</w:t>
      </w:r>
    </w:p>
    <w:p w:rsidR="009E4259" w:rsidRDefault="009E4259" w:rsidP="009E4259">
      <w:pPr>
        <w:spacing w:after="0"/>
        <w:ind w:left="360"/>
        <w:rPr>
          <w:rFonts w:eastAsia="Times New Roman"/>
          <w:sz w:val="20"/>
          <w:szCs w:val="20"/>
        </w:rPr>
      </w:pP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1. Autocorrelation and partial autocorrelation functions for pesticide suicide time series</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2. Seasonal-trend decomposition of pesticide suicide time series</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3. Residual diagnostics for the ARIMA model</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4. Subgroup interrupted time series analyses</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5. Sensitivity analysis using pre-ban data only for counterfactual projection</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6. Exploratory difference-in-differences analysis comparing pesticide suicides with control outcomes</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7. Two-stage intervention model for pesticide suicide</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8. Interrupted time series analysis for total suicide mortality</w:t>
      </w:r>
    </w:p>
    <w:p w:rsidR="009E4259" w:rsidRPr="009E4259" w:rsidRDefault="009E4259" w:rsidP="009E4259">
      <w:pPr>
        <w:spacing w:after="0"/>
        <w:ind w:left="360"/>
        <w:rPr>
          <w:rFonts w:eastAsia="Times New Roman"/>
          <w:sz w:val="20"/>
          <w:szCs w:val="20"/>
        </w:rPr>
      </w:pPr>
      <w:r w:rsidRPr="009E4259">
        <w:rPr>
          <w:rFonts w:eastAsia="Times New Roman"/>
          <w:sz w:val="20"/>
          <w:szCs w:val="20"/>
        </w:rPr>
        <w:t>eFigure 9. Demographic characteristics of pesticide and gas suicide decedents</w:t>
      </w:r>
    </w:p>
    <w:p w:rsidR="009E4259" w:rsidRDefault="009E4259" w:rsidP="009E4259">
      <w:pPr>
        <w:spacing w:after="0"/>
        <w:ind w:left="360"/>
      </w:pPr>
      <w:r w:rsidRPr="009E4259">
        <w:rPr>
          <w:rFonts w:eastAsia="Times New Roman"/>
          <w:sz w:val="20"/>
          <w:szCs w:val="20"/>
        </w:rPr>
        <w:t>eFigure 10. Structural breakpoint analysis for gas suicide</w:t>
      </w:r>
    </w:p>
    <w:p w:rsidR="001D69C1" w:rsidRDefault="00000000">
      <w:r>
        <w:br w:type="page"/>
      </w:r>
    </w:p>
    <w:p w:rsidR="001D69C1" w:rsidRDefault="00000000">
      <w:pPr>
        <w:spacing w:before="240" w:after="120" w:line="240" w:lineRule="auto"/>
      </w:pPr>
      <w:r>
        <w:rPr>
          <w:rFonts w:eastAsia="Times New Roman"/>
          <w:b/>
        </w:rPr>
        <w:lastRenderedPageBreak/>
        <w:t>eTable 1. Time Series Properties of Monthly Pesticide Suicide Counts in South Korea, 2004–2023</w:t>
      </w:r>
    </w:p>
    <w:tbl>
      <w:tblPr>
        <w:tblW w:w="5000" w:type="pct"/>
        <w:jc w:val="center"/>
        <w:tblLook w:val="04A0" w:firstRow="1" w:lastRow="0" w:firstColumn="1" w:lastColumn="0" w:noHBand="0" w:noVBand="1"/>
      </w:tblPr>
      <w:tblGrid>
        <w:gridCol w:w="7020"/>
        <w:gridCol w:w="7020"/>
      </w:tblGrid>
      <w:tr w:rsidR="001D69C1">
        <w:trPr>
          <w:jc w:val="center"/>
        </w:trPr>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Property</w:t>
            </w:r>
          </w:p>
        </w:tc>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Value</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Observations</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240 months</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Mean</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145.7</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SD</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93.9</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Coefficient of variation</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0.644</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Skewness</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0.729</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Box-Cox λ</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0.358</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Transformation applied</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Square root</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ADF test P-value</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w:t>
            </w:r>
          </w:p>
        </w:tc>
      </w:tr>
      <w:tr w:rsidR="001D69C1">
        <w:trPr>
          <w:jc w:val="center"/>
        </w:trPr>
        <w:tc>
          <w:tcPr>
            <w:tcW w:w="6912"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Ljung-Box test P-value</w:t>
            </w:r>
          </w:p>
        </w:tc>
        <w:tc>
          <w:tcPr>
            <w:tcW w:w="6912"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&lt;0.001</w:t>
            </w:r>
          </w:p>
        </w:tc>
      </w:tr>
    </w:tbl>
    <w:p w:rsidR="001D69C1" w:rsidRDefault="00000000">
      <w:pPr>
        <w:spacing w:before="120" w:after="40" w:line="240" w:lineRule="auto"/>
      </w:pPr>
      <w:r>
        <w:rPr>
          <w:rFonts w:eastAsia="Times New Roman"/>
        </w:rPr>
        <w:t>Abbreviations: ADF, Augmented Dickey-Fuller; SD, standard deviation.</w:t>
      </w:r>
    </w:p>
    <w:p w:rsidR="001D69C1" w:rsidRDefault="00000000">
      <w:r>
        <w:br w:type="page"/>
      </w:r>
    </w:p>
    <w:p w:rsidR="001D69C1" w:rsidRDefault="00000000">
      <w:pPr>
        <w:spacing w:before="240" w:after="120" w:line="240" w:lineRule="auto"/>
      </w:pPr>
      <w:r>
        <w:rPr>
          <w:rFonts w:eastAsia="Times New Roman"/>
          <w:b/>
        </w:rPr>
        <w:lastRenderedPageBreak/>
        <w:t>eTable 2. ARIMA Model Specification for Pesticide Suicide Time Series</w:t>
      </w:r>
    </w:p>
    <w:tbl>
      <w:tblPr>
        <w:tblW w:w="5000" w:type="pct"/>
        <w:jc w:val="center"/>
        <w:tblLook w:val="04A0" w:firstRow="1" w:lastRow="0" w:firstColumn="1" w:lastColumn="0" w:noHBand="0" w:noVBand="1"/>
      </w:tblPr>
      <w:tblGrid>
        <w:gridCol w:w="7020"/>
        <w:gridCol w:w="7020"/>
      </w:tblGrid>
      <w:tr w:rsidR="001D69C1">
        <w:trPr>
          <w:jc w:val="center"/>
        </w:trPr>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Component</w:t>
            </w:r>
          </w:p>
        </w:tc>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Specification</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Outcome</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Pesticide suicide (monthly counts)</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Transformation</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Square root</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ARIMA order</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(1, 0, 2)</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Seasonal order</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 0, 0)[12]</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AICc</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550.19</w:t>
            </w:r>
          </w:p>
        </w:tc>
      </w:tr>
      <w:tr w:rsidR="001D69C1">
        <w:trPr>
          <w:jc w:val="center"/>
        </w:trPr>
        <w:tc>
          <w:tcPr>
            <w:tcW w:w="6912"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Ljung-Box P-value</w:t>
            </w:r>
          </w:p>
        </w:tc>
        <w:tc>
          <w:tcPr>
            <w:tcW w:w="6912"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0.428</w:t>
            </w:r>
          </w:p>
        </w:tc>
      </w:tr>
    </w:tbl>
    <w:p w:rsidR="001D69C1" w:rsidRDefault="00000000">
      <w:pPr>
        <w:spacing w:before="120" w:after="40" w:line="240" w:lineRule="auto"/>
      </w:pPr>
      <w:r>
        <w:rPr>
          <w:rFonts w:eastAsia="Times New Roman"/>
        </w:rPr>
        <w:t>Abbreviations: AICc, Akaike information criterion corrected; ARIMA, autoregressive integrated moving average.</w:t>
      </w:r>
    </w:p>
    <w:p w:rsidR="001D69C1" w:rsidRDefault="00000000">
      <w:r>
        <w:br w:type="page"/>
      </w:r>
    </w:p>
    <w:p w:rsidR="001D69C1" w:rsidRDefault="00000000">
      <w:pPr>
        <w:spacing w:before="120" w:after="120" w:line="240" w:lineRule="auto"/>
      </w:pPr>
      <w:r>
        <w:rPr>
          <w:rFonts w:eastAsia="Times New Roman"/>
          <w:b/>
          <w:sz w:val="20"/>
        </w:rPr>
        <w:lastRenderedPageBreak/>
        <w:t>eTable 3. Subgroup Analysis of Pesticide Suicide Following the Paraquat Ban in South Korea</w:t>
      </w:r>
    </w:p>
    <w:tbl>
      <w:tblPr>
        <w:tblW w:w="5000" w:type="pct"/>
        <w:jc w:val="center"/>
        <w:tblLook w:val="04A0" w:firstRow="1" w:lastRow="0" w:firstColumn="1" w:lastColumn="0" w:noHBand="0" w:noVBand="1"/>
      </w:tblPr>
      <w:tblGrid>
        <w:gridCol w:w="2808"/>
        <w:gridCol w:w="2808"/>
        <w:gridCol w:w="2808"/>
        <w:gridCol w:w="2808"/>
        <w:gridCol w:w="2808"/>
      </w:tblGrid>
      <w:tr w:rsidR="001D69C1">
        <w:trPr>
          <w:jc w:val="center"/>
        </w:trPr>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Subgroup</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Wald Estimate (95% CI)</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Bootstrap 95% CI</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b/>
              </w:rPr>
              <w:t>Sex</w:t>
            </w: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 xml:space="preserve">  Male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−0.230 (−0.967, 0.507)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0.540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(−3.548, 1.726)</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−0.100 (−0.137, −0.064)</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(−0.166, 0.004)</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0.009 (−0.012, 0.030)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0.395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(−0.032, 0.035)</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 xml:space="preserve">  Female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−0.005 (−0.528, 0.518)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0.985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(−1.600, 1.107)</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−0.071 (−0.095, −0.047)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(−0.114, −0.027)</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0.008 (−0.006, 0.021)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0.259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(−0.016, 0.020)</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b/>
              </w:rPr>
              <w:t>Age group</w:t>
            </w: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t xml:space="preserve">  15–29 years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−0.515 (−1.053, 0.023)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0.061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(-1.650, 0.218)</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0.006 (−0.013, 0.024)</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0.548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(-0.017, 0.043)</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0.021 (0.014, 0.029)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(0.005, 0.030)</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t xml:space="preserve">  30–49 years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0.005 (−0.590, 0.600)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0.986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(-1.420, 2.836)</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−0.046 (−0.070, −0.021)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(-0.106, -0.014)</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0.026 (0.013, 0.038)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(0.006, 0.035)</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t xml:space="preserve">  50–64 years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−0.017 (−0.503, 0.470)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0.947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(-1.535, 0.907)</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−0.060 (−0.081, −0.038)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(-0.084, -0.001)</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0.002 (−0.010, 0.013)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0.790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(-0.023, 0.015)</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t xml:space="preserve">  ≥65 years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−0.329 (−0.964, 0.305)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0.309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(-4.094, 1.020)</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−0.107 (−0.136, −0.078)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(-0.165, -0.009)</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−0.015 (−0.032, 0.002)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0.094</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(-0.043, 0.009)</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b/>
              </w:rPr>
              <w:t>Region</w:t>
            </w: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 xml:space="preserve">  Capital</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0.195 (−0.379, 0.769)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0.506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(−1.254, 1.897)</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−0.048 (−0.074, −0.021)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(−0.086, 0.003)</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0.017 (0.002, 0.032)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0.028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(−0.010, 0.032)</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 xml:space="preserve">  Non-capital</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−0.325 (−1.076, 0.426)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0.396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(−4.153, 1.412)</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−0.114 (−0.151, −0.076)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(−0.180, 0.011)</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0.004 (−0.017, 0.026)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0.702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(−0.036, 0.033)</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b/>
              </w:rPr>
              <w:t>Occupation</w:t>
            </w: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c>
          <w:tcPr>
            <w:tcW w:w="2765" w:type="dxa"/>
            <w:tcBorders>
              <w:top w:val="nil"/>
              <w:left w:val="nil"/>
              <w:bottom w:val="nil"/>
              <w:right w:val="nil"/>
            </w:tcBorders>
            <w:vAlign w:val="center"/>
          </w:tcPr>
          <w:p w:rsidR="001D69C1" w:rsidRDefault="001D69C1">
            <w:pPr>
              <w:spacing w:before="40" w:after="40" w:line="240" w:lineRule="auto"/>
              <w:jc w:val="center"/>
            </w:pP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 xml:space="preserve">  AFF</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−0.352 (−0.964, 0.259)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0.259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(−1.705, 1.362)</w:t>
            </w:r>
          </w:p>
        </w:tc>
      </w:tr>
      <w:tr w:rsidR="001D69C1" w:rsidTr="00426FCA">
        <w:trPr>
          <w:jc w:val="center"/>
        </w:trPr>
        <w:tc>
          <w:tcPr>
            <w:tcW w:w="2765" w:type="dxa"/>
            <w:tcBorders>
              <w:top w:val="nil"/>
              <w:left w:val="nil"/>
              <w:right w:val="nil"/>
            </w:tcBorders>
            <w:vAlign w:val="center"/>
          </w:tcPr>
          <w:p w:rsidR="001D69C1" w:rsidRDefault="001D69C1">
            <w:pPr>
              <w:spacing w:before="40" w:after="40" w:line="240" w:lineRule="auto"/>
            </w:pP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−0.065 (−0.093, −0.038)</w:t>
            </w: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(−0.118, −0.019)</w:t>
            </w:r>
          </w:p>
        </w:tc>
      </w:tr>
      <w:tr w:rsidR="001D69C1" w:rsidTr="00426FCA">
        <w:trPr>
          <w:jc w:val="center"/>
        </w:trPr>
        <w:tc>
          <w:tcPr>
            <w:tcW w:w="2765" w:type="dxa"/>
            <w:tcBorders>
              <w:top w:val="nil"/>
              <w:left w:val="nil"/>
              <w:right w:val="nil"/>
            </w:tcBorders>
            <w:vAlign w:val="center"/>
          </w:tcPr>
          <w:p w:rsidR="001D69C1" w:rsidRDefault="001D69C1">
            <w:pPr>
              <w:spacing w:before="40" w:after="40" w:line="240" w:lineRule="auto"/>
            </w:pP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−0.014 (−0.029, 0.002)</w:t>
            </w: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0.081</w:t>
            </w:r>
          </w:p>
        </w:tc>
        <w:tc>
          <w:tcPr>
            <w:tcW w:w="2765" w:type="dxa"/>
            <w:tcBorders>
              <w:top w:val="nil"/>
              <w:left w:val="nil"/>
              <w:right w:val="nil"/>
            </w:tcBorders>
            <w:vAlign w:val="center"/>
          </w:tcPr>
          <w:p w:rsidR="001D69C1" w:rsidRDefault="00000000">
            <w:pPr>
              <w:spacing w:before="40" w:after="40" w:line="240" w:lineRule="auto"/>
              <w:jc w:val="center"/>
            </w:pPr>
            <w:r>
              <w:rPr>
                <w:rFonts w:eastAsia="Times New Roman"/>
              </w:rPr>
              <w:t>(−0.044, 0.002)</w:t>
            </w:r>
          </w:p>
        </w:tc>
      </w:tr>
      <w:tr w:rsidR="001D69C1" w:rsidTr="00426FCA">
        <w:trPr>
          <w:jc w:val="center"/>
        </w:trPr>
        <w:tc>
          <w:tcPr>
            <w:tcW w:w="2765" w:type="dxa"/>
            <w:tcBorders>
              <w:left w:val="nil"/>
              <w:right w:val="nil"/>
            </w:tcBorders>
            <w:vAlign w:val="center"/>
          </w:tcPr>
          <w:p w:rsidR="001D69C1" w:rsidRDefault="00000000">
            <w:pPr>
              <w:spacing w:before="40" w:after="40" w:line="240" w:lineRule="auto"/>
            </w:pPr>
            <w:r>
              <w:rPr>
                <w:rFonts w:eastAsia="Times New Roman"/>
              </w:rPr>
              <w:t xml:space="preserve">  Other occupations</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−0.275 (−1.074, 0.524)</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0.500</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(−1.795, 0.906)</w:t>
            </w:r>
          </w:p>
        </w:tc>
      </w:tr>
      <w:tr w:rsidR="001D69C1">
        <w:trPr>
          <w:jc w:val="center"/>
        </w:trPr>
        <w:tc>
          <w:tcPr>
            <w:tcW w:w="2765" w:type="dxa"/>
            <w:tcBorders>
              <w:left w:val="nil"/>
              <w:right w:val="nil"/>
            </w:tcBorders>
            <w:vAlign w:val="center"/>
          </w:tcPr>
          <w:p w:rsidR="001D69C1" w:rsidRDefault="001D69C1">
            <w:pPr>
              <w:spacing w:before="40" w:after="40" w:line="240" w:lineRule="auto"/>
            </w:pP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−0.044 (−0.075, −0.013)</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0.006</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(−0.079, −0.004)</w:t>
            </w:r>
          </w:p>
        </w:tc>
      </w:tr>
      <w:tr w:rsidR="001D69C1">
        <w:trPr>
          <w:jc w:val="center"/>
        </w:trPr>
        <w:tc>
          <w:tcPr>
            <w:tcW w:w="2765" w:type="dxa"/>
            <w:tcBorders>
              <w:left w:val="nil"/>
              <w:right w:val="nil"/>
            </w:tcBorders>
            <w:vAlign w:val="center"/>
          </w:tcPr>
          <w:p w:rsidR="001D69C1" w:rsidRDefault="001D69C1">
            <w:pPr>
              <w:spacing w:before="40" w:after="40" w:line="240" w:lineRule="auto"/>
            </w:pP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0.008 (−0.005, 0.021)</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0.211</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(−0.017, 0.020)</w:t>
            </w:r>
          </w:p>
        </w:tc>
      </w:tr>
      <w:tr w:rsidR="001D69C1">
        <w:trPr>
          <w:jc w:val="center"/>
        </w:trPr>
        <w:tc>
          <w:tcPr>
            <w:tcW w:w="2765" w:type="dxa"/>
            <w:tcBorders>
              <w:left w:val="nil"/>
              <w:right w:val="nil"/>
            </w:tcBorders>
            <w:vAlign w:val="center"/>
          </w:tcPr>
          <w:p w:rsidR="001D69C1" w:rsidRDefault="00000000">
            <w:pPr>
              <w:spacing w:before="40" w:after="40" w:line="240" w:lineRule="auto"/>
            </w:pPr>
            <w:r>
              <w:rPr>
                <w:rFonts w:eastAsia="Times New Roman"/>
              </w:rPr>
              <w:t xml:space="preserve">  Not specified</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0.032 (−0.625, 0.689)</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0.924</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(−3.521, 1.286)</w:t>
            </w:r>
          </w:p>
        </w:tc>
      </w:tr>
      <w:tr w:rsidR="001D69C1">
        <w:trPr>
          <w:jc w:val="center"/>
        </w:trPr>
        <w:tc>
          <w:tcPr>
            <w:tcW w:w="2765" w:type="dxa"/>
            <w:tcBorders>
              <w:left w:val="nil"/>
              <w:right w:val="nil"/>
            </w:tcBorders>
            <w:vAlign w:val="center"/>
          </w:tcPr>
          <w:p w:rsidR="001D69C1" w:rsidRDefault="001D69C1">
            <w:pPr>
              <w:spacing w:before="40" w:after="40" w:line="240" w:lineRule="auto"/>
            </w:pP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−0.093 (−0.124, −0.063)</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left w:val="nil"/>
              <w:right w:val="nil"/>
            </w:tcBorders>
            <w:vAlign w:val="center"/>
          </w:tcPr>
          <w:p w:rsidR="001D69C1" w:rsidRDefault="00000000">
            <w:pPr>
              <w:spacing w:before="40" w:after="40" w:line="240" w:lineRule="auto"/>
              <w:jc w:val="center"/>
            </w:pPr>
            <w:r>
              <w:rPr>
                <w:rFonts w:eastAsia="Times New Roman"/>
              </w:rPr>
              <w:t>(−0.131, 0.005)</w:t>
            </w:r>
          </w:p>
        </w:tc>
      </w:tr>
      <w:tr w:rsidR="001D69C1">
        <w:trPr>
          <w:jc w:val="center"/>
        </w:trPr>
        <w:tc>
          <w:tcPr>
            <w:tcW w:w="2765" w:type="dxa"/>
            <w:tcBorders>
              <w:left w:val="nil"/>
              <w:bottom w:val="single" w:sz="12" w:space="0" w:color="000000"/>
              <w:right w:val="nil"/>
            </w:tcBorders>
            <w:vAlign w:val="center"/>
          </w:tcPr>
          <w:p w:rsidR="001D69C1" w:rsidRDefault="001D69C1">
            <w:pPr>
              <w:spacing w:before="40" w:after="40" w:line="240" w:lineRule="auto"/>
            </w:pPr>
          </w:p>
        </w:tc>
        <w:tc>
          <w:tcPr>
            <w:tcW w:w="2765" w:type="dxa"/>
            <w:tcBorders>
              <w:left w:val="nil"/>
              <w:bottom w:val="single" w:sz="12" w:space="0" w:color="000000"/>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left w:val="nil"/>
              <w:bottom w:val="single" w:sz="12" w:space="0" w:color="000000"/>
              <w:right w:val="nil"/>
            </w:tcBorders>
            <w:vAlign w:val="center"/>
          </w:tcPr>
          <w:p w:rsidR="001D69C1" w:rsidRDefault="00000000">
            <w:pPr>
              <w:spacing w:before="40" w:after="40" w:line="240" w:lineRule="auto"/>
              <w:jc w:val="center"/>
            </w:pPr>
            <w:r>
              <w:rPr>
                <w:rFonts w:eastAsia="Times New Roman"/>
              </w:rPr>
              <w:t>0.017 (−0.001, 0.035)</w:t>
            </w:r>
          </w:p>
        </w:tc>
        <w:tc>
          <w:tcPr>
            <w:tcW w:w="2765" w:type="dxa"/>
            <w:tcBorders>
              <w:left w:val="nil"/>
              <w:bottom w:val="single" w:sz="12" w:space="0" w:color="000000"/>
              <w:right w:val="nil"/>
            </w:tcBorders>
            <w:vAlign w:val="center"/>
          </w:tcPr>
          <w:p w:rsidR="001D69C1" w:rsidRDefault="00000000">
            <w:pPr>
              <w:spacing w:before="40" w:after="40" w:line="240" w:lineRule="auto"/>
              <w:jc w:val="center"/>
            </w:pPr>
            <w:r>
              <w:rPr>
                <w:rFonts w:eastAsia="Times New Roman"/>
              </w:rPr>
              <w:t>0.067</w:t>
            </w:r>
          </w:p>
        </w:tc>
        <w:tc>
          <w:tcPr>
            <w:tcW w:w="2765" w:type="dxa"/>
            <w:tcBorders>
              <w:left w:val="nil"/>
              <w:bottom w:val="single" w:sz="12" w:space="0" w:color="000000"/>
              <w:right w:val="nil"/>
            </w:tcBorders>
            <w:vAlign w:val="center"/>
          </w:tcPr>
          <w:p w:rsidR="001D69C1" w:rsidRDefault="00000000">
            <w:pPr>
              <w:spacing w:before="40" w:after="40" w:line="240" w:lineRule="auto"/>
              <w:jc w:val="center"/>
            </w:pPr>
            <w:r>
              <w:rPr>
                <w:rFonts w:eastAsia="Times New Roman"/>
              </w:rPr>
              <w:t>(−0.008, 0.042)</w:t>
            </w:r>
          </w:p>
        </w:tc>
      </w:tr>
    </w:tbl>
    <w:p w:rsidR="001D69C1" w:rsidRDefault="00000000">
      <w:pPr>
        <w:spacing w:before="120" w:after="40" w:line="240" w:lineRule="auto"/>
      </w:pPr>
      <w:r>
        <w:rPr>
          <w:rFonts w:eastAsia="Times New Roman"/>
        </w:rPr>
        <w:t>Abbreviations: AFF, agriculture, forestry, and fishery; CI, confidence interval.</w:t>
      </w:r>
    </w:p>
    <w:p w:rsidR="001D69C1" w:rsidRDefault="00000000">
      <w:pPr>
        <w:spacing w:before="40" w:after="40" w:line="240" w:lineRule="auto"/>
      </w:pPr>
      <w:r>
        <w:rPr>
          <w:rFonts w:eastAsia="Times New Roman"/>
        </w:rPr>
        <w:t>Estimates on square root scale. Negative values indicate reduction.</w:t>
      </w:r>
    </w:p>
    <w:p w:rsidR="001D69C1" w:rsidRDefault="00000000">
      <w:r>
        <w:br w:type="page"/>
      </w:r>
    </w:p>
    <w:p w:rsidR="001D69C1" w:rsidRDefault="00000000">
      <w:pPr>
        <w:spacing w:before="120" w:after="120" w:line="240" w:lineRule="auto"/>
      </w:pPr>
      <w:r>
        <w:rPr>
          <w:rFonts w:eastAsia="Times New Roman"/>
          <w:b/>
          <w:sz w:val="20"/>
        </w:rPr>
        <w:lastRenderedPageBreak/>
        <w:t>eTable 4. Comparison of Count-Based and Rate-Based Interrupted Time Series Analysis for Pesticide Suicide</w:t>
      </w:r>
    </w:p>
    <w:p w:rsidR="001D69C1" w:rsidRDefault="00000000">
      <w:pPr>
        <w:spacing w:before="120" w:after="120" w:line="240" w:lineRule="auto"/>
      </w:pPr>
      <w:r>
        <w:rPr>
          <w:b/>
          <w:sz w:val="20"/>
        </w:rPr>
        <w:t>Panel A. ITS Parameter Estimates</w:t>
      </w:r>
    </w:p>
    <w:tbl>
      <w:tblPr>
        <w:tblW w:w="5000" w:type="pct"/>
        <w:jc w:val="center"/>
        <w:tblLook w:val="04A0" w:firstRow="1" w:lastRow="0" w:firstColumn="1" w:lastColumn="0" w:noHBand="0" w:noVBand="1"/>
      </w:tblPr>
      <w:tblGrid>
        <w:gridCol w:w="2340"/>
        <w:gridCol w:w="2340"/>
        <w:gridCol w:w="2340"/>
        <w:gridCol w:w="2340"/>
        <w:gridCol w:w="2340"/>
        <w:gridCol w:w="2340"/>
      </w:tblGrid>
      <w:tr w:rsidR="001D69C1">
        <w:trPr>
          <w:jc w:val="center"/>
        </w:trPr>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Primary: Counts (95% CI)</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ASR: Wald (95% CI)</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ASR: Bootstrap 95% CI</w:t>
            </w:r>
          </w:p>
        </w:tc>
      </w:tr>
      <w:tr w:rsidR="001D69C1">
        <w:trPr>
          <w:jc w:val="center"/>
        </w:trPr>
        <w:tc>
          <w:tcPr>
            <w:tcW w:w="2304" w:type="dxa"/>
            <w:tcBorders>
              <w:top w:val="nil"/>
              <w:left w:val="nil"/>
              <w:bottom w:val="nil"/>
              <w:right w:val="nil"/>
            </w:tcBorders>
            <w:vAlign w:val="center"/>
          </w:tcPr>
          <w:p w:rsidR="001D69C1" w:rsidRDefault="00000000">
            <w:pPr>
              <w:spacing w:before="40" w:after="40" w:line="240" w:lineRule="auto"/>
            </w:pPr>
            <w:r>
              <w:rPr>
                <w:rFonts w:eastAsia="Times New Roman"/>
              </w:rPr>
              <w:t>Level change</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−0.204 (−0.989, 0.581)</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0.610</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−0.011 (−0.046, 0.024)</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0.528</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(−0.213, 0.102)</w:t>
            </w:r>
          </w:p>
        </w:tc>
      </w:tr>
      <w:tr w:rsidR="001D69C1">
        <w:trPr>
          <w:jc w:val="center"/>
        </w:trPr>
        <w:tc>
          <w:tcPr>
            <w:tcW w:w="2304" w:type="dxa"/>
            <w:tcBorders>
              <w:top w:val="nil"/>
              <w:left w:val="nil"/>
              <w:bottom w:val="nil"/>
              <w:right w:val="nil"/>
            </w:tcBorders>
            <w:vAlign w:val="center"/>
          </w:tcPr>
          <w:p w:rsidR="001D69C1" w:rsidRDefault="00000000">
            <w:pPr>
              <w:spacing w:before="40" w:after="40" w:line="240" w:lineRule="auto"/>
            </w:pPr>
            <w:r>
              <w:rPr>
                <w:rFonts w:eastAsia="Times New Roman"/>
              </w:rPr>
              <w:t>Initial slope</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−0.122 (−0.163, −0.082)</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−0.005 (−0.007, −0.003)</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(−0.009, 0.000)</w:t>
            </w:r>
          </w:p>
        </w:tc>
      </w:tr>
      <w:tr w:rsidR="001D69C1">
        <w:trPr>
          <w:jc w:val="center"/>
        </w:trPr>
        <w:tc>
          <w:tcPr>
            <w:tcW w:w="2304"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Later slope</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0.012 (−0.012, 0.036)</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0.332</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0.001 (0.000, 0.002)</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0.034</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(−0.001, 0.003)</w:t>
            </w:r>
          </w:p>
        </w:tc>
      </w:tr>
    </w:tbl>
    <w:p w:rsidR="001D69C1" w:rsidRDefault="001D69C1"/>
    <w:p w:rsidR="001D69C1" w:rsidRDefault="00000000">
      <w:pPr>
        <w:spacing w:before="120" w:after="120" w:line="240" w:lineRule="auto"/>
      </w:pPr>
      <w:r>
        <w:rPr>
          <w:b/>
          <w:sz w:val="20"/>
        </w:rPr>
        <w:t>Panel B. Model Diagnostics</w:t>
      </w:r>
    </w:p>
    <w:tbl>
      <w:tblPr>
        <w:tblW w:w="0" w:type="auto"/>
        <w:tblBorders>
          <w:top w:val="single" w:sz="12" w:space="0" w:color="000000"/>
          <w:left w:val="nil"/>
          <w:bottom w:val="single" w:sz="12" w:space="0" w:color="000000"/>
          <w:right w:val="nil"/>
          <w:insideH w:val="nil"/>
          <w:insideV w:val="nil"/>
        </w:tblBorders>
        <w:tblLook w:val="04A0" w:firstRow="1" w:lastRow="0" w:firstColumn="1" w:lastColumn="0" w:noHBand="0" w:noVBand="1"/>
      </w:tblPr>
      <w:tblGrid>
        <w:gridCol w:w="2304"/>
        <w:gridCol w:w="2304"/>
        <w:gridCol w:w="2304"/>
        <w:gridCol w:w="2304"/>
        <w:gridCol w:w="2304"/>
        <w:gridCol w:w="2304"/>
      </w:tblGrid>
      <w:tr w:rsidR="001D69C1">
        <w:tc>
          <w:tcPr>
            <w:tcW w:w="2304" w:type="dxa"/>
            <w:tcBorders>
              <w:bottom w:val="single" w:sz="8" w:space="0" w:color="000000"/>
            </w:tcBorders>
            <w:vAlign w:val="center"/>
          </w:tcPr>
          <w:p w:rsidR="001D69C1" w:rsidRDefault="00000000">
            <w:pPr>
              <w:spacing w:before="40" w:after="40" w:line="240" w:lineRule="auto"/>
              <w:jc w:val="center"/>
            </w:pPr>
            <w:r>
              <w:rPr>
                <w:b/>
              </w:rPr>
              <w:t>Outcome</w:t>
            </w:r>
          </w:p>
        </w:tc>
        <w:tc>
          <w:tcPr>
            <w:tcW w:w="2304" w:type="dxa"/>
            <w:tcBorders>
              <w:bottom w:val="single" w:sz="8" w:space="0" w:color="000000"/>
            </w:tcBorders>
            <w:vAlign w:val="center"/>
          </w:tcPr>
          <w:p w:rsidR="001D69C1" w:rsidRDefault="00000000">
            <w:pPr>
              <w:spacing w:before="40" w:after="40" w:line="240" w:lineRule="auto"/>
              <w:jc w:val="center"/>
            </w:pPr>
            <w:r>
              <w:rPr>
                <w:b/>
              </w:rPr>
              <w:t>ARIMA Order</w:t>
            </w:r>
          </w:p>
        </w:tc>
        <w:tc>
          <w:tcPr>
            <w:tcW w:w="2304" w:type="dxa"/>
            <w:tcBorders>
              <w:bottom w:val="single" w:sz="8" w:space="0" w:color="000000"/>
            </w:tcBorders>
            <w:vAlign w:val="center"/>
          </w:tcPr>
          <w:p w:rsidR="001D69C1" w:rsidRDefault="00000000">
            <w:pPr>
              <w:spacing w:before="40" w:after="40" w:line="240" w:lineRule="auto"/>
              <w:jc w:val="center"/>
            </w:pPr>
            <w:r>
              <w:rPr>
                <w:b/>
              </w:rPr>
              <w:t>Ljung-Box p</w:t>
            </w:r>
          </w:p>
        </w:tc>
        <w:tc>
          <w:tcPr>
            <w:tcW w:w="2304" w:type="dxa"/>
            <w:tcBorders>
              <w:bottom w:val="single" w:sz="8" w:space="0" w:color="000000"/>
            </w:tcBorders>
            <w:vAlign w:val="center"/>
          </w:tcPr>
          <w:p w:rsidR="001D69C1" w:rsidRDefault="00000000">
            <w:pPr>
              <w:spacing w:before="40" w:after="40" w:line="240" w:lineRule="auto"/>
              <w:jc w:val="center"/>
            </w:pPr>
            <w:r>
              <w:rPr>
                <w:b/>
              </w:rPr>
              <w:t>Shapiro-Wilk p</w:t>
            </w:r>
          </w:p>
        </w:tc>
        <w:tc>
          <w:tcPr>
            <w:tcW w:w="2304" w:type="dxa"/>
            <w:tcBorders>
              <w:bottom w:val="single" w:sz="8" w:space="0" w:color="000000"/>
            </w:tcBorders>
            <w:vAlign w:val="center"/>
          </w:tcPr>
          <w:p w:rsidR="001D69C1" w:rsidRDefault="00000000">
            <w:pPr>
              <w:spacing w:before="40" w:after="40" w:line="240" w:lineRule="auto"/>
              <w:jc w:val="center"/>
            </w:pPr>
            <w:r>
              <w:rPr>
                <w:b/>
              </w:rPr>
              <w:t>AIC</w:t>
            </w:r>
          </w:p>
        </w:tc>
        <w:tc>
          <w:tcPr>
            <w:tcW w:w="2304" w:type="dxa"/>
            <w:tcBorders>
              <w:bottom w:val="single" w:sz="8" w:space="0" w:color="000000"/>
            </w:tcBorders>
            <w:vAlign w:val="center"/>
          </w:tcPr>
          <w:p w:rsidR="001D69C1" w:rsidRDefault="00000000">
            <w:pPr>
              <w:spacing w:before="40" w:after="40" w:line="240" w:lineRule="auto"/>
              <w:jc w:val="center"/>
            </w:pPr>
            <w:r>
              <w:rPr>
                <w:b/>
              </w:rPr>
              <w:t>BIC</w:t>
            </w:r>
          </w:p>
        </w:tc>
      </w:tr>
      <w:tr w:rsidR="001D69C1">
        <w:tc>
          <w:tcPr>
            <w:tcW w:w="2304" w:type="dxa"/>
            <w:vAlign w:val="center"/>
          </w:tcPr>
          <w:p w:rsidR="001D69C1" w:rsidRDefault="00000000">
            <w:pPr>
              <w:spacing w:before="40" w:after="40" w:line="240" w:lineRule="auto"/>
            </w:pPr>
            <w:r>
              <w:t>Pesticide (counts)</w:t>
            </w:r>
          </w:p>
        </w:tc>
        <w:tc>
          <w:tcPr>
            <w:tcW w:w="2304" w:type="dxa"/>
            <w:vAlign w:val="center"/>
          </w:tcPr>
          <w:p w:rsidR="001D69C1" w:rsidRDefault="00000000">
            <w:pPr>
              <w:spacing w:before="40" w:after="40" w:line="240" w:lineRule="auto"/>
            </w:pPr>
            <w:r>
              <w:t>ARIMA(1,0,2)(2,0,0)[12]</w:t>
            </w:r>
          </w:p>
        </w:tc>
        <w:tc>
          <w:tcPr>
            <w:tcW w:w="2304" w:type="dxa"/>
            <w:vAlign w:val="center"/>
          </w:tcPr>
          <w:p w:rsidR="001D69C1" w:rsidRDefault="00000000">
            <w:pPr>
              <w:spacing w:before="40" w:after="40" w:line="240" w:lineRule="auto"/>
            </w:pPr>
            <w:r>
              <w:t>0.420</w:t>
            </w:r>
          </w:p>
        </w:tc>
        <w:tc>
          <w:tcPr>
            <w:tcW w:w="2304" w:type="dxa"/>
            <w:vAlign w:val="center"/>
          </w:tcPr>
          <w:p w:rsidR="001D69C1" w:rsidRDefault="00000000">
            <w:pPr>
              <w:spacing w:before="40" w:after="40" w:line="240" w:lineRule="auto"/>
            </w:pPr>
            <w:r>
              <w:t>0.144</w:t>
            </w:r>
          </w:p>
        </w:tc>
        <w:tc>
          <w:tcPr>
            <w:tcW w:w="2304" w:type="dxa"/>
            <w:vAlign w:val="center"/>
          </w:tcPr>
          <w:p w:rsidR="001D69C1" w:rsidRDefault="00000000">
            <w:pPr>
              <w:spacing w:before="40" w:after="40" w:line="240" w:lineRule="auto"/>
            </w:pPr>
            <w:r>
              <w:t>549.4</w:t>
            </w:r>
          </w:p>
        </w:tc>
        <w:tc>
          <w:tcPr>
            <w:tcW w:w="2304" w:type="dxa"/>
            <w:vAlign w:val="center"/>
          </w:tcPr>
          <w:p w:rsidR="001D69C1" w:rsidRDefault="00000000">
            <w:pPr>
              <w:spacing w:before="40" w:after="40" w:line="240" w:lineRule="auto"/>
            </w:pPr>
            <w:r>
              <w:t>587.7</w:t>
            </w:r>
          </w:p>
        </w:tc>
      </w:tr>
      <w:tr w:rsidR="001D69C1">
        <w:tc>
          <w:tcPr>
            <w:tcW w:w="2304" w:type="dxa"/>
            <w:vAlign w:val="center"/>
          </w:tcPr>
          <w:p w:rsidR="001D69C1" w:rsidRDefault="00000000">
            <w:pPr>
              <w:spacing w:before="40" w:after="40" w:line="240" w:lineRule="auto"/>
            </w:pPr>
            <w:r>
              <w:t>Pesticide (ASR)</w:t>
            </w:r>
          </w:p>
        </w:tc>
        <w:tc>
          <w:tcPr>
            <w:tcW w:w="2304" w:type="dxa"/>
            <w:vAlign w:val="center"/>
          </w:tcPr>
          <w:p w:rsidR="001D69C1" w:rsidRDefault="00000000">
            <w:pPr>
              <w:spacing w:before="40" w:after="40" w:line="240" w:lineRule="auto"/>
            </w:pPr>
            <w:r>
              <w:t>ARIMA(1,0,2)(2,0,0)[12]</w:t>
            </w:r>
          </w:p>
        </w:tc>
        <w:tc>
          <w:tcPr>
            <w:tcW w:w="2304" w:type="dxa"/>
            <w:vAlign w:val="center"/>
          </w:tcPr>
          <w:p w:rsidR="001D69C1" w:rsidRDefault="00000000">
            <w:pPr>
              <w:spacing w:before="40" w:after="40" w:line="240" w:lineRule="auto"/>
            </w:pPr>
            <w:r>
              <w:t>0.387</w:t>
            </w:r>
          </w:p>
        </w:tc>
        <w:tc>
          <w:tcPr>
            <w:tcW w:w="2304" w:type="dxa"/>
            <w:vAlign w:val="center"/>
          </w:tcPr>
          <w:p w:rsidR="001D69C1" w:rsidRDefault="00000000">
            <w:pPr>
              <w:spacing w:before="40" w:after="40" w:line="240" w:lineRule="auto"/>
            </w:pPr>
            <w:r>
              <w:t>0.329</w:t>
            </w:r>
          </w:p>
        </w:tc>
        <w:tc>
          <w:tcPr>
            <w:tcW w:w="2304" w:type="dxa"/>
            <w:vAlign w:val="center"/>
          </w:tcPr>
          <w:p w:rsidR="001D69C1" w:rsidRDefault="00000000">
            <w:pPr>
              <w:spacing w:before="40" w:after="40" w:line="240" w:lineRule="auto"/>
            </w:pPr>
            <w:r>
              <w:t>−512.8</w:t>
            </w:r>
          </w:p>
        </w:tc>
        <w:tc>
          <w:tcPr>
            <w:tcW w:w="2304" w:type="dxa"/>
            <w:vAlign w:val="center"/>
          </w:tcPr>
          <w:p w:rsidR="001D69C1" w:rsidRDefault="00000000">
            <w:pPr>
              <w:spacing w:before="40" w:after="40" w:line="240" w:lineRule="auto"/>
            </w:pPr>
            <w:r>
              <w:t>−474.5</w:t>
            </w:r>
          </w:p>
        </w:tc>
      </w:tr>
    </w:tbl>
    <w:p w:rsidR="001D69C1" w:rsidRDefault="00000000">
      <w:pPr>
        <w:spacing w:before="120" w:after="40" w:line="240" w:lineRule="auto"/>
      </w:pPr>
      <w:r>
        <w:rPr>
          <w:rFonts w:eastAsia="Times New Roman"/>
        </w:rPr>
        <w:t>Abbreviations: ASR, age-sex standardized rate (per 100,000); CI, confidence interval.</w:t>
      </w:r>
    </w:p>
    <w:p w:rsidR="001D69C1" w:rsidRDefault="00000000">
      <w:pPr>
        <w:spacing w:before="40" w:after="40" w:line="240" w:lineRule="auto"/>
      </w:pPr>
      <w:r>
        <w:rPr>
          <w:rFonts w:eastAsia="Times New Roman"/>
        </w:rPr>
        <w:t>Standard population: 2010 Korean census. Ljung-Box test for residual autocorrelation (p &gt; 0.05 indicates no significant autocorrelation). Shapiro-Wilk test for residual normality (p &gt; 0.05 indicates normality satisfied). See Figure 3 for visualization.</w:t>
      </w:r>
    </w:p>
    <w:p w:rsidR="001D69C1" w:rsidRDefault="00000000">
      <w:r>
        <w:br w:type="page"/>
      </w:r>
    </w:p>
    <w:p w:rsidR="001D69C1" w:rsidRDefault="00000000">
      <w:pPr>
        <w:spacing w:before="120" w:after="120" w:line="240" w:lineRule="auto"/>
      </w:pPr>
      <w:r>
        <w:rPr>
          <w:rFonts w:eastAsia="Times New Roman"/>
          <w:b/>
          <w:sz w:val="20"/>
        </w:rPr>
        <w:lastRenderedPageBreak/>
        <w:t>eTable 5. Sensitivity Analysis for Intervention Timing: Pesticide Suicide</w:t>
      </w:r>
    </w:p>
    <w:tbl>
      <w:tblPr>
        <w:tblW w:w="5000" w:type="pct"/>
        <w:jc w:val="center"/>
        <w:tblLook w:val="04A0" w:firstRow="1" w:lastRow="0" w:firstColumn="1" w:lastColumn="0" w:noHBand="0" w:noVBand="1"/>
      </w:tblPr>
      <w:tblGrid>
        <w:gridCol w:w="2808"/>
        <w:gridCol w:w="2808"/>
        <w:gridCol w:w="2808"/>
        <w:gridCol w:w="2808"/>
        <w:gridCol w:w="2808"/>
      </w:tblGrid>
      <w:tr w:rsidR="001D69C1">
        <w:trPr>
          <w:jc w:val="center"/>
        </w:trPr>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Intervention Timing</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Wald Estimate (95% CI)</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Bootstrap 95% CI</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December 2011 (Primary)</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−0.204 (−0.989, 0.581)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0.610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(−4.497, 2.223)</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−0.122 (−0.163, −0.082)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(−0.214, −0.012)</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0.012 (−0.012, 0.036)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0.332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(−0.040, 0.049)</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May 2012 (+6 months)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−1.457 (−2.230, −0.683)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(−7.849, 1.090)</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−0.085 (−0.125, −0.045)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(−0.189, 0.099)</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0.012 (−0.012, 0.036)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0.317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(−0.036, 0.049)</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December 2012 (+12 months)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−1.383 (−2.418, −0.347)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(−6.790, −0.191)</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−0.043 (−0.090, 0.003)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0.068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(−0.136, 0.070)</w:t>
            </w:r>
          </w:p>
        </w:tc>
      </w:tr>
      <w:tr w:rsidR="001D69C1">
        <w:trPr>
          <w:jc w:val="center"/>
        </w:trPr>
        <w:tc>
          <w:tcPr>
            <w:tcW w:w="2765" w:type="dxa"/>
            <w:tcBorders>
              <w:top w:val="nil"/>
              <w:left w:val="nil"/>
              <w:bottom w:val="single" w:sz="12" w:space="0" w:color="000000"/>
              <w:right w:val="nil"/>
            </w:tcBorders>
            <w:vAlign w:val="center"/>
          </w:tcPr>
          <w:p w:rsidR="001D69C1" w:rsidRDefault="001D69C1">
            <w:pPr>
              <w:spacing w:before="40" w:after="40" w:line="240" w:lineRule="auto"/>
            </w:pP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0.022 (−0.005, 0.050)</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0.112</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(−0.026, 0.053)</w:t>
            </w:r>
          </w:p>
        </w:tc>
      </w:tr>
    </w:tbl>
    <w:p w:rsidR="001D69C1" w:rsidRDefault="00000000">
      <w:pPr>
        <w:spacing w:before="120" w:after="40" w:line="240" w:lineRule="auto"/>
      </w:pPr>
      <w:r>
        <w:rPr>
          <w:rFonts w:eastAsia="Times New Roman"/>
        </w:rPr>
        <w:t>Abbreviations: CI, confidence interval.</w:t>
      </w:r>
    </w:p>
    <w:p w:rsidR="001D69C1" w:rsidRDefault="00000000">
      <w:r>
        <w:br w:type="page"/>
      </w:r>
    </w:p>
    <w:p w:rsidR="001D69C1" w:rsidRDefault="00000000">
      <w:pPr>
        <w:spacing w:before="120" w:after="120" w:line="240" w:lineRule="auto"/>
      </w:pPr>
      <w:r>
        <w:rPr>
          <w:rFonts w:eastAsia="Times New Roman"/>
          <w:b/>
          <w:sz w:val="20"/>
        </w:rPr>
        <w:lastRenderedPageBreak/>
        <w:t>eTable 6. Sensitivity Analysis for Initial Period Length: Pesticide Suicide</w:t>
      </w:r>
    </w:p>
    <w:tbl>
      <w:tblPr>
        <w:tblW w:w="5000" w:type="pct"/>
        <w:jc w:val="center"/>
        <w:tblLook w:val="04A0" w:firstRow="1" w:lastRow="0" w:firstColumn="1" w:lastColumn="0" w:noHBand="0" w:noVBand="1"/>
      </w:tblPr>
      <w:tblGrid>
        <w:gridCol w:w="2808"/>
        <w:gridCol w:w="2808"/>
        <w:gridCol w:w="2808"/>
        <w:gridCol w:w="2808"/>
        <w:gridCol w:w="2808"/>
      </w:tblGrid>
      <w:tr w:rsidR="001D69C1">
        <w:trPr>
          <w:jc w:val="center"/>
        </w:trPr>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Initial Period</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Wald Estimate (95% CI)</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Bootstrap 95% CI</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6 months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0.477 (−0.914, 1.867)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0.502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(−3.673, 3.537)</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−0.398 (−0.710, −0.087)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(−1.123, 0.157)</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−0.009 (−0.044, 0.025)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0.590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(−0.067, 0.030)</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12 months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0.676 (−0.453, 1.804)</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0.241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(−2.356, 11.946)</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−0.293 (−0.420, −0.166)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(−1.328, −0.103)</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−0.003 (−0.031, 0.025)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0.817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(−0.064, 0.038)</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24 months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0.307 (−0.479, 1.093)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0.444</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(−2.670, 8.863)</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−0.183 (−0.231, −0.134)</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(−0.519, −0.042)</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0.007 (−0.015, 0.029)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0.533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(−0.048, 0.040)</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36 months (Primary)</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−0.204 (−0.989, 0.581)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0.610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(−3.978, 2.525)</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−0.122 (−0.163, −0.082)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(−0.211, −0.003)</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0.012 (−0.012, 0.036)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0.332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(−0.042, 0.049)</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60 months</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Level change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−0.540 (−1.490, 0.409)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0.265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(−5.073, 0.611)</w:t>
            </w:r>
          </w:p>
        </w:tc>
      </w:tr>
      <w:tr w:rsidR="001D69C1">
        <w:trPr>
          <w:jc w:val="center"/>
        </w:trPr>
        <w:tc>
          <w:tcPr>
            <w:tcW w:w="2765" w:type="dxa"/>
            <w:tcBorders>
              <w:top w:val="nil"/>
              <w:left w:val="nil"/>
              <w:bottom w:val="nil"/>
              <w:right w:val="nil"/>
            </w:tcBorders>
            <w:vAlign w:val="center"/>
          </w:tcPr>
          <w:p w:rsidR="001D69C1" w:rsidRDefault="001D69C1">
            <w:pPr>
              <w:spacing w:before="40" w:after="40" w:line="240" w:lineRule="auto"/>
            </w:pP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Initial slope</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−0.062 (−0.105, −0.019)</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(−0.125, 0.020)</w:t>
            </w:r>
          </w:p>
        </w:tc>
      </w:tr>
      <w:tr w:rsidR="001D69C1">
        <w:trPr>
          <w:jc w:val="center"/>
        </w:trPr>
        <w:tc>
          <w:tcPr>
            <w:tcW w:w="2765" w:type="dxa"/>
            <w:tcBorders>
              <w:top w:val="nil"/>
              <w:left w:val="nil"/>
              <w:bottom w:val="single" w:sz="12" w:space="0" w:color="000000"/>
              <w:right w:val="nil"/>
            </w:tcBorders>
            <w:vAlign w:val="center"/>
          </w:tcPr>
          <w:p w:rsidR="001D69C1" w:rsidRDefault="001D69C1">
            <w:pPr>
              <w:spacing w:before="40" w:after="40" w:line="240" w:lineRule="auto"/>
            </w:pP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Later slope</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0.016 (−0.020, 0.051)</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0.386</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(−0.035, 0.071)</w:t>
            </w:r>
          </w:p>
        </w:tc>
      </w:tr>
    </w:tbl>
    <w:p w:rsidR="001D69C1" w:rsidRDefault="00000000">
      <w:pPr>
        <w:spacing w:before="120" w:after="40" w:line="240" w:lineRule="auto"/>
      </w:pPr>
      <w:r>
        <w:rPr>
          <w:rFonts w:eastAsia="Times New Roman"/>
        </w:rPr>
        <w:t>Abbreviations: CI, confidence interval.</w:t>
      </w:r>
    </w:p>
    <w:p w:rsidR="001D69C1" w:rsidRDefault="00000000">
      <w:r>
        <w:br w:type="page"/>
      </w:r>
    </w:p>
    <w:p w:rsidR="001D69C1" w:rsidRDefault="00000000">
      <w:pPr>
        <w:spacing w:before="120" w:after="120" w:line="240" w:lineRule="auto"/>
      </w:pPr>
      <w:r>
        <w:rPr>
          <w:rFonts w:eastAsia="Times New Roman"/>
          <w:b/>
          <w:sz w:val="20"/>
        </w:rPr>
        <w:lastRenderedPageBreak/>
        <w:t>eTable 7. Sensitivity Analysis Using Log Transformation for Pesticide Suicide</w:t>
      </w:r>
    </w:p>
    <w:tbl>
      <w:tblPr>
        <w:tblW w:w="5000" w:type="pct"/>
        <w:jc w:val="center"/>
        <w:tblLook w:val="04A0" w:firstRow="1" w:lastRow="0" w:firstColumn="1" w:lastColumn="0" w:noHBand="0" w:noVBand="1"/>
      </w:tblPr>
      <w:tblGrid>
        <w:gridCol w:w="2005"/>
        <w:gridCol w:w="2005"/>
        <w:gridCol w:w="2006"/>
        <w:gridCol w:w="2006"/>
        <w:gridCol w:w="2006"/>
        <w:gridCol w:w="2006"/>
        <w:gridCol w:w="2006"/>
      </w:tblGrid>
      <w:tr w:rsidR="001D69C1">
        <w:trPr>
          <w:jc w:val="center"/>
        </w:trPr>
        <w:tc>
          <w:tcPr>
            <w:tcW w:w="197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197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Primary: Sqrt (95% CI)</w:t>
            </w:r>
          </w:p>
        </w:tc>
        <w:tc>
          <w:tcPr>
            <w:tcW w:w="197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197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Log: Wald (95% CI)</w:t>
            </w:r>
          </w:p>
        </w:tc>
        <w:tc>
          <w:tcPr>
            <w:tcW w:w="197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197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Direction Consistent</w:t>
            </w:r>
          </w:p>
        </w:tc>
        <w:tc>
          <w:tcPr>
            <w:tcW w:w="197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Significance Consistent</w:t>
            </w:r>
          </w:p>
        </w:tc>
      </w:tr>
      <w:tr w:rsidR="001D69C1">
        <w:trPr>
          <w:jc w:val="center"/>
        </w:trPr>
        <w:tc>
          <w:tcPr>
            <w:tcW w:w="1975" w:type="dxa"/>
            <w:tcBorders>
              <w:top w:val="nil"/>
              <w:left w:val="nil"/>
              <w:bottom w:val="nil"/>
              <w:right w:val="nil"/>
            </w:tcBorders>
            <w:vAlign w:val="center"/>
          </w:tcPr>
          <w:p w:rsidR="001D69C1" w:rsidRDefault="00000000">
            <w:pPr>
              <w:spacing w:before="40" w:after="40" w:line="240" w:lineRule="auto"/>
            </w:pPr>
            <w:r>
              <w:rPr>
                <w:rFonts w:eastAsia="Times New Roman"/>
              </w:rPr>
              <w:t>Level change</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−0.204 (−0.989, 0.581)</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0.61</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0.009 (−0.114, 0.132)</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0.89</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No*</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Yes</w:t>
            </w:r>
          </w:p>
        </w:tc>
      </w:tr>
      <w:tr w:rsidR="001D69C1">
        <w:trPr>
          <w:jc w:val="center"/>
        </w:trPr>
        <w:tc>
          <w:tcPr>
            <w:tcW w:w="1975" w:type="dxa"/>
            <w:tcBorders>
              <w:top w:val="nil"/>
              <w:left w:val="nil"/>
              <w:bottom w:val="nil"/>
              <w:right w:val="nil"/>
            </w:tcBorders>
            <w:vAlign w:val="center"/>
          </w:tcPr>
          <w:p w:rsidR="001D69C1" w:rsidRDefault="00000000">
            <w:pPr>
              <w:spacing w:before="40" w:after="40" w:line="240" w:lineRule="auto"/>
            </w:pPr>
            <w:r>
              <w:rPr>
                <w:rFonts w:eastAsia="Times New Roman"/>
              </w:rPr>
              <w:t>Initial slope</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−0.122 (−0.163, −0.082)</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−0.023 (−0.029, −0.018)</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Yes</w:t>
            </w:r>
          </w:p>
        </w:tc>
        <w:tc>
          <w:tcPr>
            <w:tcW w:w="197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Yes</w:t>
            </w:r>
          </w:p>
        </w:tc>
      </w:tr>
      <w:tr w:rsidR="001D69C1">
        <w:trPr>
          <w:jc w:val="center"/>
        </w:trPr>
        <w:tc>
          <w:tcPr>
            <w:tcW w:w="1975"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Later slope</w:t>
            </w:r>
          </w:p>
        </w:tc>
        <w:tc>
          <w:tcPr>
            <w:tcW w:w="197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0.012 (−0.012, 0.036)</w:t>
            </w:r>
          </w:p>
        </w:tc>
        <w:tc>
          <w:tcPr>
            <w:tcW w:w="197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0.33</w:t>
            </w:r>
          </w:p>
        </w:tc>
        <w:tc>
          <w:tcPr>
            <w:tcW w:w="197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−0.001 (−0.004, 0.003)</w:t>
            </w:r>
          </w:p>
        </w:tc>
        <w:tc>
          <w:tcPr>
            <w:tcW w:w="197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0.72</w:t>
            </w:r>
          </w:p>
        </w:tc>
        <w:tc>
          <w:tcPr>
            <w:tcW w:w="197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No*</w:t>
            </w:r>
          </w:p>
        </w:tc>
        <w:tc>
          <w:tcPr>
            <w:tcW w:w="197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Yes</w:t>
            </w:r>
          </w:p>
        </w:tc>
      </w:tr>
    </w:tbl>
    <w:p w:rsidR="001D69C1" w:rsidRDefault="00000000">
      <w:pPr>
        <w:spacing w:before="120" w:after="40" w:line="240" w:lineRule="auto"/>
      </w:pPr>
      <w:r>
        <w:rPr>
          <w:rFonts w:eastAsia="Times New Roman"/>
        </w:rPr>
        <w:t>Abbreviations: CI, confidence interval; Sqrt, square root.</w:t>
      </w:r>
    </w:p>
    <w:p w:rsidR="001D69C1" w:rsidRDefault="00000000">
      <w:pPr>
        <w:spacing w:before="40" w:after="40" w:line="240" w:lineRule="auto"/>
      </w:pPr>
      <w:r>
        <w:rPr>
          <w:rFonts w:eastAsia="Times New Roman"/>
        </w:rPr>
        <w:t>*Estimates near zero; direction difference not meaningful. Log slope −0.023 = 2.3% monthly reduction.</w:t>
      </w:r>
    </w:p>
    <w:p w:rsidR="001D69C1" w:rsidRDefault="00000000">
      <w:r>
        <w:br w:type="page"/>
      </w:r>
    </w:p>
    <w:p w:rsidR="001D69C1" w:rsidRDefault="00000000">
      <w:pPr>
        <w:spacing w:before="120" w:after="120" w:line="240" w:lineRule="auto"/>
      </w:pPr>
      <w:r>
        <w:rPr>
          <w:rFonts w:eastAsia="Times New Roman"/>
          <w:b/>
          <w:sz w:val="20"/>
        </w:rPr>
        <w:lastRenderedPageBreak/>
        <w:t>eTable 8. Suicide Method Ranking Changes Before and After the Paraquat Ban</w:t>
      </w:r>
    </w:p>
    <w:tbl>
      <w:tblPr>
        <w:tblW w:w="5000" w:type="pct"/>
        <w:jc w:val="center"/>
        <w:tblLook w:val="04A0" w:firstRow="1" w:lastRow="0" w:firstColumn="1" w:lastColumn="0" w:noHBand="0" w:noVBand="1"/>
      </w:tblPr>
      <w:tblGrid>
        <w:gridCol w:w="1832"/>
        <w:gridCol w:w="1744"/>
        <w:gridCol w:w="1744"/>
        <w:gridCol w:w="1744"/>
        <w:gridCol w:w="1744"/>
        <w:gridCol w:w="1744"/>
        <w:gridCol w:w="1744"/>
        <w:gridCol w:w="1744"/>
      </w:tblGrid>
      <w:tr w:rsidR="001D69C1">
        <w:trPr>
          <w:jc w:val="center"/>
        </w:trPr>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Method</w:t>
            </w:r>
          </w:p>
        </w:tc>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Pre-ban N</w:t>
            </w:r>
          </w:p>
        </w:tc>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Pre-ban %</w:t>
            </w:r>
          </w:p>
        </w:tc>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Pre-ban Rank</w:t>
            </w:r>
          </w:p>
        </w:tc>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Post-ban N</w:t>
            </w:r>
          </w:p>
        </w:tc>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Post-ban %</w:t>
            </w:r>
          </w:p>
        </w:tc>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Post-ban Rank</w:t>
            </w:r>
          </w:p>
        </w:tc>
        <w:tc>
          <w:tcPr>
            <w:tcW w:w="172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Rank Change</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Hanging</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52,038</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48.9</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82,723</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50.9</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Pesticide poisoning</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23,183</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21.8</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11,779</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7.2</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Jumping from height</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15,001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14.1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26,716</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16.4</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Other chemical poisoning</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4,294</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4.0</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4,070</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2.5</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6</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Drowning</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3,345</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6,201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3.8</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Gas poisoning</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3,300</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6</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23,562</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14.5</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Unspecified means</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1,827</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1.7</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7</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589</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0.4</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Sharp object</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912</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0.9</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8</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1,698</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8</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Smoke/fire/flames</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716</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0.7</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9</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880</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10</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w:t>
            </w:r>
          </w:p>
        </w:tc>
      </w:tr>
      <w:tr w:rsidR="001D69C1">
        <w:trPr>
          <w:jc w:val="center"/>
        </w:trPr>
        <w:tc>
          <w:tcPr>
            <w:tcW w:w="1728" w:type="dxa"/>
            <w:tcBorders>
              <w:top w:val="nil"/>
              <w:left w:val="nil"/>
              <w:bottom w:val="nil"/>
              <w:right w:val="nil"/>
            </w:tcBorders>
            <w:vAlign w:val="center"/>
          </w:tcPr>
          <w:p w:rsidR="001D69C1" w:rsidRDefault="00000000">
            <w:pPr>
              <w:spacing w:before="40" w:after="40" w:line="240" w:lineRule="auto"/>
            </w:pPr>
            <w:r>
              <w:rPr>
                <w:rFonts w:eastAsia="Times New Roman"/>
              </w:rPr>
              <w:t>Sedative/psychotropic drug</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481</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10</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2,046</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1.3</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7</w:t>
            </w:r>
          </w:p>
        </w:tc>
        <w:tc>
          <w:tcPr>
            <w:tcW w:w="172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w:t>
            </w:r>
          </w:p>
        </w:tc>
      </w:tr>
      <w:tr w:rsidR="001D69C1">
        <w:trPr>
          <w:jc w:val="center"/>
        </w:trPr>
        <w:tc>
          <w:tcPr>
            <w:tcW w:w="1728"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Other drug poisoning</w:t>
            </w:r>
          </w:p>
        </w:tc>
        <w:tc>
          <w:tcPr>
            <w:tcW w:w="172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289</w:t>
            </w:r>
          </w:p>
        </w:tc>
        <w:tc>
          <w:tcPr>
            <w:tcW w:w="172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0.3</w:t>
            </w:r>
          </w:p>
        </w:tc>
        <w:tc>
          <w:tcPr>
            <w:tcW w:w="172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12</w:t>
            </w:r>
          </w:p>
        </w:tc>
        <w:tc>
          <w:tcPr>
            <w:tcW w:w="172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1,216</w:t>
            </w:r>
          </w:p>
        </w:tc>
        <w:tc>
          <w:tcPr>
            <w:tcW w:w="172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0.8</w:t>
            </w:r>
          </w:p>
        </w:tc>
        <w:tc>
          <w:tcPr>
            <w:tcW w:w="172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9</w:t>
            </w:r>
          </w:p>
        </w:tc>
        <w:tc>
          <w:tcPr>
            <w:tcW w:w="172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+3</w:t>
            </w:r>
          </w:p>
        </w:tc>
      </w:tr>
    </w:tbl>
    <w:p w:rsidR="001D69C1" w:rsidRDefault="00000000">
      <w:pPr>
        <w:spacing w:before="120" w:after="40" w:line="240" w:lineRule="auto"/>
      </w:pPr>
      <w:r>
        <w:rPr>
          <w:rFonts w:eastAsia="Times New Roman"/>
        </w:rPr>
        <w:t>Pre-ban: Jan 2004–Nov 2011. Post-ban: Dec 2011–Dec 2023. Negative rank change = less common.</w:t>
      </w:r>
    </w:p>
    <w:p w:rsidR="001D69C1" w:rsidRDefault="00000000">
      <w:r>
        <w:br w:type="page"/>
      </w:r>
    </w:p>
    <w:p w:rsidR="001D69C1" w:rsidRDefault="00000000">
      <w:pPr>
        <w:spacing w:before="120" w:after="120" w:line="240" w:lineRule="auto"/>
      </w:pPr>
      <w:r>
        <w:rPr>
          <w:rFonts w:eastAsia="Times New Roman"/>
          <w:b/>
          <w:sz w:val="20"/>
        </w:rPr>
        <w:lastRenderedPageBreak/>
        <w:t>eTable 9. Structural Breakpoint Analysis for Gas Poisoning Suicide</w:t>
      </w:r>
    </w:p>
    <w:p w:rsidR="001D69C1" w:rsidRDefault="00000000">
      <w:pPr>
        <w:spacing w:before="120" w:after="120" w:line="240" w:lineRule="auto"/>
      </w:pPr>
      <w:r>
        <w:rPr>
          <w:b/>
          <w:sz w:val="20"/>
        </w:rPr>
        <w:t>Panel A. Breakpoint Detection Results</w:t>
      </w:r>
    </w:p>
    <w:tbl>
      <w:tblPr>
        <w:tblW w:w="5000" w:type="pct"/>
        <w:jc w:val="center"/>
        <w:tblLook w:val="04A0" w:firstRow="1" w:lastRow="0" w:firstColumn="1" w:lastColumn="0" w:noHBand="0" w:noVBand="1"/>
      </w:tblPr>
      <w:tblGrid>
        <w:gridCol w:w="7020"/>
        <w:gridCol w:w="7020"/>
      </w:tblGrid>
      <w:tr w:rsidR="001D69C1">
        <w:trPr>
          <w:jc w:val="center"/>
        </w:trPr>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Value</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Method analyzed</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Gas poisoning (X67)</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Number of breakpoints detected</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First breakpoint date</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August 2008</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Paraquat ban date</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December 2011</w:t>
            </w:r>
          </w:p>
        </w:tc>
      </w:tr>
      <w:tr w:rsidR="001D69C1">
        <w:trPr>
          <w:jc w:val="center"/>
        </w:trPr>
        <w:tc>
          <w:tcPr>
            <w:tcW w:w="6912"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First breakpoint precedes ban</w:t>
            </w:r>
          </w:p>
        </w:tc>
        <w:tc>
          <w:tcPr>
            <w:tcW w:w="6912"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Yes (by 40 months)</w:t>
            </w:r>
          </w:p>
        </w:tc>
      </w:tr>
    </w:tbl>
    <w:p w:rsidR="001D69C1" w:rsidRDefault="00000000">
      <w:pPr>
        <w:spacing w:before="120" w:after="120" w:line="240" w:lineRule="auto"/>
      </w:pPr>
      <w:r>
        <w:rPr>
          <w:b/>
          <w:sz w:val="20"/>
        </w:rPr>
        <w:t>Panel B. Mean Comparison Around First Breakpoint</w:t>
      </w:r>
    </w:p>
    <w:tbl>
      <w:tblPr>
        <w:tblW w:w="5000" w:type="pct"/>
        <w:jc w:val="center"/>
        <w:tblLook w:val="04A0" w:firstRow="1" w:lastRow="0" w:firstColumn="1" w:lastColumn="0" w:noHBand="0" w:noVBand="1"/>
      </w:tblPr>
      <w:tblGrid>
        <w:gridCol w:w="3510"/>
        <w:gridCol w:w="3510"/>
        <w:gridCol w:w="3510"/>
        <w:gridCol w:w="3510"/>
      </w:tblGrid>
      <w:tr w:rsidR="001D69C1">
        <w:trPr>
          <w:jc w:val="center"/>
        </w:trPr>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Method</w:t>
            </w:r>
          </w:p>
        </w:tc>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Pre-breakpoint Mean</w:t>
            </w:r>
          </w:p>
        </w:tc>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Post-breakpoint Mean</w:t>
            </w:r>
          </w:p>
        </w:tc>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Change</w:t>
            </w:r>
          </w:p>
        </w:tc>
      </w:tr>
      <w:tr w:rsidR="001D69C1">
        <w:trPr>
          <w:jc w:val="center"/>
        </w:trPr>
        <w:tc>
          <w:tcPr>
            <w:tcW w:w="3456" w:type="dxa"/>
            <w:tcBorders>
              <w:top w:val="nil"/>
              <w:left w:val="nil"/>
              <w:bottom w:val="nil"/>
              <w:right w:val="nil"/>
            </w:tcBorders>
            <w:vAlign w:val="center"/>
          </w:tcPr>
          <w:p w:rsidR="001D69C1" w:rsidRDefault="00000000">
            <w:pPr>
              <w:spacing w:before="40" w:after="40" w:line="240" w:lineRule="auto"/>
            </w:pPr>
            <w:r>
              <w:rPr>
                <w:rFonts w:eastAsia="Times New Roman"/>
              </w:rPr>
              <w:t>Gas poisoning (X67)</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32.9</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141.2</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+108.3</w:t>
            </w:r>
          </w:p>
        </w:tc>
      </w:tr>
      <w:tr w:rsidR="001D69C1">
        <w:trPr>
          <w:jc w:val="center"/>
        </w:trPr>
        <w:tc>
          <w:tcPr>
            <w:tcW w:w="3456"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Pesticide poisoning (X68)</w:t>
            </w:r>
          </w:p>
        </w:tc>
        <w:tc>
          <w:tcPr>
            <w:tcW w:w="3456"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242.2</w:t>
            </w:r>
          </w:p>
        </w:tc>
        <w:tc>
          <w:tcPr>
            <w:tcW w:w="3456"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91.4</w:t>
            </w:r>
          </w:p>
        </w:tc>
        <w:tc>
          <w:tcPr>
            <w:tcW w:w="3456"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−150.8</w:t>
            </w:r>
          </w:p>
        </w:tc>
      </w:tr>
    </w:tbl>
    <w:p w:rsidR="001D69C1" w:rsidRDefault="00000000">
      <w:pPr>
        <w:spacing w:before="120" w:after="40" w:line="240" w:lineRule="auto"/>
      </w:pPr>
      <w:r>
        <w:rPr>
          <w:rFonts w:eastAsia="Times New Roman"/>
        </w:rPr>
        <w:t>Bai-Perron method. First breakpoint preceded ban by 3+ years, suggesting no direct substitution.</w:t>
      </w:r>
    </w:p>
    <w:p w:rsidR="001D69C1" w:rsidRDefault="00000000">
      <w:r>
        <w:br w:type="page"/>
      </w:r>
    </w:p>
    <w:p w:rsidR="001D69C1" w:rsidRDefault="00000000">
      <w:pPr>
        <w:spacing w:before="120" w:after="120" w:line="240" w:lineRule="auto"/>
      </w:pPr>
      <w:r>
        <w:rPr>
          <w:rFonts w:eastAsia="Times New Roman"/>
          <w:b/>
          <w:sz w:val="20"/>
        </w:rPr>
        <w:lastRenderedPageBreak/>
        <w:t>eTable 10. Sensitivity Analysis Using Pre-ban Data Only for Counterfactual Projection</w:t>
      </w:r>
    </w:p>
    <w:p w:rsidR="001D69C1" w:rsidRDefault="00000000">
      <w:pPr>
        <w:spacing w:before="120" w:after="120" w:line="240" w:lineRule="auto"/>
      </w:pPr>
      <w:r>
        <w:rPr>
          <w:b/>
          <w:sz w:val="20"/>
        </w:rPr>
        <w:t>Panel A. Pre-ban Data Counterfactual Projection</w:t>
      </w:r>
    </w:p>
    <w:tbl>
      <w:tblPr>
        <w:tblW w:w="5000" w:type="pct"/>
        <w:jc w:val="center"/>
        <w:tblLook w:val="04A0" w:firstRow="1" w:lastRow="0" w:firstColumn="1" w:lastColumn="0" w:noHBand="0" w:noVBand="1"/>
      </w:tblPr>
      <w:tblGrid>
        <w:gridCol w:w="7020"/>
        <w:gridCol w:w="7020"/>
      </w:tblGrid>
      <w:tr w:rsidR="001D69C1">
        <w:trPr>
          <w:jc w:val="center"/>
        </w:trPr>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6912"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Value</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Training period</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2004.01–2011.11 (95 months)</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Forecast period</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2011.12–2023.12 (145 months)</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ARIMA order</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(0,1,4)(0,1,1)[12]</w:t>
            </w:r>
          </w:p>
        </w:tc>
      </w:tr>
      <w:tr w:rsidR="001D69C1">
        <w:trPr>
          <w:jc w:val="center"/>
        </w:trPr>
        <w:tc>
          <w:tcPr>
            <w:tcW w:w="6912" w:type="dxa"/>
            <w:tcBorders>
              <w:top w:val="nil"/>
              <w:left w:val="nil"/>
              <w:bottom w:val="nil"/>
              <w:right w:val="nil"/>
            </w:tcBorders>
            <w:vAlign w:val="center"/>
          </w:tcPr>
          <w:p w:rsidR="001D69C1" w:rsidRDefault="00000000">
            <w:pPr>
              <w:spacing w:before="40" w:after="40" w:line="240" w:lineRule="auto"/>
            </w:pPr>
            <w:r>
              <w:rPr>
                <w:rFonts w:eastAsia="Times New Roman"/>
              </w:rPr>
              <w:t>Deaths averted</w:t>
            </w:r>
          </w:p>
        </w:tc>
        <w:tc>
          <w:tcPr>
            <w:tcW w:w="6912"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11,473</w:t>
            </w:r>
          </w:p>
        </w:tc>
      </w:tr>
      <w:tr w:rsidR="001D69C1">
        <w:trPr>
          <w:jc w:val="center"/>
        </w:trPr>
        <w:tc>
          <w:tcPr>
            <w:tcW w:w="6912"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95% CI</w:t>
            </w:r>
          </w:p>
        </w:tc>
        <w:tc>
          <w:tcPr>
            <w:tcW w:w="6912"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793 to 26,700</w:t>
            </w:r>
          </w:p>
        </w:tc>
      </w:tr>
    </w:tbl>
    <w:p w:rsidR="001D69C1" w:rsidRDefault="00000000">
      <w:pPr>
        <w:spacing w:before="120" w:after="120" w:line="240" w:lineRule="auto"/>
      </w:pPr>
      <w:r>
        <w:rPr>
          <w:b/>
          <w:sz w:val="20"/>
        </w:rPr>
        <w:t>Panel B. Comparison with Primary Analysis</w:t>
      </w:r>
    </w:p>
    <w:tbl>
      <w:tblPr>
        <w:tblW w:w="5000" w:type="pct"/>
        <w:jc w:val="center"/>
        <w:tblLook w:val="04A0" w:firstRow="1" w:lastRow="0" w:firstColumn="1" w:lastColumn="0" w:noHBand="0" w:noVBand="1"/>
      </w:tblPr>
      <w:tblGrid>
        <w:gridCol w:w="4680"/>
        <w:gridCol w:w="4680"/>
        <w:gridCol w:w="4680"/>
      </w:tblGrid>
      <w:tr w:rsidR="001D69C1">
        <w:trPr>
          <w:jc w:val="center"/>
        </w:trPr>
        <w:tc>
          <w:tcPr>
            <w:tcW w:w="460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Analysis</w:t>
            </w:r>
          </w:p>
        </w:tc>
        <w:tc>
          <w:tcPr>
            <w:tcW w:w="460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Deaths Averted</w:t>
            </w:r>
          </w:p>
        </w:tc>
        <w:tc>
          <w:tcPr>
            <w:tcW w:w="4608"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Difference</w:t>
            </w:r>
          </w:p>
        </w:tc>
      </w:tr>
      <w:tr w:rsidR="001D69C1">
        <w:trPr>
          <w:jc w:val="center"/>
        </w:trPr>
        <w:tc>
          <w:tcPr>
            <w:tcW w:w="4608" w:type="dxa"/>
            <w:tcBorders>
              <w:top w:val="nil"/>
              <w:left w:val="nil"/>
              <w:bottom w:val="nil"/>
              <w:right w:val="nil"/>
            </w:tcBorders>
            <w:vAlign w:val="center"/>
          </w:tcPr>
          <w:p w:rsidR="001D69C1" w:rsidRDefault="00000000">
            <w:pPr>
              <w:spacing w:before="40" w:after="40" w:line="240" w:lineRule="auto"/>
            </w:pPr>
            <w:r>
              <w:rPr>
                <w:rFonts w:eastAsia="Times New Roman"/>
              </w:rPr>
              <w:t>Primary (full data)</w:t>
            </w:r>
          </w:p>
        </w:tc>
        <w:tc>
          <w:tcPr>
            <w:tcW w:w="460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6,106</w:t>
            </w:r>
          </w:p>
        </w:tc>
        <w:tc>
          <w:tcPr>
            <w:tcW w:w="4608" w:type="dxa"/>
            <w:tcBorders>
              <w:top w:val="nil"/>
              <w:left w:val="nil"/>
              <w:bottom w:val="nil"/>
              <w:right w:val="nil"/>
            </w:tcBorders>
            <w:vAlign w:val="center"/>
          </w:tcPr>
          <w:p w:rsidR="001D69C1" w:rsidRDefault="00000000">
            <w:pPr>
              <w:spacing w:before="40" w:after="40" w:line="240" w:lineRule="auto"/>
              <w:jc w:val="center"/>
            </w:pPr>
            <w:r>
              <w:rPr>
                <w:rFonts w:eastAsia="Times New Roman"/>
              </w:rPr>
              <w:t>—</w:t>
            </w:r>
          </w:p>
        </w:tc>
      </w:tr>
      <w:tr w:rsidR="001D69C1">
        <w:trPr>
          <w:jc w:val="center"/>
        </w:trPr>
        <w:tc>
          <w:tcPr>
            <w:tcW w:w="4608"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Pre-ban only</w:t>
            </w:r>
          </w:p>
        </w:tc>
        <w:tc>
          <w:tcPr>
            <w:tcW w:w="460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11,473</w:t>
            </w:r>
          </w:p>
        </w:tc>
        <w:tc>
          <w:tcPr>
            <w:tcW w:w="4608"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+87.9%</w:t>
            </w:r>
          </w:p>
        </w:tc>
      </w:tr>
    </w:tbl>
    <w:p w:rsidR="001D69C1" w:rsidRDefault="00000000">
      <w:pPr>
        <w:spacing w:before="40" w:after="40" w:line="240" w:lineRule="auto"/>
      </w:pPr>
      <w:r>
        <w:rPr>
          <w:rFonts w:eastAsia="Times New Roman"/>
        </w:rPr>
        <w:t>Abbreviations: ARIMA, autoregressive integrated moving average; CI, confidence interval.</w:t>
      </w:r>
    </w:p>
    <w:p w:rsidR="001D69C1" w:rsidRDefault="00000000">
      <w:pPr>
        <w:spacing w:before="40" w:after="40" w:line="240" w:lineRule="auto"/>
      </w:pPr>
      <w:r>
        <w:rPr>
          <w:rFonts w:eastAsia="Times New Roman"/>
        </w:rPr>
        <w:t>Wide CI expected due to long forecast horizon (145 months) exceeding training period (95 months).</w:t>
      </w:r>
    </w:p>
    <w:p w:rsidR="001D69C1" w:rsidRDefault="00000000">
      <w:r>
        <w:br w:type="page"/>
      </w:r>
    </w:p>
    <w:p w:rsidR="001D69C1" w:rsidRDefault="00000000">
      <w:pPr>
        <w:spacing w:before="120" w:after="120" w:line="240" w:lineRule="auto"/>
      </w:pPr>
      <w:r>
        <w:rPr>
          <w:rFonts w:eastAsia="Times New Roman"/>
          <w:b/>
          <w:sz w:val="20"/>
        </w:rPr>
        <w:t>eTable 11. A Priori Two-Stage Interrupted Time Series Analysis of Pesticide Suicide, With Intervention Points at December 2011 (Sales Restriction) and November 2012 (Complete Ban)</w:t>
      </w:r>
    </w:p>
    <w:p w:rsidR="001D69C1" w:rsidRDefault="00000000">
      <w:pPr>
        <w:spacing w:before="120" w:after="120" w:line="240" w:lineRule="auto"/>
      </w:pPr>
      <w:r>
        <w:rPr>
          <w:rFonts w:eastAsia="Times New Roman"/>
          <w:b/>
          <w:sz w:val="20"/>
        </w:rPr>
        <w:t>Panel A. Two-stage model parameters (square root scale)</w:t>
      </w:r>
    </w:p>
    <w:tbl>
      <w:tblPr>
        <w:tblW w:w="5000" w:type="pct"/>
        <w:jc w:val="center"/>
        <w:tblLook w:val="04A0" w:firstRow="1" w:lastRow="0" w:firstColumn="1" w:lastColumn="0" w:noHBand="0" w:noVBand="1"/>
      </w:tblPr>
      <w:tblGrid>
        <w:gridCol w:w="2808"/>
        <w:gridCol w:w="2808"/>
        <w:gridCol w:w="2808"/>
        <w:gridCol w:w="2808"/>
        <w:gridCol w:w="2808"/>
      </w:tblGrid>
      <w:tr w:rsidR="001D69C1">
        <w:trPr>
          <w:jc w:val="center"/>
        </w:trPr>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Estimate</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SE</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95% CI</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Level₁ (Sale restriction, 2011.12)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0.435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0.607</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−0.755 to 1.624</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0.474</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Slope₁ (Stage 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−0.223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0.088</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−0.395 to −0.051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0.011</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Level₂ (Full ban, 2012.11)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−0.953</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0.576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−2.081 to 0.176</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0.098</w:t>
            </w:r>
          </w:p>
        </w:tc>
      </w:tr>
      <w:tr w:rsidR="001D69C1">
        <w:trPr>
          <w:jc w:val="center"/>
        </w:trPr>
        <w:tc>
          <w:tcPr>
            <w:tcW w:w="2765"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Slope₂ (Stage 2)</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0.221</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0.087</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0.050 to 0.392</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0.011</w:t>
            </w:r>
          </w:p>
        </w:tc>
      </w:tr>
    </w:tbl>
    <w:p w:rsidR="001D69C1" w:rsidRDefault="00000000">
      <w:pPr>
        <w:spacing w:before="120" w:after="120" w:line="240" w:lineRule="auto"/>
      </w:pPr>
      <w:r>
        <w:rPr>
          <w:rFonts w:eastAsia="Times New Roman"/>
          <w:b/>
          <w:sz w:val="20"/>
        </w:rPr>
        <w:t>Panel B. Comparison of single-stage and a priori two-stage models</w:t>
      </w:r>
    </w:p>
    <w:tbl>
      <w:tblPr>
        <w:tblW w:w="5000" w:type="pct"/>
        <w:jc w:val="center"/>
        <w:tblLook w:val="04A0" w:firstRow="1" w:lastRow="0" w:firstColumn="1" w:lastColumn="0" w:noHBand="0" w:noVBand="1"/>
      </w:tblPr>
      <w:tblGrid>
        <w:gridCol w:w="3510"/>
        <w:gridCol w:w="3510"/>
        <w:gridCol w:w="3510"/>
        <w:gridCol w:w="3510"/>
      </w:tblGrid>
      <w:tr w:rsidR="001D69C1">
        <w:trPr>
          <w:jc w:val="center"/>
        </w:trPr>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Model</w:t>
            </w:r>
          </w:p>
        </w:tc>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AIC</w:t>
            </w:r>
          </w:p>
        </w:tc>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BIC</w:t>
            </w:r>
          </w:p>
        </w:tc>
        <w:tc>
          <w:tcPr>
            <w:tcW w:w="3456"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Parameters</w:t>
            </w:r>
          </w:p>
        </w:tc>
      </w:tr>
      <w:tr w:rsidR="001D69C1">
        <w:trPr>
          <w:jc w:val="center"/>
        </w:trPr>
        <w:tc>
          <w:tcPr>
            <w:tcW w:w="3456" w:type="dxa"/>
            <w:tcBorders>
              <w:top w:val="nil"/>
              <w:left w:val="nil"/>
              <w:bottom w:val="nil"/>
              <w:right w:val="nil"/>
            </w:tcBorders>
            <w:vAlign w:val="center"/>
          </w:tcPr>
          <w:p w:rsidR="001D69C1" w:rsidRDefault="00000000">
            <w:pPr>
              <w:spacing w:before="40" w:after="40" w:line="240" w:lineRule="auto"/>
            </w:pPr>
            <w:r>
              <w:rPr>
                <w:rFonts w:eastAsia="Times New Roman"/>
              </w:rPr>
              <w:t>Single intervention (primary)</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549.4</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587.7</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10</w:t>
            </w:r>
          </w:p>
        </w:tc>
      </w:tr>
      <w:tr w:rsidR="001D69C1">
        <w:trPr>
          <w:jc w:val="center"/>
        </w:trPr>
        <w:tc>
          <w:tcPr>
            <w:tcW w:w="3456" w:type="dxa"/>
            <w:tcBorders>
              <w:top w:val="nil"/>
              <w:left w:val="nil"/>
              <w:bottom w:val="nil"/>
              <w:right w:val="nil"/>
            </w:tcBorders>
            <w:vAlign w:val="center"/>
          </w:tcPr>
          <w:p w:rsidR="001D69C1" w:rsidRDefault="00000000">
            <w:pPr>
              <w:spacing w:before="40" w:after="40" w:line="240" w:lineRule="auto"/>
            </w:pPr>
            <w:r>
              <w:rPr>
                <w:rFonts w:eastAsia="Times New Roman"/>
              </w:rPr>
              <w:t>Two-stage</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559.8</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601.6</w:t>
            </w:r>
          </w:p>
        </w:tc>
        <w:tc>
          <w:tcPr>
            <w:tcW w:w="3456" w:type="dxa"/>
            <w:tcBorders>
              <w:top w:val="nil"/>
              <w:left w:val="nil"/>
              <w:bottom w:val="nil"/>
              <w:right w:val="nil"/>
            </w:tcBorders>
            <w:vAlign w:val="center"/>
          </w:tcPr>
          <w:p w:rsidR="001D69C1" w:rsidRDefault="00000000">
            <w:pPr>
              <w:spacing w:before="40" w:after="40" w:line="240" w:lineRule="auto"/>
              <w:jc w:val="center"/>
            </w:pPr>
            <w:r>
              <w:rPr>
                <w:rFonts w:eastAsia="Times New Roman"/>
              </w:rPr>
              <w:t>11</w:t>
            </w:r>
          </w:p>
        </w:tc>
      </w:tr>
      <w:tr w:rsidR="001D69C1">
        <w:trPr>
          <w:jc w:val="center"/>
        </w:trPr>
        <w:tc>
          <w:tcPr>
            <w:tcW w:w="3456"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Δ (Two-stage − Single)</w:t>
            </w:r>
          </w:p>
        </w:tc>
        <w:tc>
          <w:tcPr>
            <w:tcW w:w="3456"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+10.4</w:t>
            </w:r>
          </w:p>
        </w:tc>
        <w:tc>
          <w:tcPr>
            <w:tcW w:w="3456"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+13.9</w:t>
            </w:r>
          </w:p>
        </w:tc>
        <w:tc>
          <w:tcPr>
            <w:tcW w:w="3456"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+1</w:t>
            </w:r>
          </w:p>
        </w:tc>
      </w:tr>
    </w:tbl>
    <w:p w:rsidR="001D69C1" w:rsidRDefault="00000000">
      <w:pPr>
        <w:spacing w:before="120" w:after="40" w:line="240" w:lineRule="auto"/>
      </w:pPr>
      <w:r>
        <w:rPr>
          <w:rFonts w:eastAsia="Times New Roman"/>
        </w:rPr>
        <w:t>Abbreviations: AIC, Akaike information criterion; BIC, Bayesian information criterion; CI, confidence interval; SE, standard error.</w:t>
      </w:r>
    </w:p>
    <w:p w:rsidR="001D69C1" w:rsidRDefault="00000000">
      <w:pPr>
        <w:spacing w:before="40" w:after="40" w:line="240" w:lineRule="auto"/>
      </w:pPr>
      <w:r>
        <w:rPr>
          <w:rFonts w:eastAsia="Times New Roman"/>
        </w:rPr>
        <w:t>The two-stage model was specified a priori based on the known policy timeline: sales restriction (December 2011) followed by complete ban (November 2012).</w:t>
      </w:r>
    </w:p>
    <w:p w:rsidR="001D69C1" w:rsidRDefault="00000000">
      <w:r>
        <w:br w:type="page"/>
      </w:r>
    </w:p>
    <w:p w:rsidR="001D69C1" w:rsidRDefault="00000000">
      <w:pPr>
        <w:spacing w:before="120" w:after="120" w:line="240" w:lineRule="auto"/>
      </w:pPr>
      <w:r>
        <w:rPr>
          <w:rFonts w:eastAsia="Times New Roman"/>
          <w:b/>
          <w:sz w:val="20"/>
        </w:rPr>
        <w:lastRenderedPageBreak/>
        <w:t>eTable 12. Interrupted Time Series Analysis for Total Suicide Mortality in South Korea, 2004–2023</w:t>
      </w:r>
    </w:p>
    <w:tbl>
      <w:tblPr>
        <w:tblW w:w="5000" w:type="pct"/>
        <w:jc w:val="center"/>
        <w:tblLook w:val="04A0" w:firstRow="1" w:lastRow="0" w:firstColumn="1" w:lastColumn="0" w:noHBand="0" w:noVBand="1"/>
      </w:tblPr>
      <w:tblGrid>
        <w:gridCol w:w="2340"/>
        <w:gridCol w:w="2340"/>
        <w:gridCol w:w="2340"/>
        <w:gridCol w:w="2340"/>
        <w:gridCol w:w="2340"/>
        <w:gridCol w:w="2340"/>
      </w:tblGrid>
      <w:tr w:rsidR="001D69C1">
        <w:trPr>
          <w:jc w:val="center"/>
        </w:trPr>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Parameter</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Estimate</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SE</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95% CI</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2304"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 Change</w:t>
            </w:r>
          </w:p>
        </w:tc>
      </w:tr>
      <w:tr w:rsidR="001D69C1">
        <w:trPr>
          <w:jc w:val="center"/>
        </w:trPr>
        <w:tc>
          <w:tcPr>
            <w:tcW w:w="2304" w:type="dxa"/>
            <w:tcBorders>
              <w:top w:val="nil"/>
              <w:left w:val="nil"/>
              <w:bottom w:val="nil"/>
              <w:right w:val="nil"/>
            </w:tcBorders>
            <w:vAlign w:val="center"/>
          </w:tcPr>
          <w:p w:rsidR="001D69C1" w:rsidRDefault="00000000">
            <w:pPr>
              <w:spacing w:before="40" w:after="40" w:line="240" w:lineRule="auto"/>
            </w:pPr>
            <w:r>
              <w:rPr>
                <w:rFonts w:eastAsia="Times New Roman"/>
              </w:rPr>
              <w:t>Level (immediate)</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−0.086</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0.063</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−0.209 to 0.037</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0.170</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−8.3%</w:t>
            </w:r>
          </w:p>
        </w:tc>
      </w:tr>
      <w:tr w:rsidR="001D69C1">
        <w:trPr>
          <w:jc w:val="center"/>
        </w:trPr>
        <w:tc>
          <w:tcPr>
            <w:tcW w:w="2304" w:type="dxa"/>
            <w:tcBorders>
              <w:top w:val="nil"/>
              <w:left w:val="nil"/>
              <w:bottom w:val="nil"/>
              <w:right w:val="nil"/>
            </w:tcBorders>
            <w:vAlign w:val="center"/>
          </w:tcPr>
          <w:p w:rsidR="001D69C1" w:rsidRDefault="00000000">
            <w:pPr>
              <w:spacing w:before="40" w:after="40" w:line="240" w:lineRule="auto"/>
            </w:pPr>
            <w:r>
              <w:rPr>
                <w:rFonts w:eastAsia="Times New Roman"/>
              </w:rPr>
              <w:t>Slope (0–36 months)</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−0.007</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0.003</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−0.013 to −0.001</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0.017</w:t>
            </w:r>
          </w:p>
        </w:tc>
        <w:tc>
          <w:tcPr>
            <w:tcW w:w="2304"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−0.70%/mo</w:t>
            </w:r>
          </w:p>
        </w:tc>
      </w:tr>
      <w:tr w:rsidR="001D69C1">
        <w:trPr>
          <w:jc w:val="center"/>
        </w:trPr>
        <w:tc>
          <w:tcPr>
            <w:tcW w:w="2304"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Slope (36+ months)</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−0.004</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0.001</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−0.007 to −0.001</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0.006</w:t>
            </w:r>
          </w:p>
        </w:tc>
        <w:tc>
          <w:tcPr>
            <w:tcW w:w="2304"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−0.40%/mo</w:t>
            </w:r>
          </w:p>
        </w:tc>
      </w:tr>
    </w:tbl>
    <w:p w:rsidR="001D69C1" w:rsidRDefault="00000000">
      <w:pPr>
        <w:spacing w:before="120" w:after="40" w:line="240" w:lineRule="auto"/>
      </w:pPr>
      <w:r>
        <w:rPr>
          <w:rFonts w:eastAsia="Times New Roman"/>
        </w:rPr>
        <w:t>Abbreviations: CI, confidence interval; SE, standard error.</w:t>
      </w:r>
    </w:p>
    <w:p w:rsidR="001D69C1" w:rsidRDefault="00000000">
      <w:pPr>
        <w:spacing w:before="40" w:after="40" w:line="240" w:lineRule="auto"/>
      </w:pPr>
      <w:r>
        <w:rPr>
          <w:rFonts w:eastAsia="Times New Roman"/>
        </w:rPr>
        <w:t>Model: ARIMA(1,0,0)(2,0,0)[12] with log transformation. Pesticide suicides ~15% of total.</w:t>
      </w:r>
    </w:p>
    <w:p w:rsidR="001D69C1" w:rsidRDefault="00000000">
      <w:r>
        <w:br w:type="page"/>
      </w:r>
    </w:p>
    <w:p w:rsidR="001D69C1" w:rsidRDefault="00000000">
      <w:pPr>
        <w:spacing w:before="120" w:after="120" w:line="240" w:lineRule="auto"/>
      </w:pPr>
      <w:r>
        <w:rPr>
          <w:rFonts w:eastAsia="Times New Roman"/>
          <w:b/>
          <w:sz w:val="20"/>
        </w:rPr>
        <w:lastRenderedPageBreak/>
        <w:t>eTable 13. Exploratory Difference-in-Differences Analysis of Pesticide-Related Suicides (Secondary Analysis)</w:t>
      </w:r>
    </w:p>
    <w:tbl>
      <w:tblPr>
        <w:tblW w:w="5000" w:type="pct"/>
        <w:jc w:val="center"/>
        <w:tblLook w:val="04A0" w:firstRow="1" w:lastRow="0" w:firstColumn="1" w:lastColumn="0" w:noHBand="0" w:noVBand="1"/>
      </w:tblPr>
      <w:tblGrid>
        <w:gridCol w:w="2808"/>
        <w:gridCol w:w="2808"/>
        <w:gridCol w:w="2808"/>
        <w:gridCol w:w="2808"/>
        <w:gridCol w:w="2808"/>
      </w:tblGrid>
      <w:tr w:rsidR="001D69C1">
        <w:trPr>
          <w:jc w:val="center"/>
        </w:trPr>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Effect</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vs. Hanging (95% CI)</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vs. Non-pesticide (95% CI)</w:t>
            </w:r>
          </w:p>
        </w:tc>
        <w:tc>
          <w:tcPr>
            <w:tcW w:w="2765" w:type="dxa"/>
            <w:tcBorders>
              <w:top w:val="single" w:sz="12" w:space="0" w:color="000000"/>
              <w:left w:val="nil"/>
              <w:bottom w:val="single" w:sz="8" w:space="0" w:color="000000"/>
              <w:right w:val="nil"/>
            </w:tcBorders>
            <w:vAlign w:val="center"/>
          </w:tcPr>
          <w:p w:rsidR="001D69C1" w:rsidRDefault="00000000">
            <w:pPr>
              <w:spacing w:before="40" w:after="40" w:line="240" w:lineRule="auto"/>
              <w:jc w:val="center"/>
            </w:pPr>
            <w:r>
              <w:rPr>
                <w:rFonts w:eastAsia="Times New Roman"/>
                <w:b/>
              </w:rPr>
              <w:t>P-value</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Immediate (level)</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−0.236 (−0.622 to 0.150)</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0.231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−0.262 (−0.620 to 0.095)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0.151</w:t>
            </w:r>
          </w:p>
        </w:tc>
      </w:tr>
      <w:tr w:rsidR="001D69C1">
        <w:trPr>
          <w:jc w:val="center"/>
        </w:trPr>
        <w:tc>
          <w:tcPr>
            <w:tcW w:w="2765" w:type="dxa"/>
            <w:tcBorders>
              <w:top w:val="nil"/>
              <w:left w:val="nil"/>
              <w:bottom w:val="nil"/>
              <w:right w:val="nil"/>
            </w:tcBorders>
            <w:vAlign w:val="center"/>
          </w:tcPr>
          <w:p w:rsidR="001D69C1" w:rsidRDefault="00000000">
            <w:pPr>
              <w:spacing w:before="40" w:after="40" w:line="240" w:lineRule="auto"/>
            </w:pPr>
            <w:r>
              <w:rPr>
                <w:rFonts w:eastAsia="Times New Roman"/>
              </w:rPr>
              <w:t>Initial (slope, 1–36mo)</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−0.026 (−0.040 to −0.012)</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−0.028 (−0.041 to −0.015)</w:t>
            </w:r>
          </w:p>
        </w:tc>
        <w:tc>
          <w:tcPr>
            <w:tcW w:w="2765" w:type="dxa"/>
            <w:tcBorders>
              <w:top w:val="nil"/>
              <w:left w:val="nil"/>
              <w:bottom w:val="nil"/>
              <w:right w:val="nil"/>
            </w:tcBorders>
            <w:vAlign w:val="center"/>
          </w:tcPr>
          <w:p w:rsidR="001D69C1" w:rsidRDefault="00000000">
            <w:pPr>
              <w:spacing w:before="40" w:after="40" w:line="240" w:lineRule="auto"/>
              <w:jc w:val="center"/>
            </w:pPr>
            <w:r>
              <w:rPr>
                <w:rFonts w:eastAsia="Times New Roman"/>
              </w:rPr>
              <w:t>&lt;0.001</w:t>
            </w:r>
          </w:p>
        </w:tc>
      </w:tr>
      <w:tr w:rsidR="001D69C1">
        <w:trPr>
          <w:jc w:val="center"/>
        </w:trPr>
        <w:tc>
          <w:tcPr>
            <w:tcW w:w="2765" w:type="dxa"/>
            <w:tcBorders>
              <w:top w:val="nil"/>
              <w:left w:val="nil"/>
              <w:bottom w:val="single" w:sz="12" w:space="0" w:color="000000"/>
              <w:right w:val="nil"/>
            </w:tcBorders>
            <w:vAlign w:val="center"/>
          </w:tcPr>
          <w:p w:rsidR="001D69C1" w:rsidRDefault="00000000">
            <w:pPr>
              <w:spacing w:before="40" w:after="40" w:line="240" w:lineRule="auto"/>
            </w:pPr>
            <w:r>
              <w:rPr>
                <w:rFonts w:eastAsia="Times New Roman"/>
              </w:rPr>
              <w:t>Later (slope, 37+mo)</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−0.004 (−0.008 to 0.001)</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0.088</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−0.004 (−0.008 to 0.000)</w:t>
            </w:r>
          </w:p>
        </w:tc>
        <w:tc>
          <w:tcPr>
            <w:tcW w:w="2765" w:type="dxa"/>
            <w:tcBorders>
              <w:top w:val="nil"/>
              <w:left w:val="nil"/>
              <w:bottom w:val="single" w:sz="12" w:space="0" w:color="000000"/>
              <w:right w:val="nil"/>
            </w:tcBorders>
            <w:vAlign w:val="center"/>
          </w:tcPr>
          <w:p w:rsidR="001D69C1" w:rsidRDefault="00000000">
            <w:pPr>
              <w:spacing w:before="40" w:after="40" w:line="240" w:lineRule="auto"/>
              <w:jc w:val="center"/>
            </w:pPr>
            <w:r>
              <w:rPr>
                <w:rFonts w:eastAsia="Times New Roman"/>
              </w:rPr>
              <w:t>0.032</w:t>
            </w:r>
          </w:p>
        </w:tc>
      </w:tr>
    </w:tbl>
    <w:p w:rsidR="001D69C1" w:rsidRDefault="00000000">
      <w:pPr>
        <w:spacing w:before="120" w:after="40" w:line="240" w:lineRule="auto"/>
      </w:pPr>
      <w:r>
        <w:rPr>
          <w:rFonts w:eastAsia="Times New Roman"/>
        </w:rPr>
        <w:t>Abbreviations: CI, confidence interval; DiD, difference-in-differences.</w:t>
      </w:r>
    </w:p>
    <w:p w:rsidR="001D69C1" w:rsidRDefault="00000000">
      <w:pPr>
        <w:spacing w:before="40" w:after="40" w:line="240" w:lineRule="auto"/>
        <w:rPr>
          <w:rFonts w:eastAsia="Times New Roman"/>
          <w:lang w:eastAsia="ko-KR"/>
        </w:rPr>
      </w:pPr>
      <w:r>
        <w:rPr>
          <w:rFonts w:eastAsia="Times New Roman"/>
        </w:rPr>
        <w:t>Parallel trend assumption violated. Interpret with caution. Primary analysis: Table 1.</w:t>
      </w:r>
    </w:p>
    <w:p w:rsidR="009E4259" w:rsidRDefault="009E4259">
      <w:pPr>
        <w:spacing w:before="40" w:after="40" w:line="240" w:lineRule="auto"/>
        <w:rPr>
          <w:lang w:eastAsia="ko-KR"/>
        </w:rPr>
        <w:sectPr w:rsidR="009E4259" w:rsidSect="00034616">
          <w:footerReference w:type="even" r:id="rId8"/>
          <w:footerReference w:type="default" r:id="rId9"/>
          <w:pgSz w:w="15840" w:h="12240" w:orient="landscape"/>
          <w:pgMar w:top="1008" w:right="1008" w:bottom="1008" w:left="1008" w:header="720" w:footer="720" w:gutter="0"/>
          <w:cols w:space="720"/>
          <w:docGrid w:linePitch="360"/>
        </w:sectPr>
      </w:pPr>
    </w:p>
    <w:p w:rsidR="009E4259" w:rsidRPr="009E4259" w:rsidRDefault="00D07B9D" w:rsidP="009E4259">
      <w:pPr>
        <w:jc w:val="center"/>
        <w:rPr>
          <w:rFonts w:cs="Times New Roman"/>
          <w:szCs w:val="18"/>
        </w:rPr>
      </w:pPr>
      <w:r>
        <w:rPr>
          <w:rFonts w:cs="Times New Roman"/>
          <w:noProof/>
          <w:szCs w:val="18"/>
        </w:rPr>
        <w:lastRenderedPageBreak/>
        <w:drawing>
          <wp:inline distT="0" distB="0" distL="0" distR="0">
            <wp:extent cx="5486400" cy="2743200"/>
            <wp:effectExtent l="0" t="0" r="0" b="0"/>
            <wp:docPr id="3111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1064" name="Picture 31111064"/>
                    <pic:cNvPicPr/>
                  </pic:nvPicPr>
                  <pic:blipFill>
                    <a:blip r:embed="rId10"/>
                    <a:stretch>
                      <a:fillRect/>
                    </a:stretch>
                  </pic:blipFill>
                  <pic:spPr>
                    <a:xfrm>
                      <a:off x="0" y="0"/>
                      <a:ext cx="5486400" cy="2743200"/>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1. Autocorrelation and Partial Autocorrelation Functions for Pesticide Suicide Time Series</w:t>
      </w:r>
    </w:p>
    <w:p w:rsidR="009E4259" w:rsidRPr="009E4259" w:rsidRDefault="009E4259" w:rsidP="009E4259">
      <w:pPr>
        <w:rPr>
          <w:rFonts w:cs="Times New Roman"/>
          <w:szCs w:val="18"/>
        </w:rPr>
      </w:pPr>
      <w:r w:rsidRPr="009E4259">
        <w:rPr>
          <w:rFonts w:cs="Times New Roman"/>
          <w:szCs w:val="18"/>
        </w:rPr>
        <w:t>ACF (left) and PACF (right) plots for monthly pesticide suicide counts after square root transformation. Blue dashed lines: 95% confidence bounds.</w:t>
      </w:r>
    </w:p>
    <w:p w:rsidR="009E4259" w:rsidRPr="009E4259" w:rsidRDefault="009E4259" w:rsidP="009E4259">
      <w:pPr>
        <w:rPr>
          <w:rFonts w:cs="Times New Roman"/>
          <w:szCs w:val="18"/>
        </w:rPr>
      </w:pPr>
      <w:r w:rsidRPr="009E4259">
        <w:rPr>
          <w:rFonts w:cs="Times New Roman"/>
          <w:szCs w:val="18"/>
        </w:rPr>
        <w:br w:type="page"/>
      </w:r>
    </w:p>
    <w:p w:rsidR="009E4259" w:rsidRPr="009E4259" w:rsidRDefault="009E4259" w:rsidP="009E4259">
      <w:pPr>
        <w:rPr>
          <w:rFonts w:cs="Times New Roman"/>
          <w:szCs w:val="18"/>
        </w:rPr>
      </w:pPr>
      <w:r w:rsidRPr="009E4259">
        <w:rPr>
          <w:rFonts w:cs="Times New Roman"/>
          <w:noProof/>
          <w:szCs w:val="18"/>
        </w:rPr>
        <w:lastRenderedPageBreak/>
        <w:drawing>
          <wp:inline distT="0" distB="0" distL="0" distR="0" wp14:anchorId="5C827717" wp14:editId="141F93A3">
            <wp:extent cx="5486400" cy="5486400"/>
            <wp:effectExtent l="0" t="0" r="0" b="0"/>
            <wp:docPr id="1192276389" name="Picture 2" descr="A graph of a graph of a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76389" name="Picture 2" descr="A graph of a graph of a wave&#10;&#10;AI-generated content may be incorrect."/>
                    <pic:cNvPicPr/>
                  </pic:nvPicPr>
                  <pic:blipFill>
                    <a:blip r:embed="rId11"/>
                    <a:stretch>
                      <a:fillRect/>
                    </a:stretch>
                  </pic:blipFill>
                  <pic:spPr>
                    <a:xfrm>
                      <a:off x="0" y="0"/>
                      <a:ext cx="5486400" cy="5486400"/>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2. Seasonal-Trend Decomposition of Pesticide Suicide Time Series</w:t>
      </w:r>
    </w:p>
    <w:p w:rsidR="009E4259" w:rsidRPr="009E4259" w:rsidRDefault="009E4259" w:rsidP="009E4259">
      <w:pPr>
        <w:rPr>
          <w:rFonts w:cs="Times New Roman"/>
          <w:szCs w:val="18"/>
        </w:rPr>
      </w:pPr>
      <w:r w:rsidRPr="009E4259">
        <w:rPr>
          <w:rFonts w:cs="Times New Roman"/>
          <w:szCs w:val="18"/>
        </w:rPr>
        <w:t>STL decomposition of monthly pesticide suicide counts. Panels from top: original data, seasonal component, trend component, remainder.</w:t>
      </w:r>
    </w:p>
    <w:p w:rsidR="009F2685" w:rsidRDefault="009E4259" w:rsidP="009E4259">
      <w:pPr>
        <w:rPr>
          <w:rFonts w:cs="Times New Roman"/>
          <w:szCs w:val="18"/>
        </w:rPr>
        <w:sectPr w:rsidR="009F2685" w:rsidSect="009E4259">
          <w:pgSz w:w="12240" w:h="15840"/>
          <w:pgMar w:top="1440" w:right="1800" w:bottom="1440" w:left="1800" w:header="720" w:footer="720" w:gutter="0"/>
          <w:cols w:space="720"/>
          <w:docGrid w:linePitch="360"/>
        </w:sectPr>
      </w:pPr>
      <w:r w:rsidRPr="009E4259">
        <w:rPr>
          <w:rFonts w:cs="Times New Roman"/>
          <w:szCs w:val="18"/>
        </w:rPr>
        <w:br w:type="page"/>
      </w:r>
    </w:p>
    <w:p w:rsidR="009E4259" w:rsidRPr="009E4259" w:rsidRDefault="009E4259" w:rsidP="009E4259">
      <w:pPr>
        <w:rPr>
          <w:rFonts w:cs="Times New Roman"/>
          <w:szCs w:val="18"/>
        </w:rPr>
      </w:pPr>
      <w:r w:rsidRPr="009E4259">
        <w:rPr>
          <w:rFonts w:cs="Times New Roman"/>
          <w:noProof/>
          <w:szCs w:val="18"/>
        </w:rPr>
        <w:lastRenderedPageBreak/>
        <w:drawing>
          <wp:inline distT="0" distB="0" distL="0" distR="0" wp14:anchorId="1A6F855F" wp14:editId="435C46FB">
            <wp:extent cx="8204200" cy="2734734"/>
            <wp:effectExtent l="0" t="0" r="0" b="0"/>
            <wp:docPr id="859070745" name="Picture 3"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70745" name="Picture 3" descr="A comparison of a graph&#10;&#10;AI-generated content may be incorrect."/>
                    <pic:cNvPicPr/>
                  </pic:nvPicPr>
                  <pic:blipFill>
                    <a:blip r:embed="rId12"/>
                    <a:stretch>
                      <a:fillRect/>
                    </a:stretch>
                  </pic:blipFill>
                  <pic:spPr>
                    <a:xfrm>
                      <a:off x="0" y="0"/>
                      <a:ext cx="8253738" cy="2751247"/>
                    </a:xfrm>
                    <a:prstGeom prst="rect">
                      <a:avLst/>
                    </a:prstGeom>
                  </pic:spPr>
                </pic:pic>
              </a:graphicData>
            </a:graphic>
          </wp:inline>
        </w:drawing>
      </w:r>
    </w:p>
    <w:p w:rsidR="009B0133" w:rsidRDefault="009E4259" w:rsidP="009F2685">
      <w:pPr>
        <w:rPr>
          <w:rFonts w:cs="Times New Roman"/>
          <w:b/>
          <w:szCs w:val="18"/>
          <w:lang w:eastAsia="ko-KR"/>
        </w:rPr>
      </w:pPr>
      <w:r w:rsidRPr="009E4259">
        <w:rPr>
          <w:rFonts w:cs="Times New Roman"/>
          <w:b/>
          <w:szCs w:val="18"/>
        </w:rPr>
        <w:t>eFigure 3. Residual Diagnostics for the ARIMA Model</w:t>
      </w:r>
      <w:bookmarkStart w:id="0" w:name="_Hlk220779758"/>
    </w:p>
    <w:p w:rsidR="009B0133" w:rsidRDefault="009E4259" w:rsidP="009F2685">
      <w:pPr>
        <w:rPr>
          <w:rFonts w:cs="Times New Roman" w:hint="eastAsia"/>
          <w:szCs w:val="18"/>
          <w:lang w:eastAsia="ko-KR"/>
        </w:rPr>
      </w:pPr>
      <w:r w:rsidRPr="009E4259">
        <w:rPr>
          <w:rFonts w:cs="Times New Roman"/>
          <w:szCs w:val="18"/>
        </w:rPr>
        <w:t>D</w:t>
      </w:r>
      <w:bookmarkEnd w:id="0"/>
      <w:r w:rsidRPr="009E4259">
        <w:rPr>
          <w:rFonts w:cs="Times New Roman"/>
          <w:szCs w:val="18"/>
        </w:rPr>
        <w:t>iagnostic plots for the fitted ARIMA model. (A) Standardized residuals; (B) ACF of residuals; (C) Histogram of residuals; (D) Q-Q plot.</w:t>
      </w:r>
    </w:p>
    <w:p w:rsidR="009F2685" w:rsidRPr="009E4259" w:rsidRDefault="009F2685" w:rsidP="009F2685">
      <w:pPr>
        <w:rPr>
          <w:rFonts w:cs="Times New Roman"/>
          <w:szCs w:val="18"/>
        </w:rPr>
      </w:pPr>
      <w:r w:rsidRPr="009E4259">
        <w:rPr>
          <w:rFonts w:cs="Times New Roman"/>
          <w:szCs w:val="18"/>
        </w:rPr>
        <w:br w:type="page"/>
      </w:r>
    </w:p>
    <w:p w:rsidR="009F2685" w:rsidRPr="009B0133" w:rsidRDefault="009F2685" w:rsidP="009E4259">
      <w:pPr>
        <w:rPr>
          <w:rFonts w:cs="Times New Roman"/>
          <w:szCs w:val="18"/>
          <w:lang w:eastAsia="ko-KR"/>
        </w:rPr>
        <w:sectPr w:rsidR="009F2685" w:rsidRPr="009B0133" w:rsidSect="009F2685">
          <w:pgSz w:w="15840" w:h="12240" w:orient="landscape"/>
          <w:pgMar w:top="1800" w:right="1440" w:bottom="1800" w:left="1440" w:header="720" w:footer="720" w:gutter="0"/>
          <w:cols w:space="720"/>
          <w:docGrid w:linePitch="360"/>
        </w:sectPr>
      </w:pPr>
    </w:p>
    <w:p w:rsidR="009E4259" w:rsidRPr="009E4259" w:rsidRDefault="009E4259" w:rsidP="009E4259">
      <w:pPr>
        <w:rPr>
          <w:rFonts w:eastAsia="Malgun Gothic" w:cs="Times New Roman"/>
          <w:szCs w:val="18"/>
          <w:lang w:eastAsia="ko-KR"/>
        </w:rPr>
      </w:pPr>
      <w:bookmarkStart w:id="1" w:name="_Hlk220779766"/>
      <w:r w:rsidRPr="009E4259">
        <w:rPr>
          <w:rFonts w:cs="Times New Roman"/>
          <w:szCs w:val="18"/>
        </w:rPr>
        <w:lastRenderedPageBreak/>
        <w:t>(A)</w:t>
      </w:r>
    </w:p>
    <w:bookmarkEnd w:id="1"/>
    <w:p w:rsidR="009E4259" w:rsidRPr="009E4259" w:rsidRDefault="009E4259" w:rsidP="009E4259">
      <w:pPr>
        <w:rPr>
          <w:rFonts w:cs="Times New Roman"/>
          <w:szCs w:val="18"/>
          <w:lang w:eastAsia="ko-KR"/>
        </w:rPr>
      </w:pPr>
      <w:r w:rsidRPr="009E4259">
        <w:rPr>
          <w:rFonts w:cs="Times New Roman"/>
          <w:noProof/>
          <w:szCs w:val="18"/>
        </w:rPr>
        <w:drawing>
          <wp:inline distT="0" distB="0" distL="0" distR="0" wp14:anchorId="461BF13C" wp14:editId="390273C6">
            <wp:extent cx="5486400" cy="2194560"/>
            <wp:effectExtent l="0" t="0" r="0" b="2540"/>
            <wp:docPr id="1311799060" name="Picture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99060" name="Picture 4" descr="A graph of different colored lines&#10;&#10;AI-generated content may be incorrect."/>
                    <pic:cNvPicPr/>
                  </pic:nvPicPr>
                  <pic:blipFill>
                    <a:blip r:embed="rId13"/>
                    <a:stretch>
                      <a:fillRect/>
                    </a:stretch>
                  </pic:blipFill>
                  <pic:spPr>
                    <a:xfrm>
                      <a:off x="0" y="0"/>
                      <a:ext cx="5486400" cy="2194560"/>
                    </a:xfrm>
                    <a:prstGeom prst="rect">
                      <a:avLst/>
                    </a:prstGeom>
                  </pic:spPr>
                </pic:pic>
              </a:graphicData>
            </a:graphic>
          </wp:inline>
        </w:drawing>
      </w:r>
    </w:p>
    <w:p w:rsidR="009E4259" w:rsidRPr="009E4259" w:rsidRDefault="009E4259" w:rsidP="009E4259">
      <w:pPr>
        <w:rPr>
          <w:rFonts w:eastAsia="Malgun Gothic" w:cs="Times New Roman"/>
          <w:szCs w:val="18"/>
          <w:lang w:eastAsia="ko-KR"/>
        </w:rPr>
      </w:pPr>
      <w:bookmarkStart w:id="2" w:name="_Hlk220779776"/>
      <w:r w:rsidRPr="009E4259">
        <w:rPr>
          <w:rFonts w:cs="Times New Roman"/>
          <w:szCs w:val="18"/>
        </w:rPr>
        <w:t>(B)</w:t>
      </w:r>
    </w:p>
    <w:bookmarkEnd w:id="2"/>
    <w:p w:rsidR="009E4259" w:rsidRPr="009E4259" w:rsidRDefault="009E4259" w:rsidP="009E4259">
      <w:pPr>
        <w:rPr>
          <w:rFonts w:cs="Times New Roman"/>
          <w:szCs w:val="18"/>
          <w:lang w:eastAsia="ko-KR"/>
        </w:rPr>
      </w:pPr>
      <w:r w:rsidRPr="009E4259">
        <w:rPr>
          <w:rFonts w:cs="Times New Roman"/>
          <w:noProof/>
          <w:szCs w:val="18"/>
          <w:lang w:eastAsia="ko-KR"/>
        </w:rPr>
        <w:drawing>
          <wp:inline distT="0" distB="0" distL="0" distR="0" wp14:anchorId="2E2038C4" wp14:editId="252E75C5">
            <wp:extent cx="5486400" cy="4389120"/>
            <wp:effectExtent l="0" t="0" r="0" b="5080"/>
            <wp:docPr id="1007254696" name="Picture 1" descr="A group of graphs showing age and 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54696" name="Picture 1" descr="A group of graphs showing age and age&#10;&#10;AI-generated content may be incorrect."/>
                    <pic:cNvPicPr/>
                  </pic:nvPicPr>
                  <pic:blipFill>
                    <a:blip r:embed="rId14"/>
                    <a:stretch>
                      <a:fillRect/>
                    </a:stretch>
                  </pic:blipFill>
                  <pic:spPr>
                    <a:xfrm>
                      <a:off x="0" y="0"/>
                      <a:ext cx="5486400" cy="4389120"/>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4. Subgroup Interrupted Time Series Analyses</w:t>
      </w:r>
    </w:p>
    <w:p w:rsidR="009E4259" w:rsidRPr="009E4259" w:rsidRDefault="009E4259" w:rsidP="009E4259">
      <w:pPr>
        <w:rPr>
          <w:rFonts w:cs="Times New Roman"/>
          <w:szCs w:val="18"/>
        </w:rPr>
      </w:pPr>
      <w:r w:rsidRPr="009E4259">
        <w:rPr>
          <w:rFonts w:cs="Times New Roman"/>
          <w:szCs w:val="18"/>
        </w:rPr>
        <w:t>ITS analyses by demographic subgroups: (A) Sex; (B) Age group; (C) Region; (D) Occupation. Points: observed counts; solid lines: fitted values; dashed lines: counterfactual projections. Vertical dashed orange line: paraquat ban (December 2011). See eTable 3 for details.</w:t>
      </w:r>
    </w:p>
    <w:p w:rsidR="009E4259" w:rsidRPr="009E4259" w:rsidRDefault="009E4259" w:rsidP="009E4259">
      <w:pPr>
        <w:rPr>
          <w:rFonts w:eastAsia="Malgun Gothic" w:cs="Times New Roman"/>
          <w:szCs w:val="18"/>
          <w:lang w:eastAsia="ko-KR"/>
        </w:rPr>
      </w:pPr>
      <w:r w:rsidRPr="009E4259">
        <w:rPr>
          <w:rFonts w:cs="Times New Roman"/>
          <w:szCs w:val="18"/>
        </w:rPr>
        <w:lastRenderedPageBreak/>
        <w:t>(C)</w:t>
      </w:r>
    </w:p>
    <w:p w:rsidR="009E4259" w:rsidRPr="009E4259" w:rsidRDefault="009E4259" w:rsidP="009E4259">
      <w:pPr>
        <w:rPr>
          <w:rFonts w:cs="Times New Roman"/>
          <w:szCs w:val="18"/>
          <w:lang w:eastAsia="ko-KR"/>
        </w:rPr>
      </w:pPr>
      <w:r w:rsidRPr="009E4259">
        <w:rPr>
          <w:rFonts w:cs="Times New Roman"/>
          <w:noProof/>
          <w:szCs w:val="18"/>
          <w:lang w:eastAsia="ko-KR"/>
        </w:rPr>
        <w:drawing>
          <wp:inline distT="0" distB="0" distL="0" distR="0" wp14:anchorId="0268D3BF" wp14:editId="0A8FFD50">
            <wp:extent cx="5486400" cy="2194560"/>
            <wp:effectExtent l="0" t="0" r="0" b="2540"/>
            <wp:docPr id="645671940" name="Picture 6"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71940" name="Picture 6" descr="A close-up of a graph&#10;&#10;AI-generated content may be incorrect."/>
                    <pic:cNvPicPr/>
                  </pic:nvPicPr>
                  <pic:blipFill>
                    <a:blip r:embed="rId15"/>
                    <a:stretch>
                      <a:fillRect/>
                    </a:stretch>
                  </pic:blipFill>
                  <pic:spPr>
                    <a:xfrm>
                      <a:off x="0" y="0"/>
                      <a:ext cx="5486400" cy="2194560"/>
                    </a:xfrm>
                    <a:prstGeom prst="rect">
                      <a:avLst/>
                    </a:prstGeom>
                  </pic:spPr>
                </pic:pic>
              </a:graphicData>
            </a:graphic>
          </wp:inline>
        </w:drawing>
      </w:r>
    </w:p>
    <w:p w:rsidR="009E4259" w:rsidRPr="009E4259" w:rsidRDefault="009E4259" w:rsidP="009E4259">
      <w:pPr>
        <w:rPr>
          <w:rFonts w:eastAsia="Malgun Gothic" w:cs="Times New Roman"/>
          <w:szCs w:val="18"/>
          <w:lang w:eastAsia="ko-KR"/>
        </w:rPr>
      </w:pPr>
      <w:r w:rsidRPr="009E4259">
        <w:rPr>
          <w:rFonts w:cs="Times New Roman"/>
          <w:szCs w:val="18"/>
        </w:rPr>
        <w:t>(D)</w:t>
      </w:r>
    </w:p>
    <w:p w:rsidR="009E4259" w:rsidRPr="009E4259" w:rsidRDefault="009E4259" w:rsidP="009E4259">
      <w:pPr>
        <w:rPr>
          <w:rFonts w:cs="Times New Roman"/>
          <w:szCs w:val="18"/>
          <w:lang w:eastAsia="ko-KR"/>
        </w:rPr>
      </w:pPr>
      <w:r w:rsidRPr="009E4259">
        <w:rPr>
          <w:rFonts w:cs="Times New Roman"/>
          <w:noProof/>
          <w:szCs w:val="18"/>
          <w:lang w:eastAsia="ko-KR"/>
        </w:rPr>
        <w:drawing>
          <wp:inline distT="0" distB="0" distL="0" distR="0" wp14:anchorId="50F59F02" wp14:editId="79E2025B">
            <wp:extent cx="5486400" cy="1828800"/>
            <wp:effectExtent l="0" t="0" r="0" b="0"/>
            <wp:docPr id="784187544" name="Picture 7" descr="A graph with green and orang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87544" name="Picture 7" descr="A graph with green and orange lines&#10;&#10;AI-generated content may be incorrect."/>
                    <pic:cNvPicPr/>
                  </pic:nvPicPr>
                  <pic:blipFill>
                    <a:blip r:embed="rId16"/>
                    <a:stretch>
                      <a:fillRect/>
                    </a:stretch>
                  </pic:blipFill>
                  <pic:spPr>
                    <a:xfrm>
                      <a:off x="0" y="0"/>
                      <a:ext cx="5486400" cy="1828800"/>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4. Subgroup Interrupted Time Series Analyses</w:t>
      </w:r>
    </w:p>
    <w:p w:rsidR="009E4259" w:rsidRDefault="009E4259" w:rsidP="009E4259">
      <w:pPr>
        <w:rPr>
          <w:rFonts w:cs="Times New Roman"/>
          <w:szCs w:val="18"/>
          <w:lang w:eastAsia="ko-KR"/>
        </w:rPr>
      </w:pPr>
      <w:r w:rsidRPr="009E4259">
        <w:rPr>
          <w:rFonts w:cs="Times New Roman"/>
          <w:szCs w:val="18"/>
        </w:rPr>
        <w:t>ITS analyses by demographic subgroups: (A) Sex; (B) Age group; (C) Region; (D) Occupation. Points: observed counts; solid lines: fitted values; dashed lines: counterfactual projections. Vertical dashed orange line: paraquat ban (December 2011). See eTable 3 for details.</w:t>
      </w:r>
    </w:p>
    <w:p w:rsidR="009B0133" w:rsidRDefault="009B0133" w:rsidP="009E4259">
      <w:pPr>
        <w:rPr>
          <w:rFonts w:cs="Times New Roman"/>
          <w:szCs w:val="18"/>
          <w:lang w:eastAsia="ko-KR"/>
        </w:rPr>
        <w:sectPr w:rsidR="009B0133" w:rsidSect="009E4259">
          <w:pgSz w:w="12240" w:h="15840"/>
          <w:pgMar w:top="1440" w:right="1800" w:bottom="1440" w:left="1800" w:header="720" w:footer="720" w:gutter="0"/>
          <w:cols w:space="720"/>
          <w:docGrid w:linePitch="360"/>
        </w:sectPr>
      </w:pPr>
    </w:p>
    <w:p w:rsidR="009E4259" w:rsidRPr="009E4259" w:rsidRDefault="009E4259" w:rsidP="009E4259">
      <w:pPr>
        <w:rPr>
          <w:rFonts w:cs="Times New Roman"/>
          <w:szCs w:val="18"/>
        </w:rPr>
      </w:pPr>
      <w:r w:rsidRPr="009E4259">
        <w:rPr>
          <w:rFonts w:cs="Times New Roman"/>
          <w:noProof/>
          <w:szCs w:val="18"/>
        </w:rPr>
        <w:lastRenderedPageBreak/>
        <w:drawing>
          <wp:inline distT="0" distB="0" distL="0" distR="0" wp14:anchorId="6E814A87" wp14:editId="7115056A">
            <wp:extent cx="8233833" cy="3293533"/>
            <wp:effectExtent l="0" t="0" r="0" b="0"/>
            <wp:docPr id="1837453802" name="Picture 8" descr="A graph showing a green and whit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53802" name="Picture 8" descr="A graph showing a green and white line&#10;&#10;AI-generated content may be incorrect."/>
                    <pic:cNvPicPr/>
                  </pic:nvPicPr>
                  <pic:blipFill>
                    <a:blip r:embed="rId17"/>
                    <a:stretch>
                      <a:fillRect/>
                    </a:stretch>
                  </pic:blipFill>
                  <pic:spPr>
                    <a:xfrm>
                      <a:off x="0" y="0"/>
                      <a:ext cx="8271243" cy="3308497"/>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5. Sensitivity Analysis Using Pre-Ban Data Only for Counterfactual Projection</w:t>
      </w:r>
    </w:p>
    <w:p w:rsidR="009E4259" w:rsidRPr="009E4259" w:rsidRDefault="009E4259" w:rsidP="009E4259">
      <w:pPr>
        <w:rPr>
          <w:rFonts w:cs="Times New Roman"/>
          <w:szCs w:val="18"/>
        </w:rPr>
      </w:pPr>
      <w:r w:rsidRPr="009E4259">
        <w:rPr>
          <w:rFonts w:cs="Times New Roman"/>
          <w:szCs w:val="18"/>
        </w:rPr>
        <w:t>Counterfactual projection using pre-ban data (2004–2011) only. Green points: observed values; green line: fitted values; gray dashed line: counterfactual forecast; gray shaded area: 95% prediction interval. See eTable 10 for details.</w:t>
      </w:r>
    </w:p>
    <w:p w:rsidR="009B0133" w:rsidRDefault="009B0133">
      <w:pPr>
        <w:rPr>
          <w:rFonts w:cs="Times New Roman"/>
          <w:szCs w:val="18"/>
        </w:rPr>
      </w:pPr>
      <w:r>
        <w:rPr>
          <w:rFonts w:cs="Times New Roman"/>
          <w:szCs w:val="18"/>
        </w:rPr>
        <w:br w:type="page"/>
      </w:r>
    </w:p>
    <w:p w:rsidR="009E4259" w:rsidRPr="009E4259" w:rsidRDefault="009E4259" w:rsidP="006A12FC">
      <w:pPr>
        <w:jc w:val="center"/>
        <w:rPr>
          <w:rFonts w:cs="Times New Roman"/>
          <w:szCs w:val="18"/>
        </w:rPr>
      </w:pPr>
      <w:r w:rsidRPr="009E4259">
        <w:rPr>
          <w:rFonts w:cs="Times New Roman"/>
          <w:noProof/>
          <w:szCs w:val="18"/>
        </w:rPr>
        <w:lastRenderedPageBreak/>
        <w:drawing>
          <wp:inline distT="0" distB="0" distL="0" distR="0" wp14:anchorId="4E7DB4C2" wp14:editId="478C5D0E">
            <wp:extent cx="6460067" cy="4522047"/>
            <wp:effectExtent l="0" t="0" r="4445" b="0"/>
            <wp:docPr id="823957445" name="Picture 9" descr="A graph of suic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57445" name="Picture 9" descr="A graph of suicide&#10;&#10;AI-generated content may be incorrect."/>
                    <pic:cNvPicPr/>
                  </pic:nvPicPr>
                  <pic:blipFill>
                    <a:blip r:embed="rId18"/>
                    <a:stretch>
                      <a:fillRect/>
                    </a:stretch>
                  </pic:blipFill>
                  <pic:spPr>
                    <a:xfrm>
                      <a:off x="0" y="0"/>
                      <a:ext cx="6487144" cy="4541001"/>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 xml:space="preserve">eFigure 6. Exploratory Difference-in-Differences Analysis Comparing Pesticide Suicides </w:t>
      </w:r>
      <w:r w:rsidR="00523E28">
        <w:rPr>
          <w:rFonts w:cs="Times New Roman"/>
          <w:b/>
          <w:szCs w:val="18"/>
        </w:rPr>
        <w:t>w</w:t>
      </w:r>
      <w:r w:rsidRPr="009E4259">
        <w:rPr>
          <w:rFonts w:cs="Times New Roman"/>
          <w:b/>
          <w:szCs w:val="18"/>
        </w:rPr>
        <w:t>ith Control Outcomes</w:t>
      </w:r>
    </w:p>
    <w:p w:rsidR="009E4259" w:rsidRPr="009E4259" w:rsidRDefault="009E4259" w:rsidP="009E4259">
      <w:pPr>
        <w:rPr>
          <w:rFonts w:cs="Times New Roman"/>
          <w:szCs w:val="18"/>
        </w:rPr>
      </w:pPr>
      <w:r w:rsidRPr="009E4259">
        <w:rPr>
          <w:rFonts w:cs="Times New Roman"/>
          <w:szCs w:val="18"/>
        </w:rPr>
        <w:t>Indexed monthly counts (December 2011 = 100) for pesticide suicides compared with (A) hanging and (B) non-pesticide suicides. This exploratory analysis should be interpreted with caution due to violation of the parallel trend assumption. See eTable 13 for details.</w:t>
      </w:r>
    </w:p>
    <w:p w:rsidR="009E4259" w:rsidRPr="009E4259" w:rsidRDefault="006A12FC" w:rsidP="009E4259">
      <w:pPr>
        <w:rPr>
          <w:rFonts w:cs="Times New Roman" w:hint="eastAsia"/>
          <w:b/>
          <w:szCs w:val="18"/>
          <w:lang w:eastAsia="ko-KR"/>
        </w:rPr>
      </w:pPr>
      <w:r>
        <w:rPr>
          <w:rFonts w:cs="Times New Roman" w:hint="eastAsia"/>
          <w:b/>
          <w:noProof/>
          <w:szCs w:val="18"/>
          <w:lang w:eastAsia="ko-KR"/>
        </w:rPr>
        <w:lastRenderedPageBreak/>
        <w:drawing>
          <wp:inline distT="0" distB="0" distL="0" distR="0">
            <wp:extent cx="8229600" cy="3291840"/>
            <wp:effectExtent l="0" t="0" r="0" b="0"/>
            <wp:docPr id="647054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54194" name="Picture 647054194"/>
                    <pic:cNvPicPr/>
                  </pic:nvPicPr>
                  <pic:blipFill>
                    <a:blip r:embed="rId19"/>
                    <a:stretch>
                      <a:fillRect/>
                    </a:stretch>
                  </pic:blipFill>
                  <pic:spPr>
                    <a:xfrm>
                      <a:off x="0" y="0"/>
                      <a:ext cx="8229600" cy="3291840"/>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7. Two-Stage Intervention Model for Pesticide Suicide</w:t>
      </w:r>
    </w:p>
    <w:p w:rsidR="009E4259" w:rsidRPr="009E4259" w:rsidRDefault="009E4259" w:rsidP="009E4259">
      <w:pPr>
        <w:spacing w:after="120"/>
        <w:rPr>
          <w:rFonts w:cs="Times New Roman"/>
          <w:szCs w:val="18"/>
        </w:rPr>
      </w:pPr>
      <w:r w:rsidRPr="009E4259">
        <w:rPr>
          <w:rFonts w:cs="Times New Roman"/>
          <w:szCs w:val="18"/>
        </w:rPr>
        <w:t>Interrupted time series analysis modeling the paraquat ban as two distinct intervention points: Stage 1 (sale restriction, November 2011) and Stage 2 (complete ban, October 2012). Gray points: observed monthly counts; green solid line: fitted values; gray dashed line: counterfactual projection; red dashed line: Stage 1 intervention; blue dashed line: Stage 2 intervention. The shaded region indicates the transition period between stages.</w:t>
      </w:r>
    </w:p>
    <w:p w:rsidR="009E4259" w:rsidRPr="009E4259" w:rsidRDefault="009E4259" w:rsidP="009E4259">
      <w:pPr>
        <w:rPr>
          <w:rFonts w:cs="Times New Roman"/>
          <w:b/>
          <w:szCs w:val="18"/>
        </w:rPr>
      </w:pPr>
      <w:r w:rsidRPr="009E4259">
        <w:rPr>
          <w:rFonts w:cs="Times New Roman"/>
          <w:b/>
          <w:szCs w:val="18"/>
        </w:rPr>
        <w:br w:type="page"/>
      </w:r>
    </w:p>
    <w:p w:rsidR="009E4259" w:rsidRPr="009E4259" w:rsidRDefault="008B3D09" w:rsidP="009E4259">
      <w:pPr>
        <w:rPr>
          <w:rFonts w:cs="Times New Roman"/>
          <w:b/>
          <w:szCs w:val="18"/>
          <w:lang w:eastAsia="ko-KR"/>
        </w:rPr>
      </w:pPr>
      <w:r>
        <w:rPr>
          <w:rFonts w:cs="Times New Roman"/>
          <w:b/>
          <w:noProof/>
          <w:szCs w:val="18"/>
          <w:lang w:eastAsia="ko-KR"/>
        </w:rPr>
        <w:lastRenderedPageBreak/>
        <w:drawing>
          <wp:inline distT="0" distB="0" distL="0" distR="0">
            <wp:extent cx="8229600" cy="3291840"/>
            <wp:effectExtent l="0" t="0" r="0" b="0"/>
            <wp:docPr id="1561788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88768" name="Picture 1561788768"/>
                    <pic:cNvPicPr/>
                  </pic:nvPicPr>
                  <pic:blipFill>
                    <a:blip r:embed="rId20"/>
                    <a:stretch>
                      <a:fillRect/>
                    </a:stretch>
                  </pic:blipFill>
                  <pic:spPr>
                    <a:xfrm>
                      <a:off x="0" y="0"/>
                      <a:ext cx="8229600" cy="3291840"/>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8. Interrupted Time Series Analysis for Total Suicide Mortality</w:t>
      </w:r>
    </w:p>
    <w:p w:rsidR="009E4259" w:rsidRPr="009E4259" w:rsidRDefault="009E4259" w:rsidP="009E4259">
      <w:pPr>
        <w:spacing w:after="120"/>
        <w:rPr>
          <w:rFonts w:cs="Times New Roman"/>
          <w:szCs w:val="18"/>
        </w:rPr>
      </w:pPr>
      <w:r w:rsidRPr="009E4259">
        <w:rPr>
          <w:rFonts w:cs="Times New Roman"/>
          <w:szCs w:val="18"/>
        </w:rPr>
        <w:t>ITS analysis of overall (all-method) suicide mortality. Gray points: observed monthly counts; dark blue solid line: fitted values; gray dashed line: counterfactual projection; orange dashed line: paraquat ban (December 2011). Pesticide suicides account for approximately 15% of total suicides, limiting the detectable effect at the aggregate level.</w:t>
      </w:r>
    </w:p>
    <w:p w:rsidR="009E4259" w:rsidRPr="009E4259" w:rsidRDefault="009E4259" w:rsidP="009E4259">
      <w:pPr>
        <w:rPr>
          <w:rFonts w:cs="Times New Roman"/>
          <w:szCs w:val="18"/>
        </w:rPr>
      </w:pPr>
      <w:r w:rsidRPr="009E4259">
        <w:rPr>
          <w:rFonts w:cs="Times New Roman"/>
          <w:szCs w:val="18"/>
        </w:rPr>
        <w:br w:type="page"/>
      </w:r>
    </w:p>
    <w:p w:rsidR="009B0133" w:rsidRDefault="009E4259" w:rsidP="009E4259">
      <w:pPr>
        <w:rPr>
          <w:rFonts w:cs="Times New Roman"/>
          <w:b/>
          <w:szCs w:val="18"/>
          <w:lang w:eastAsia="ko-KR"/>
        </w:rPr>
      </w:pPr>
      <w:r w:rsidRPr="009E4259">
        <w:rPr>
          <w:rFonts w:asciiTheme="minorHAnsi" w:hAnsiTheme="minorHAnsi"/>
          <w:noProof/>
          <w:sz w:val="22"/>
        </w:rPr>
        <w:lastRenderedPageBreak/>
        <w:drawing>
          <wp:inline distT="0" distB="0" distL="0" distR="0" wp14:anchorId="4F7AA3FA" wp14:editId="2EF19A9E">
            <wp:extent cx="7755467" cy="3877734"/>
            <wp:effectExtent l="0" t="0" r="4445" b="0"/>
            <wp:docPr id="1837453810" name="Picture 1837453810"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53810" name="Picture 1837453810" descr="A comparison of a graph&#10;&#10;AI-generated content may be incorrect."/>
                    <pic:cNvPicPr/>
                  </pic:nvPicPr>
                  <pic:blipFill>
                    <a:blip r:embed="rId21"/>
                    <a:stretch>
                      <a:fillRect/>
                    </a:stretch>
                  </pic:blipFill>
                  <pic:spPr>
                    <a:xfrm>
                      <a:off x="0" y="0"/>
                      <a:ext cx="7779812" cy="3889906"/>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9. Demographic Characteristics of Pesticide and Gas Suicide Decedents</w:t>
      </w:r>
    </w:p>
    <w:p w:rsidR="009E4259" w:rsidRPr="009E4259" w:rsidRDefault="009E4259" w:rsidP="009E4259">
      <w:pPr>
        <w:spacing w:after="120"/>
        <w:rPr>
          <w:rFonts w:cs="Times New Roman"/>
          <w:szCs w:val="18"/>
        </w:rPr>
      </w:pPr>
      <w:r w:rsidRPr="009E4259">
        <w:rPr>
          <w:rFonts w:cs="Times New Roman"/>
          <w:szCs w:val="18"/>
        </w:rPr>
        <w:t>Comparison of demographic profiles between pesticide suicide and gas suicide decedents. (A) Sex distribution; (B) Age distribution. Green bars: pesticide suicide; purple bars: gas suicide. The distinct demographic patterns support the interpretation that gas suicide increase was not primarily driven by substitution from pesticide suicide.</w:t>
      </w:r>
    </w:p>
    <w:p w:rsidR="009E4259" w:rsidRPr="009E4259" w:rsidRDefault="009E4259" w:rsidP="009E4259">
      <w:pPr>
        <w:jc w:val="center"/>
        <w:rPr>
          <w:rFonts w:cs="Times New Roman"/>
          <w:szCs w:val="18"/>
        </w:rPr>
      </w:pPr>
    </w:p>
    <w:p w:rsidR="009E4259" w:rsidRPr="009E4259" w:rsidRDefault="009E4259" w:rsidP="009E4259">
      <w:pPr>
        <w:rPr>
          <w:rFonts w:cs="Times New Roman"/>
          <w:szCs w:val="18"/>
        </w:rPr>
      </w:pPr>
      <w:r w:rsidRPr="009E4259">
        <w:rPr>
          <w:rFonts w:cs="Times New Roman"/>
          <w:szCs w:val="18"/>
        </w:rPr>
        <w:br w:type="page"/>
      </w:r>
    </w:p>
    <w:p w:rsidR="009E4259" w:rsidRPr="009E4259" w:rsidRDefault="008B3D09" w:rsidP="009E4259">
      <w:pPr>
        <w:rPr>
          <w:rFonts w:cs="Times New Roman"/>
          <w:szCs w:val="18"/>
        </w:rPr>
      </w:pPr>
      <w:r>
        <w:rPr>
          <w:rFonts w:cs="Times New Roman"/>
          <w:noProof/>
          <w:szCs w:val="18"/>
        </w:rPr>
        <w:lastRenderedPageBreak/>
        <w:drawing>
          <wp:inline distT="0" distB="0" distL="0" distR="0">
            <wp:extent cx="8229600" cy="3291840"/>
            <wp:effectExtent l="0" t="0" r="0" b="0"/>
            <wp:docPr id="1952321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21458" name="Picture 1952321458"/>
                    <pic:cNvPicPr/>
                  </pic:nvPicPr>
                  <pic:blipFill>
                    <a:blip r:embed="rId22"/>
                    <a:stretch>
                      <a:fillRect/>
                    </a:stretch>
                  </pic:blipFill>
                  <pic:spPr>
                    <a:xfrm>
                      <a:off x="0" y="0"/>
                      <a:ext cx="8229600" cy="3291840"/>
                    </a:xfrm>
                    <a:prstGeom prst="rect">
                      <a:avLst/>
                    </a:prstGeom>
                  </pic:spPr>
                </pic:pic>
              </a:graphicData>
            </a:graphic>
          </wp:inline>
        </w:drawing>
      </w:r>
    </w:p>
    <w:p w:rsidR="009E4259" w:rsidRPr="009E4259" w:rsidRDefault="009E4259" w:rsidP="009E4259">
      <w:pPr>
        <w:rPr>
          <w:rFonts w:cs="Times New Roman"/>
          <w:szCs w:val="18"/>
        </w:rPr>
      </w:pPr>
      <w:r w:rsidRPr="009E4259">
        <w:rPr>
          <w:rFonts w:cs="Times New Roman"/>
          <w:b/>
          <w:szCs w:val="18"/>
        </w:rPr>
        <w:t>eFigure 10. Structural Breakpoint Analysis for Gas Suicide</w:t>
      </w:r>
    </w:p>
    <w:p w:rsidR="009E4259" w:rsidRPr="009E4259" w:rsidRDefault="009E4259" w:rsidP="009E4259">
      <w:pPr>
        <w:spacing w:after="120"/>
        <w:rPr>
          <w:rFonts w:cs="Times New Roman"/>
          <w:szCs w:val="18"/>
          <w:lang w:eastAsia="ko-KR"/>
        </w:rPr>
      </w:pPr>
      <w:r w:rsidRPr="009E4259">
        <w:rPr>
          <w:rFonts w:cs="Times New Roman"/>
          <w:szCs w:val="18"/>
        </w:rPr>
        <w:t>Bai-Perron structural breakpoint analysis of monthly gas suicide (X67) counts with STL trend decomposition. Purple points and line: observed counts; dark purple line: trend component; green vertical line: structural breakpoint (August 2008); orange dashed line: paraquat ban (December 2011). The breakpoint occurred approximately 3.3 years before the paraquat ban, suggesting that the increase in gas suicides was driven by factors unrelated to pesticide regulation (e.g., charcoal availability, media effects following a high-profile celebrity suicide in 2008).</w:t>
      </w:r>
    </w:p>
    <w:p w:rsidR="009E4259" w:rsidRPr="009E4259" w:rsidRDefault="009E4259">
      <w:pPr>
        <w:spacing w:before="40" w:after="40" w:line="240" w:lineRule="auto"/>
        <w:rPr>
          <w:lang w:eastAsia="ko-KR"/>
        </w:rPr>
      </w:pPr>
    </w:p>
    <w:sectPr w:rsidR="009E4259" w:rsidRPr="009E4259" w:rsidSect="009B0133">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354" w:rsidRDefault="00065354" w:rsidP="007E7975">
      <w:pPr>
        <w:spacing w:after="0" w:line="240" w:lineRule="auto"/>
      </w:pPr>
      <w:r>
        <w:separator/>
      </w:r>
    </w:p>
  </w:endnote>
  <w:endnote w:type="continuationSeparator" w:id="0">
    <w:p w:rsidR="00065354" w:rsidRDefault="00065354" w:rsidP="007E7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Malgun Gothic">
    <w:altName w:val="____ ____"/>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640608"/>
      <w:docPartObj>
        <w:docPartGallery w:val="Page Numbers (Bottom of Page)"/>
        <w:docPartUnique/>
      </w:docPartObj>
    </w:sdtPr>
    <w:sdtContent>
      <w:p w:rsidR="007E7975" w:rsidRDefault="007E7975" w:rsidP="002D49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7E7975" w:rsidRDefault="007E7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9851848"/>
      <w:docPartObj>
        <w:docPartGallery w:val="Page Numbers (Bottom of Page)"/>
        <w:docPartUnique/>
      </w:docPartObj>
    </w:sdtPr>
    <w:sdtContent>
      <w:p w:rsidR="007E7975" w:rsidRDefault="007E7975" w:rsidP="002D49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E7975" w:rsidRDefault="007E7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354" w:rsidRDefault="00065354" w:rsidP="007E7975">
      <w:pPr>
        <w:spacing w:after="0" w:line="240" w:lineRule="auto"/>
      </w:pPr>
      <w:r>
        <w:separator/>
      </w:r>
    </w:p>
  </w:footnote>
  <w:footnote w:type="continuationSeparator" w:id="0">
    <w:p w:rsidR="00065354" w:rsidRDefault="00065354" w:rsidP="007E79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9653015">
    <w:abstractNumId w:val="8"/>
  </w:num>
  <w:num w:numId="2" w16cid:durableId="1810974281">
    <w:abstractNumId w:val="6"/>
  </w:num>
  <w:num w:numId="3" w16cid:durableId="2071727135">
    <w:abstractNumId w:val="5"/>
  </w:num>
  <w:num w:numId="4" w16cid:durableId="330720337">
    <w:abstractNumId w:val="4"/>
  </w:num>
  <w:num w:numId="5" w16cid:durableId="178080973">
    <w:abstractNumId w:val="7"/>
  </w:num>
  <w:num w:numId="6" w16cid:durableId="227693540">
    <w:abstractNumId w:val="3"/>
  </w:num>
  <w:num w:numId="7" w16cid:durableId="1204059043">
    <w:abstractNumId w:val="2"/>
  </w:num>
  <w:num w:numId="8" w16cid:durableId="1663850678">
    <w:abstractNumId w:val="1"/>
  </w:num>
  <w:num w:numId="9" w16cid:durableId="1183786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354"/>
    <w:rsid w:val="0015074B"/>
    <w:rsid w:val="001D69C1"/>
    <w:rsid w:val="0029639D"/>
    <w:rsid w:val="00326F90"/>
    <w:rsid w:val="00426FCA"/>
    <w:rsid w:val="004F6956"/>
    <w:rsid w:val="00523E28"/>
    <w:rsid w:val="00534CE8"/>
    <w:rsid w:val="006763EE"/>
    <w:rsid w:val="006A12FC"/>
    <w:rsid w:val="006E26E4"/>
    <w:rsid w:val="007752B0"/>
    <w:rsid w:val="00796CC6"/>
    <w:rsid w:val="007E7975"/>
    <w:rsid w:val="00826A05"/>
    <w:rsid w:val="008B3D09"/>
    <w:rsid w:val="009B0133"/>
    <w:rsid w:val="009E4259"/>
    <w:rsid w:val="009F2685"/>
    <w:rsid w:val="00AA1D8D"/>
    <w:rsid w:val="00B345DA"/>
    <w:rsid w:val="00B47730"/>
    <w:rsid w:val="00CB0664"/>
    <w:rsid w:val="00D07B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431C5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7E7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2466</Words>
  <Characters>14059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2026-02-01T14:33:00Z</dcterms:created>
  <dcterms:modified xsi:type="dcterms:W3CDTF">2026-02-01T14:49:00Z</dcterms:modified>
  <cp:category/>
</cp:coreProperties>
</file>