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2E1DA" w14:textId="667992A0" w:rsidR="00CA757B" w:rsidRPr="00C543E5" w:rsidRDefault="00E7115C">
      <w:pPr>
        <w:rPr>
          <w:rFonts w:ascii="Calibri" w:hAnsi="Calibri" w:cs="Calibri"/>
          <w:b/>
          <w:bCs/>
        </w:rPr>
      </w:pPr>
      <w:r w:rsidRPr="00C543E5">
        <w:rPr>
          <w:rFonts w:ascii="Calibri" w:hAnsi="Calibri" w:cs="Calibri"/>
          <w:b/>
          <w:bCs/>
        </w:rPr>
        <w:t xml:space="preserve">Supplementary file </w:t>
      </w:r>
      <w:r w:rsidR="006A6988" w:rsidRPr="00C543E5">
        <w:rPr>
          <w:rFonts w:ascii="Calibri" w:hAnsi="Calibri" w:cs="Calibri"/>
          <w:b/>
          <w:bCs/>
        </w:rPr>
        <w:t>2</w:t>
      </w:r>
    </w:p>
    <w:p w14:paraId="18D9480B" w14:textId="77777777" w:rsidR="006A6988" w:rsidRDefault="006A6988"/>
    <w:p w14:paraId="1F92CE23" w14:textId="77777777" w:rsidR="0015780A" w:rsidRDefault="0015780A"/>
    <w:p w14:paraId="58F08210" w14:textId="6BAE7B3E" w:rsidR="00137C87" w:rsidRDefault="00137C87" w:rsidP="00137C87">
      <w:pPr>
        <w:pStyle w:val="Caption"/>
        <w:keepNext/>
      </w:pPr>
      <w:r>
        <w:t xml:space="preserve">Table </w:t>
      </w:r>
      <w:r>
        <w:rPr>
          <w:lang w:val="en-GB"/>
        </w:rPr>
        <w:t xml:space="preserve">PRIZE </w:t>
      </w:r>
      <w:r w:rsidR="0045208F">
        <w:rPr>
          <w:lang w:val="en-GB"/>
        </w:rPr>
        <w:t>quantitative</w:t>
      </w:r>
      <w:r>
        <w:rPr>
          <w:lang w:val="en-GB"/>
        </w:rPr>
        <w:t xml:space="preserve"> outcome measures and instruments</w:t>
      </w:r>
    </w:p>
    <w:tbl>
      <w:tblPr>
        <w:tblStyle w:val="TableGrid"/>
        <w:tblW w:w="9776" w:type="dxa"/>
        <w:tblLook w:val="04A0" w:firstRow="1" w:lastRow="0" w:firstColumn="1" w:lastColumn="0" w:noHBand="0" w:noVBand="1"/>
      </w:tblPr>
      <w:tblGrid>
        <w:gridCol w:w="1615"/>
        <w:gridCol w:w="2034"/>
        <w:gridCol w:w="6127"/>
      </w:tblGrid>
      <w:tr w:rsidR="00FF2CD0" w:rsidRPr="004F0376" w14:paraId="7FA3859E" w14:textId="77777777" w:rsidTr="00DD619C">
        <w:tc>
          <w:tcPr>
            <w:tcW w:w="1615" w:type="dxa"/>
          </w:tcPr>
          <w:p w14:paraId="7C2BB994" w14:textId="77777777" w:rsidR="00FF2CD0" w:rsidRPr="004F0376" w:rsidRDefault="00FF2CD0" w:rsidP="00DD619C">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b/>
                <w:bCs/>
              </w:rPr>
            </w:pPr>
            <w:r w:rsidRPr="004F0376">
              <w:rPr>
                <w:b/>
                <w:bCs/>
              </w:rPr>
              <w:t>Outcome</w:t>
            </w:r>
          </w:p>
        </w:tc>
        <w:tc>
          <w:tcPr>
            <w:tcW w:w="2034" w:type="dxa"/>
          </w:tcPr>
          <w:p w14:paraId="347B4E37" w14:textId="77777777" w:rsidR="00FF2CD0" w:rsidRPr="004F0376" w:rsidRDefault="00FF2CD0" w:rsidP="00DD619C">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b/>
                <w:bCs/>
              </w:rPr>
            </w:pPr>
            <w:r w:rsidRPr="004F0376">
              <w:rPr>
                <w:b/>
                <w:bCs/>
              </w:rPr>
              <w:t>Measure</w:t>
            </w:r>
          </w:p>
        </w:tc>
        <w:tc>
          <w:tcPr>
            <w:tcW w:w="6127" w:type="dxa"/>
          </w:tcPr>
          <w:p w14:paraId="797459BC" w14:textId="77777777" w:rsidR="00FF2CD0" w:rsidRPr="004F0376" w:rsidRDefault="00FF2CD0" w:rsidP="00DD619C">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b/>
                <w:bCs/>
              </w:rPr>
            </w:pPr>
            <w:r w:rsidRPr="004F0376">
              <w:rPr>
                <w:b/>
                <w:bCs/>
              </w:rPr>
              <w:t>Details</w:t>
            </w:r>
          </w:p>
        </w:tc>
      </w:tr>
      <w:tr w:rsidR="00FF2CD0" w14:paraId="6F58D7C9" w14:textId="77777777" w:rsidTr="00DD619C">
        <w:tc>
          <w:tcPr>
            <w:tcW w:w="1615" w:type="dxa"/>
          </w:tcPr>
          <w:p w14:paraId="3F49F636" w14:textId="77777777" w:rsidR="00FF2CD0" w:rsidRDefault="00FF2CD0" w:rsidP="00DD619C">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pPr>
            <w:r>
              <w:t>Disability</w:t>
            </w:r>
          </w:p>
        </w:tc>
        <w:tc>
          <w:tcPr>
            <w:tcW w:w="2034" w:type="dxa"/>
          </w:tcPr>
          <w:p w14:paraId="13773A2E" w14:textId="77777777" w:rsidR="00FF2CD0" w:rsidRDefault="00FF2CD0" w:rsidP="00DD619C">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pPr>
            <w:r>
              <w:t>Self-rated and proxy-rated 12- item WHO Disability Assessment Schedule (WHODAS) 2.0</w:t>
            </w:r>
          </w:p>
        </w:tc>
        <w:tc>
          <w:tcPr>
            <w:tcW w:w="6127" w:type="dxa"/>
          </w:tcPr>
          <w:p w14:paraId="5FFFB1E7" w14:textId="1B5BCF0B" w:rsidR="00FF2CD0" w:rsidRDefault="00FF2CD0" w:rsidP="00DD619C">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pPr>
            <w:r>
              <w:t xml:space="preserve">The 12-item </w:t>
            </w:r>
            <w:r w:rsidRPr="00A46966">
              <w:t xml:space="preserve">WHODAS 2·0 </w:t>
            </w:r>
            <w:r>
              <w:t>is</w:t>
            </w:r>
            <w:r w:rsidRPr="00A46966">
              <w:t xml:space="preserve"> </w:t>
            </w:r>
            <w:r>
              <w:t xml:space="preserve">a </w:t>
            </w:r>
            <w:r w:rsidRPr="00A46966">
              <w:t xml:space="preserve">generic instrument for assessing disability relating to </w:t>
            </w:r>
            <w:r>
              <w:t>any</w:t>
            </w:r>
            <w:r w:rsidRPr="00A46966">
              <w:t xml:space="preserve"> health condition across cultures.</w:t>
            </w:r>
            <w:r>
              <w:t xml:space="preserve"> It has been used previously in South Africa for persons with severe mental illness </w:t>
            </w:r>
            <w:r>
              <w:fldChar w:fldCharType="begin"/>
            </w:r>
            <w:r w:rsidR="00857342">
              <w:instrText xml:space="preserve"> ADDIN EN.CITE &lt;EndNote&gt;&lt;Cite&gt;&lt;Author&gt;Brooke-Sumner&lt;/Author&gt;&lt;Year&gt;2018&lt;/Year&gt;&lt;RecNum&gt;16&lt;/RecNum&gt;&lt;DisplayText&gt;(Brooke-Sumner et al., 2018)&lt;/DisplayText&gt;&lt;record&gt;&lt;rec-number&gt;16&lt;/rec-number&gt;&lt;foreign-keys&gt;&lt;key app="EN" db-id="2ze2z2s5texwznetfxzpfwevewwddss9tdwa" timestamp="1533892246"&gt;16&lt;/key&gt;&lt;/foreign-keys&gt;&lt;ref-type name="Journal Article"&gt;17&lt;/ref-type&gt;&lt;contributors&gt;&lt;authors&gt;&lt;author&gt;Brooke-Sumner, C.&lt;/author&gt;&lt;author&gt;Selohilwe, One&lt;/author&gt;&lt;author&gt;Sphiwe Mazibuko, M.&lt;/author&gt;&lt;author&gt;Petersen, I.&lt;/author&gt;&lt;/authors&gt;&lt;/contributors&gt;&lt;titles&gt;&lt;title&gt;Process Evaluation of a Pilot Intervention for Psychosocial Rehabilitation for Service Users with Schizophrenia in North West Province, South Africa&lt;/title&gt;&lt;secondary-title&gt;Community Mental Health Journal&lt;/secondary-title&gt;&lt;/titles&gt;&lt;periodical&gt;&lt;full-title&gt;Community Mental Health Journal&lt;/full-title&gt;&lt;/periodical&gt;&lt;dates&gt;&lt;year&gt;2018&lt;/year&gt;&lt;/dates&gt;&lt;urls&gt;&lt;/urls&gt;&lt;electronic-resource-num&gt;https://doi.org/10.1007/s10597-018-0318-9&lt;/electronic-resource-num&gt;&lt;/record&gt;&lt;/Cite&gt;&lt;/EndNote&gt;</w:instrText>
            </w:r>
            <w:r>
              <w:fldChar w:fldCharType="separate"/>
            </w:r>
            <w:r w:rsidR="00857342">
              <w:rPr>
                <w:noProof/>
              </w:rPr>
              <w:t>(Brooke-Sumner et al., 2018)</w:t>
            </w:r>
            <w:r>
              <w:fldChar w:fldCharType="end"/>
            </w:r>
            <w:r>
              <w:t>. I</w:t>
            </w:r>
            <w:r w:rsidRPr="00A46966">
              <w:t>tem-response theory-based scoring</w:t>
            </w:r>
            <w:r>
              <w:t xml:space="preserve"> will be used to convert scores to a 0-100 scale </w:t>
            </w:r>
            <w:r>
              <w:fldChar w:fldCharType="begin"/>
            </w:r>
            <w:r w:rsidR="00857342">
              <w:instrText xml:space="preserve"> ADDIN EN.CITE &lt;EndNote&gt;&lt;Cite&gt;&lt;Author&gt;WHO&lt;/Author&gt;&lt;Year&gt;2010&lt;/Year&gt;&lt;RecNum&gt;86&lt;/RecNum&gt;&lt;DisplayText&gt;(WHO, 2010)&lt;/DisplayText&gt;&lt;record&gt;&lt;rec-number&gt;86&lt;/rec-number&gt;&lt;foreign-keys&gt;&lt;key app="EN" db-id="2ze2z2s5texwznetfxzpfwevewwddss9tdwa" timestamp="1619091949"&gt;86&lt;/key&gt;&lt;/foreign-keys&gt;&lt;ref-type name="Report"&gt;27&lt;/ref-type&gt;&lt;contributors&gt;&lt;authors&gt;&lt;author&gt;WHO&lt;/author&gt;&lt;/authors&gt;&lt;/contributors&gt;&lt;titles&gt;&lt;title&gt;Measuring health and disability: Manual for WHO Disability Assessment Schedule (WHODAS 2.0)&lt;/title&gt;&lt;/titles&gt;&lt;dates&gt;&lt;year&gt;2010&lt;/year&gt;&lt;/dates&gt;&lt;pub-location&gt;Geneva&lt;/pub-location&gt;&lt;publisher&gt;World Health Organization&lt;/publisher&gt;&lt;urls&gt;&lt;/urls&gt;&lt;/record&gt;&lt;/Cite&gt;&lt;/EndNote&gt;</w:instrText>
            </w:r>
            <w:r>
              <w:fldChar w:fldCharType="separate"/>
            </w:r>
            <w:r w:rsidR="00857342">
              <w:rPr>
                <w:noProof/>
              </w:rPr>
              <w:t>(WHO, 2010)</w:t>
            </w:r>
            <w:r>
              <w:fldChar w:fldCharType="end"/>
            </w:r>
            <w:r>
              <w:t xml:space="preserve">. The WHODAS proxy version has the same properties as the self-rated version but has been designed to be answered by a caregiver, relative or friend </w:t>
            </w:r>
            <w:r>
              <w:fldChar w:fldCharType="begin"/>
            </w:r>
            <w:r w:rsidR="00857342">
              <w:instrText xml:space="preserve"> ADDIN EN.CITE &lt;EndNote&gt;&lt;Cite&gt;&lt;Author&gt;WHO&lt;/Author&gt;&lt;Year&gt;2010&lt;/Year&gt;&lt;RecNum&gt;86&lt;/RecNum&gt;&lt;DisplayText&gt;(WHO, 2010)&lt;/DisplayText&gt;&lt;record&gt;&lt;rec-number&gt;86&lt;/rec-number&gt;&lt;foreign-keys&gt;&lt;key app="EN" db-id="2ze2z2s5texwznetfxzpfwevewwddss9tdwa" timestamp="1619091949"&gt;86&lt;/key&gt;&lt;/foreign-keys&gt;&lt;ref-type name="Report"&gt;27&lt;/ref-type&gt;&lt;contributors&gt;&lt;authors&gt;&lt;author&gt;WHO&lt;/author&gt;&lt;/authors&gt;&lt;/contributors&gt;&lt;titles&gt;&lt;title&gt;Measuring health and disability: Manual for WHO Disability Assessment Schedule (WHODAS 2.0)&lt;/title&gt;&lt;/titles&gt;&lt;dates&gt;&lt;year&gt;2010&lt;/year&gt;&lt;/dates&gt;&lt;pub-location&gt;Geneva&lt;/pub-location&gt;&lt;publisher&gt;World Health Organization&lt;/publisher&gt;&lt;urls&gt;&lt;/urls&gt;&lt;/record&gt;&lt;/Cite&gt;&lt;/EndNote&gt;</w:instrText>
            </w:r>
            <w:r>
              <w:fldChar w:fldCharType="separate"/>
            </w:r>
            <w:r w:rsidR="00857342">
              <w:rPr>
                <w:noProof/>
              </w:rPr>
              <w:t>(WHO, 2010)</w:t>
            </w:r>
            <w:r>
              <w:fldChar w:fldCharType="end"/>
            </w:r>
            <w:r>
              <w:t>. Number of days</w:t>
            </w:r>
            <w:r w:rsidR="00313767">
              <w:t xml:space="preserve"> in the last month with reduced ability to work and completely unable to work will be assessed </w:t>
            </w:r>
            <w:r w:rsidR="00505905">
              <w:t>using self and proxy report.</w:t>
            </w:r>
          </w:p>
        </w:tc>
      </w:tr>
      <w:tr w:rsidR="00FF2CD0" w14:paraId="765AF6D7" w14:textId="77777777" w:rsidTr="00DD619C">
        <w:tc>
          <w:tcPr>
            <w:tcW w:w="1615" w:type="dxa"/>
          </w:tcPr>
          <w:p w14:paraId="3E5B374D" w14:textId="77777777" w:rsidR="00FF2CD0" w:rsidRDefault="00FF2CD0" w:rsidP="00DD619C">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pPr>
            <w:r>
              <w:t>Recovery</w:t>
            </w:r>
          </w:p>
        </w:tc>
        <w:tc>
          <w:tcPr>
            <w:tcW w:w="2034" w:type="dxa"/>
          </w:tcPr>
          <w:p w14:paraId="4C65536C" w14:textId="77777777" w:rsidR="00FF2CD0" w:rsidRDefault="00FF2CD0" w:rsidP="00DD619C">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pPr>
            <w:r>
              <w:t>Recovery Assessment Scale- Domains and Stages (RAS- DS)</w:t>
            </w:r>
          </w:p>
        </w:tc>
        <w:tc>
          <w:tcPr>
            <w:tcW w:w="6127" w:type="dxa"/>
          </w:tcPr>
          <w:p w14:paraId="663E36E4" w14:textId="67316C63" w:rsidR="00FF2CD0" w:rsidRPr="00A92055" w:rsidRDefault="00FF2CD0" w:rsidP="00DD619C">
            <w:pPr>
              <w:pStyle w:val="NoSpacing"/>
              <w:spacing w:line="240" w:lineRule="auto"/>
              <w:jc w:val="both"/>
            </w:pPr>
            <w:r w:rsidRPr="00A92055">
              <w:t xml:space="preserve">The RAS-DS is a self-report measure of mental health recovery </w:t>
            </w:r>
            <w:r>
              <w:fldChar w:fldCharType="begin"/>
            </w:r>
            <w:r w:rsidR="00857342">
              <w:instrText xml:space="preserve"> ADDIN EN.CITE &lt;EndNote&gt;&lt;Cite&gt;&lt;Author&gt;Hancock&lt;/Author&gt;&lt;Year&gt;2014&lt;/Year&gt;&lt;RecNum&gt;85&lt;/RecNum&gt;&lt;DisplayText&gt;(Hancock et al., 2014)&lt;/DisplayText&gt;&lt;record&gt;&lt;rec-number&gt;85&lt;/rec-number&gt;&lt;foreign-keys&gt;&lt;key app="EN" db-id="2ze2z2s5texwznetfxzpfwevewwddss9tdwa" timestamp="1619090789"&gt;85&lt;/key&gt;&lt;/foreign-keys&gt;&lt;ref-type name="Journal Article"&gt;17&lt;/ref-type&gt;&lt;contributors&gt;&lt;authors&gt;&lt;author&gt;Hancock, Nicola&lt;/author&gt;&lt;author&gt;Scanlan, Justin Newton&lt;/author&gt;&lt;author&gt;Honey, Anne&lt;/author&gt;&lt;author&gt;Bundy, Anita C.&lt;/author&gt;&lt;author&gt;O’Shea, Katrina&lt;/author&gt;&lt;/authors&gt;&lt;/contributors&gt;&lt;titles&gt;&lt;title&gt;Recovery Assessment Scale – Domains and Stages (RAS-DS): Its feasibility and outcome measurement capacity&lt;/title&gt;&lt;secondary-title&gt;Australian &amp;amp; New Zealand Journal of Psychiatry&lt;/secondary-title&gt;&lt;/titles&gt;&lt;periodical&gt;&lt;full-title&gt;Australian &amp;amp; New Zealand Journal of Psychiatry&lt;/full-title&gt;&lt;/periodical&gt;&lt;pages&gt;624-633&lt;/pages&gt;&lt;volume&gt;49&lt;/volume&gt;&lt;number&gt;7&lt;/number&gt;&lt;dates&gt;&lt;year&gt;2014&lt;/year&gt;&lt;pub-dates&gt;&lt;date&gt;2015/07/01&lt;/date&gt;&lt;/pub-dates&gt;&lt;/dates&gt;&lt;publisher&gt;SAGE Publications Ltd&lt;/publisher&gt;&lt;isbn&gt;0004-8674&lt;/isbn&gt;&lt;urls&gt;&lt;related-urls&gt;&lt;url&gt;https://doi.org/10.1177/0004867414564084&lt;/url&gt;&lt;url&gt;https://journals.sagepub.com/doi/pdf/10.1177/0004867414564084&lt;/url&gt;&lt;/related-urls&gt;&lt;/urls&gt;&lt;electronic-resource-num&gt;10.1177/0004867414564084&lt;/electronic-resource-num&gt;&lt;access-date&gt;2021/04/22&lt;/access-date&gt;&lt;/record&gt;&lt;/Cite&gt;&lt;/EndNote&gt;</w:instrText>
            </w:r>
            <w:r>
              <w:fldChar w:fldCharType="separate"/>
            </w:r>
            <w:r w:rsidR="00857342">
              <w:rPr>
                <w:noProof/>
              </w:rPr>
              <w:t>(Hancock et al., 2014)</w:t>
            </w:r>
            <w:r>
              <w:fldChar w:fldCharType="end"/>
            </w:r>
            <w:r w:rsidRPr="00A92055">
              <w:t>. It includes 38 items clustered into four domains of recovery:</w:t>
            </w:r>
            <w:r>
              <w:t xml:space="preserve"> </w:t>
            </w:r>
            <w:r w:rsidRPr="00A92055">
              <w:t>functional recovery (“Doing things I value”); personal recovery (“Looking forward”); clinical recovery (“Mastering my illness”); and social recovery (“Connecting and belonging”). Each item is rated on a 4-point scale from 1 = “untrue” to 4 = “completely true”.</w:t>
            </w:r>
          </w:p>
          <w:p w14:paraId="7BCCAECD" w14:textId="77777777" w:rsidR="00FF2CD0" w:rsidRDefault="00FF2CD0" w:rsidP="00DD619C">
            <w:pPr>
              <w:pStyle w:val="NoSpacing"/>
              <w:spacing w:line="240" w:lineRule="auto"/>
              <w:jc w:val="both"/>
            </w:pPr>
            <w:r w:rsidRPr="00A92055">
              <w:t>“Percentage scores” are calculated for each domain and an overall score Higher scores represent more advanced levels of mental health recovery. It has been used previously in clinical settings in South Africa.</w:t>
            </w:r>
          </w:p>
        </w:tc>
      </w:tr>
      <w:tr w:rsidR="00FF2CD0" w14:paraId="7B7AE20B" w14:textId="77777777" w:rsidTr="00DD619C">
        <w:tc>
          <w:tcPr>
            <w:tcW w:w="1615" w:type="dxa"/>
          </w:tcPr>
          <w:p w14:paraId="1ABC866D" w14:textId="77777777" w:rsidR="00FF2CD0" w:rsidRDefault="00FF2CD0" w:rsidP="00DD619C">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pPr>
            <w:r>
              <w:t>Unmet needs</w:t>
            </w:r>
          </w:p>
        </w:tc>
        <w:tc>
          <w:tcPr>
            <w:tcW w:w="2034" w:type="dxa"/>
          </w:tcPr>
          <w:p w14:paraId="4D7DC1DD" w14:textId="77777777" w:rsidR="00FF2CD0" w:rsidRDefault="00FF2CD0" w:rsidP="00DD619C">
            <w:pPr>
              <w:pStyle w:val="NoSpacing"/>
              <w:spacing w:line="240" w:lineRule="auto"/>
              <w:jc w:val="both"/>
            </w:pPr>
            <w:r>
              <w:t>Camberwell Assessment of Need – Short Appraisal Scale (CANSAS)</w:t>
            </w:r>
          </w:p>
        </w:tc>
        <w:tc>
          <w:tcPr>
            <w:tcW w:w="6127" w:type="dxa"/>
          </w:tcPr>
          <w:p w14:paraId="6C8312F3" w14:textId="2DE847A2" w:rsidR="00FF2CD0" w:rsidRPr="003A39F7" w:rsidRDefault="00FF2CD0" w:rsidP="00DD619C">
            <w:pPr>
              <w:pStyle w:val="NoSpacing"/>
              <w:spacing w:line="240" w:lineRule="auto"/>
              <w:jc w:val="both"/>
            </w:pPr>
            <w:r w:rsidRPr="003A39F7">
              <w:t>The CANSAS includes a list of 22 areas considered as potentially important needs for individuals living with mental illness. Each item is rated as either an “unmet need”; “met need” or “no need”.</w:t>
            </w:r>
            <w:r>
              <w:t xml:space="preserve"> Total number of unmet needs will be presented. </w:t>
            </w:r>
            <w:r w:rsidRPr="003A39F7">
              <w:t xml:space="preserve">The scale has been previously used in South Africa </w:t>
            </w:r>
            <w:r w:rsidRPr="003A39F7">
              <w:fldChar w:fldCharType="begin"/>
            </w:r>
            <w:r w:rsidR="00857342">
              <w:instrText xml:space="preserve"> ADDIN EN.CITE &lt;EndNote&gt;&lt;Cite&gt;&lt;Author&gt;Brooke-Sumner&lt;/Author&gt;&lt;Year&gt;2018&lt;/Year&gt;&lt;RecNum&gt;16&lt;/RecNum&gt;&lt;DisplayText&gt;(Brooke-Sumner et al., 2018)&lt;/DisplayText&gt;&lt;record&gt;&lt;rec-number&gt;16&lt;/rec-number&gt;&lt;foreign-keys&gt;&lt;key app="EN" db-id="2ze2z2s5texwznetfxzpfwevewwddss9tdwa" timestamp="1533892246"&gt;16&lt;/key&gt;&lt;/foreign-keys&gt;&lt;ref-type name="Journal Article"&gt;17&lt;/ref-type&gt;&lt;contributors&gt;&lt;authors&gt;&lt;author&gt;Brooke-Sumner, C.&lt;/author&gt;&lt;author&gt;Selohilwe, One&lt;/author&gt;&lt;author&gt;Sphiwe Mazibuko, M.&lt;/author&gt;&lt;author&gt;Petersen, I.&lt;/author&gt;&lt;/authors&gt;&lt;/contributors&gt;&lt;titles&gt;&lt;title&gt;Process Evaluation of a Pilot Intervention for Psychosocial Rehabilitation for Service Users with Schizophrenia in North West Province, South Africa&lt;/title&gt;&lt;secondary-title&gt;Community Mental Health Journal&lt;/secondary-title&gt;&lt;/titles&gt;&lt;periodical&gt;&lt;full-title&gt;Community Mental Health Journal&lt;/full-title&gt;&lt;/periodical&gt;&lt;dates&gt;&lt;year&gt;2018&lt;/year&gt;&lt;/dates&gt;&lt;urls&gt;&lt;/urls&gt;&lt;electronic-resource-num&gt;https://doi.org/10.1007/s10597-018-0318-9&lt;/electronic-resource-num&gt;&lt;/record&gt;&lt;/Cite&gt;&lt;/EndNote&gt;</w:instrText>
            </w:r>
            <w:r w:rsidRPr="003A39F7">
              <w:fldChar w:fldCharType="separate"/>
            </w:r>
            <w:r w:rsidR="00857342">
              <w:rPr>
                <w:noProof/>
              </w:rPr>
              <w:t>(Brooke-Sumner et al., 2018)</w:t>
            </w:r>
            <w:r w:rsidRPr="003A39F7">
              <w:fldChar w:fldCharType="end"/>
            </w:r>
            <w:r w:rsidRPr="003A39F7">
              <w:t>.</w:t>
            </w:r>
          </w:p>
        </w:tc>
      </w:tr>
      <w:tr w:rsidR="00FF2CD0" w14:paraId="4FF72970" w14:textId="77777777" w:rsidTr="00DD619C">
        <w:tc>
          <w:tcPr>
            <w:tcW w:w="1615" w:type="dxa"/>
          </w:tcPr>
          <w:p w14:paraId="343EC43F" w14:textId="77777777" w:rsidR="00FF2CD0" w:rsidRDefault="00FF2CD0" w:rsidP="00DD619C">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pPr>
            <w:r>
              <w:t>Support for recovery</w:t>
            </w:r>
          </w:p>
        </w:tc>
        <w:tc>
          <w:tcPr>
            <w:tcW w:w="2034" w:type="dxa"/>
          </w:tcPr>
          <w:p w14:paraId="66FB6F4A" w14:textId="77777777" w:rsidR="00FF2CD0" w:rsidRDefault="00FF2CD0" w:rsidP="00DD619C">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pPr>
            <w:r>
              <w:t>Brief INSPIRE</w:t>
            </w:r>
          </w:p>
        </w:tc>
        <w:tc>
          <w:tcPr>
            <w:tcW w:w="6127" w:type="dxa"/>
          </w:tcPr>
          <w:p w14:paraId="56E951E2" w14:textId="542DA139" w:rsidR="00FF2CD0" w:rsidRPr="003A62CD" w:rsidRDefault="00FF2CD0" w:rsidP="00DD619C">
            <w:pPr>
              <w:pStyle w:val="NoSpacing"/>
              <w:spacing w:line="240" w:lineRule="auto"/>
              <w:jc w:val="both"/>
              <w:rPr>
                <w:lang w:val="en-GB"/>
              </w:rPr>
            </w:pPr>
            <w:r>
              <w:rPr>
                <w:shd w:val="clear" w:color="auto" w:fill="FFFFFF"/>
                <w:lang w:val="en-GB"/>
              </w:rPr>
              <w:t xml:space="preserve">The brief INSPIRE </w:t>
            </w:r>
            <w:r>
              <w:rPr>
                <w:shd w:val="clear" w:color="auto" w:fill="FFFFFF"/>
              </w:rPr>
              <w:t>assesses recovery support from a worker and has 5 items</w:t>
            </w:r>
            <w:r>
              <w:rPr>
                <w:shd w:val="clear" w:color="auto" w:fill="FFFFFF"/>
                <w:lang w:val="en-GB"/>
              </w:rPr>
              <w:t xml:space="preserve">, each rated 0 “not at all” to 4 “very much”. Responses can be converted to </w:t>
            </w:r>
            <w:r>
              <w:t>total score, ranging from 0 (low recovery support) to 100 (high recovery support)</w:t>
            </w:r>
            <w:r>
              <w:rPr>
                <w:lang w:val="en-GB"/>
              </w:rPr>
              <w:t xml:space="preserve"> </w:t>
            </w:r>
            <w:r>
              <w:rPr>
                <w:lang w:val="en-GB"/>
              </w:rPr>
              <w:fldChar w:fldCharType="begin">
                <w:fldData xml:space="preserve">PEVuZE5vdGU+PENpdGU+PEF1dGhvcj5XaWxsaWFtczwvQXV0aG9yPjxZZWFyPjIwMTU8L1llYXI+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</w:fldData>
              </w:fldChar>
            </w:r>
            <w:r w:rsidR="00857342">
              <w:rPr>
                <w:lang w:val="en-GB"/>
              </w:rPr>
              <w:instrText xml:space="preserve"> ADDIN EN.CITE </w:instrText>
            </w:r>
            <w:r w:rsidR="00857342">
              <w:rPr>
                <w:lang w:val="en-GB"/>
              </w:rPr>
              <w:fldChar w:fldCharType="begin">
                <w:fldData xml:space="preserve">PEVuZE5vdGU+PENpdGU+PEF1dGhvcj5XaWxsaWFtczwvQXV0aG9yPjxZZWFyPjIwMTU8L1llYXI+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</w:fldData>
              </w:fldChar>
            </w:r>
            <w:r w:rsidR="00857342">
              <w:rPr>
                <w:lang w:val="en-GB"/>
              </w:rPr>
              <w:instrText xml:space="preserve"> ADDIN EN.CITE.DATA </w:instrText>
            </w:r>
            <w:r w:rsidR="00857342">
              <w:rPr>
                <w:lang w:val="en-GB"/>
              </w:rPr>
            </w:r>
            <w:r w:rsidR="00857342">
              <w:rPr>
                <w:lang w:val="en-GB"/>
              </w:rPr>
              <w:fldChar w:fldCharType="end"/>
            </w:r>
            <w:r>
              <w:rPr>
                <w:lang w:val="en-GB"/>
              </w:rPr>
              <w:fldChar w:fldCharType="separate"/>
            </w:r>
            <w:r w:rsidR="00857342">
              <w:rPr>
                <w:noProof/>
                <w:lang w:val="en-GB"/>
              </w:rPr>
              <w:t>(Williams et al., 2015)</w:t>
            </w:r>
            <w:r>
              <w:rPr>
                <w:lang w:val="en-GB"/>
              </w:rPr>
              <w:fldChar w:fldCharType="end"/>
            </w:r>
            <w:r>
              <w:rPr>
                <w:lang w:val="en-GB"/>
              </w:rPr>
              <w:t xml:space="preserve">. </w:t>
            </w:r>
          </w:p>
        </w:tc>
      </w:tr>
      <w:tr w:rsidR="00FF2CD0" w14:paraId="1548E898" w14:textId="77777777" w:rsidTr="00DD619C">
        <w:tc>
          <w:tcPr>
            <w:tcW w:w="1615" w:type="dxa"/>
          </w:tcPr>
          <w:p w14:paraId="57FD7B76" w14:textId="77777777" w:rsidR="00FF2CD0" w:rsidRDefault="00FF2CD0" w:rsidP="00DD619C">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pPr>
            <w:r>
              <w:t>Internalised stigma</w:t>
            </w:r>
          </w:p>
        </w:tc>
        <w:tc>
          <w:tcPr>
            <w:tcW w:w="2034" w:type="dxa"/>
          </w:tcPr>
          <w:p w14:paraId="32764C8A" w14:textId="77777777" w:rsidR="00FF2CD0" w:rsidRDefault="00FF2CD0" w:rsidP="00DD619C">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pPr>
            <w:r>
              <w:t>Internalised stigma of mental illness (ISMI) scale</w:t>
            </w:r>
          </w:p>
        </w:tc>
        <w:tc>
          <w:tcPr>
            <w:tcW w:w="6127" w:type="dxa"/>
          </w:tcPr>
          <w:p w14:paraId="7F630878" w14:textId="255DF949" w:rsidR="00FF2CD0" w:rsidRPr="000B31C4" w:rsidRDefault="00FF2CD0" w:rsidP="00DD619C">
            <w:pPr>
              <w:pStyle w:val="NoSpacing"/>
              <w:spacing w:line="240" w:lineRule="auto"/>
              <w:jc w:val="both"/>
            </w:pPr>
            <w:r w:rsidRPr="000B31C4">
              <w:t xml:space="preserve">The ISMI-R is a 29-item questionnaire assessing internalised stigma covering four subscales: ‘alienation’; ‘stereotype endorsement’; ‘perceived discrimination’; and ‘social withdrawal’. Items are scored on a 4-point Likert scale, from strongly disagree to strongly agree. </w:t>
            </w:r>
            <w:r>
              <w:t>The mean score across all items will be presented</w:t>
            </w:r>
            <w:r w:rsidRPr="000B31C4">
              <w:t xml:space="preserve">. The scale has been previously used in South Africa </w:t>
            </w:r>
            <w:r w:rsidRPr="000B31C4">
              <w:fldChar w:fldCharType="begin"/>
            </w:r>
            <w:r w:rsidR="00857342">
              <w:instrText xml:space="preserve"> ADDIN EN.CITE &lt;EndNote&gt;&lt;Cite&gt;&lt;Author&gt;Brooke-Sumner&lt;/Author&gt;&lt;Year&gt;2018&lt;/Year&gt;&lt;RecNum&gt;16&lt;/RecNum&gt;&lt;DisplayText&gt;(Brooke-Sumner et al., 2018)&lt;/DisplayText&gt;&lt;record&gt;&lt;rec-number&gt;16&lt;/rec-number&gt;&lt;foreign-keys&gt;&lt;key app="EN" db-id="2ze2z2s5texwznetfxzpfwevewwddss9tdwa" timestamp="1533892246"&gt;16&lt;/key&gt;&lt;/foreign-keys&gt;&lt;ref-type name="Journal Article"&gt;17&lt;/ref-type&gt;&lt;contributors&gt;&lt;authors&gt;&lt;author&gt;Brooke-Sumner, C.&lt;/author&gt;&lt;author&gt;Selohilwe, One&lt;/author&gt;&lt;author&gt;Sphiwe Mazibuko, M.&lt;/author&gt;&lt;author&gt;Petersen, I.&lt;/author&gt;&lt;/authors&gt;&lt;/contributors&gt;&lt;titles&gt;&lt;title&gt;Process Evaluation of a Pilot Intervention for Psychosocial Rehabilitation for Service Users with Schizophrenia in North West Province, South Africa&lt;/title&gt;&lt;secondary-title&gt;Community Mental Health Journal&lt;/secondary-title&gt;&lt;/titles&gt;&lt;periodical&gt;&lt;full-title&gt;Community Mental Health Journal&lt;/full-title&gt;&lt;/periodical&gt;&lt;dates&gt;&lt;year&gt;2018&lt;/year&gt;&lt;/dates&gt;&lt;urls&gt;&lt;/urls&gt;&lt;electronic-resource-num&gt;https://doi.org/10.1007/s10597-018-0318-9&lt;/electronic-resource-num&gt;&lt;/record&gt;&lt;/Cite&gt;&lt;/EndNote&gt;</w:instrText>
            </w:r>
            <w:r w:rsidRPr="000B31C4">
              <w:fldChar w:fldCharType="separate"/>
            </w:r>
            <w:r w:rsidR="00857342">
              <w:rPr>
                <w:noProof/>
              </w:rPr>
              <w:t>(Brooke-Sumner et al., 2018)</w:t>
            </w:r>
            <w:r w:rsidRPr="000B31C4">
              <w:fldChar w:fldCharType="end"/>
            </w:r>
            <w:r w:rsidRPr="000B31C4">
              <w:t>.</w:t>
            </w:r>
          </w:p>
        </w:tc>
      </w:tr>
      <w:tr w:rsidR="00FF2CD0" w14:paraId="7F7F840F" w14:textId="77777777" w:rsidTr="00DD619C">
        <w:tc>
          <w:tcPr>
            <w:tcW w:w="1615" w:type="dxa"/>
          </w:tcPr>
          <w:p w14:paraId="290FD295" w14:textId="77777777" w:rsidR="00FF2CD0" w:rsidRDefault="00FF2CD0" w:rsidP="00DD619C">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pPr>
            <w:r>
              <w:t>Perception of respect and value</w:t>
            </w:r>
          </w:p>
        </w:tc>
        <w:tc>
          <w:tcPr>
            <w:tcW w:w="2034" w:type="dxa"/>
          </w:tcPr>
          <w:p w14:paraId="5F0E5CEB" w14:textId="77777777" w:rsidR="00FF2CD0" w:rsidRDefault="00FF2CD0" w:rsidP="00DD619C">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pPr>
            <w:r>
              <w:t>2 bespoke questions</w:t>
            </w:r>
          </w:p>
        </w:tc>
        <w:tc>
          <w:tcPr>
            <w:tcW w:w="6127" w:type="dxa"/>
          </w:tcPr>
          <w:p w14:paraId="450F8574" w14:textId="1BB87DB5" w:rsidR="00FF2CD0" w:rsidRPr="0049632C" w:rsidRDefault="00FF2CD0" w:rsidP="00DD619C">
            <w:pPr>
              <w:pStyle w:val="NoSpacing"/>
              <w:spacing w:line="240" w:lineRule="auto"/>
              <w:jc w:val="both"/>
            </w:pPr>
            <w:r w:rsidRPr="0049632C">
              <w:t>Two questions ‘I feel valued and respected by my family’ and ‘I feel valued and respected by my community’ will be rated on a 4-point Likert scale, from strongly disagree to strongly agree</w:t>
            </w:r>
            <w:r>
              <w:t>.</w:t>
            </w:r>
            <w:r w:rsidR="00D7617C">
              <w:t xml:space="preserve"> The proportion disagreeing or strongly disagreeing to each item will be presented.</w:t>
            </w:r>
          </w:p>
        </w:tc>
      </w:tr>
      <w:tr w:rsidR="00FF2CD0" w14:paraId="0791B1C0" w14:textId="77777777" w:rsidTr="00DD619C">
        <w:tc>
          <w:tcPr>
            <w:tcW w:w="1615" w:type="dxa"/>
          </w:tcPr>
          <w:p w14:paraId="59FA3A3E" w14:textId="77777777" w:rsidR="00FF2CD0" w:rsidRDefault="00FF2CD0" w:rsidP="00DD619C">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pPr>
            <w:r>
              <w:t>Alcohol use</w:t>
            </w:r>
          </w:p>
        </w:tc>
        <w:tc>
          <w:tcPr>
            <w:tcW w:w="2034" w:type="dxa"/>
          </w:tcPr>
          <w:p w14:paraId="6F995408" w14:textId="77777777" w:rsidR="00FF2CD0" w:rsidRDefault="00FF2CD0" w:rsidP="00DD619C">
            <w:pPr>
              <w:pStyle w:val="NoSpacing"/>
              <w:spacing w:line="240" w:lineRule="auto"/>
              <w:jc w:val="both"/>
            </w:pPr>
            <w:r>
              <w:t>Alcohol use disorders identification test consumption (AUDIT C)</w:t>
            </w:r>
          </w:p>
        </w:tc>
        <w:tc>
          <w:tcPr>
            <w:tcW w:w="6127" w:type="dxa"/>
          </w:tcPr>
          <w:p w14:paraId="6839AC3E" w14:textId="431B7FE9" w:rsidR="00FF2CD0" w:rsidRPr="00190E95" w:rsidRDefault="00FF2CD0" w:rsidP="00DD619C">
            <w:pPr>
              <w:pStyle w:val="NoSpacing"/>
              <w:spacing w:line="240" w:lineRule="auto"/>
              <w:jc w:val="both"/>
              <w:rPr>
                <w:lang w:val="en-GB"/>
              </w:rPr>
            </w:pPr>
            <w:r>
              <w:rPr>
                <w:lang w:val="en-GB"/>
              </w:rPr>
              <w:t xml:space="preserve">The AUDIT-C includes three questions on alcohol consumption, each rated on a 0 to 4 scale. It has been widely used and shown to be useful for assessing alcohol use in the South African context </w:t>
            </w:r>
            <w:r>
              <w:rPr>
                <w:lang w:val="en-GB"/>
              </w:rPr>
              <w:fldChar w:fldCharType="begin">
                <w:fldData xml:space="preserve">PEVuZE5vdGU+PENpdGU+PEF1dGhvcj5Nb3JvamVsZTwvQXV0aG9yPjxZZWFyPjIwMTc8L1llYXI+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</w:fldData>
              </w:fldChar>
            </w:r>
            <w:r w:rsidR="00857342">
              <w:rPr>
                <w:lang w:val="en-GB"/>
              </w:rPr>
              <w:instrText xml:space="preserve"> ADDIN EN.CITE </w:instrText>
            </w:r>
            <w:r w:rsidR="00857342">
              <w:rPr>
                <w:lang w:val="en-GB"/>
              </w:rPr>
              <w:fldChar w:fldCharType="begin">
                <w:fldData xml:space="preserve">PEVuZE5vdGU+PENpdGU+PEF1dGhvcj5Nb3JvamVsZTwvQXV0aG9yPjxZZWFyPjIwMTc8L1llYXI+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</w:fldData>
              </w:fldChar>
            </w:r>
            <w:r w:rsidR="00857342">
              <w:rPr>
                <w:lang w:val="en-GB"/>
              </w:rPr>
              <w:instrText xml:space="preserve"> ADDIN EN.CITE.DATA </w:instrText>
            </w:r>
            <w:r w:rsidR="00857342">
              <w:rPr>
                <w:lang w:val="en-GB"/>
              </w:rPr>
            </w:r>
            <w:r w:rsidR="00857342">
              <w:rPr>
                <w:lang w:val="en-GB"/>
              </w:rPr>
              <w:fldChar w:fldCharType="end"/>
            </w:r>
            <w:r>
              <w:rPr>
                <w:lang w:val="en-GB"/>
              </w:rPr>
              <w:fldChar w:fldCharType="separate"/>
            </w:r>
            <w:r w:rsidR="00857342">
              <w:rPr>
                <w:noProof/>
                <w:lang w:val="en-GB"/>
              </w:rPr>
              <w:t>(Morojele et al., 2017)</w:t>
            </w:r>
            <w:r>
              <w:rPr>
                <w:lang w:val="en-GB"/>
              </w:rPr>
              <w:fldChar w:fldCharType="end"/>
            </w:r>
            <w:r>
              <w:rPr>
                <w:lang w:val="en-GB"/>
              </w:rPr>
              <w:t xml:space="preserve">. To determine hazardous drinking a cut off of </w:t>
            </w:r>
            <w:r w:rsidRPr="000F09C5">
              <w:rPr>
                <w:rFonts w:asciiTheme="minorHAnsi" w:eastAsia="Times New Roman" w:hAnsiTheme="minorHAnsi" w:cstheme="minorHAnsi"/>
              </w:rPr>
              <w:t>≥3 (female) or ≥4 (male) will be used.</w:t>
            </w:r>
            <w:r>
              <w:rPr>
                <w:rFonts w:asciiTheme="minorHAnsi" w:eastAsia="Times New Roman" w:hAnsiTheme="minorHAnsi" w:cstheme="minorHAnsi"/>
                <w:b/>
                <w:bCs/>
              </w:rPr>
              <w:t xml:space="preserve"> </w:t>
            </w:r>
          </w:p>
        </w:tc>
      </w:tr>
      <w:tr w:rsidR="00FF2CD0" w14:paraId="59A3B31A" w14:textId="77777777" w:rsidTr="00DD619C">
        <w:tc>
          <w:tcPr>
            <w:tcW w:w="1615" w:type="dxa"/>
          </w:tcPr>
          <w:p w14:paraId="7B5CC373" w14:textId="77777777" w:rsidR="00FF2CD0" w:rsidRDefault="00FF2CD0" w:rsidP="00DD619C">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pPr>
            <w:r>
              <w:t>Health service use</w:t>
            </w:r>
          </w:p>
        </w:tc>
        <w:tc>
          <w:tcPr>
            <w:tcW w:w="2034" w:type="dxa"/>
          </w:tcPr>
          <w:p w14:paraId="30C31587" w14:textId="77777777" w:rsidR="00FF2CD0" w:rsidRDefault="00FF2CD0" w:rsidP="00DD619C">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pPr>
            <w:r>
              <w:t>Bespoke questions</w:t>
            </w:r>
          </w:p>
        </w:tc>
        <w:tc>
          <w:tcPr>
            <w:tcW w:w="6127" w:type="dxa"/>
          </w:tcPr>
          <w:p w14:paraId="471DB488" w14:textId="77777777" w:rsidR="00FF2CD0" w:rsidRPr="00D459BD" w:rsidRDefault="00FF2CD0" w:rsidP="00DD619C">
            <w:pPr>
              <w:pStyle w:val="NoSpacing"/>
              <w:spacing w:line="240" w:lineRule="auto"/>
              <w:jc w:val="both"/>
            </w:pPr>
            <w:r>
              <w:t xml:space="preserve">Visit to mental health nurse in the last 2 months will be assessed. </w:t>
            </w:r>
          </w:p>
        </w:tc>
      </w:tr>
      <w:tr w:rsidR="00FF2CD0" w14:paraId="3CFF4ECF" w14:textId="77777777" w:rsidTr="00DD619C">
        <w:tc>
          <w:tcPr>
            <w:tcW w:w="1615" w:type="dxa"/>
          </w:tcPr>
          <w:p w14:paraId="781AC349" w14:textId="77777777" w:rsidR="00FF2CD0" w:rsidRDefault="00FF2CD0" w:rsidP="00DD619C">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pPr>
            <w:r>
              <w:lastRenderedPageBreak/>
              <w:t>Relapse</w:t>
            </w:r>
          </w:p>
        </w:tc>
        <w:tc>
          <w:tcPr>
            <w:tcW w:w="2034" w:type="dxa"/>
          </w:tcPr>
          <w:p w14:paraId="35C2B55E" w14:textId="77777777" w:rsidR="00FF2CD0" w:rsidRDefault="00FF2CD0" w:rsidP="00DD619C">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pPr>
            <w:r>
              <w:t>Questions on police contact &amp; hospitalization</w:t>
            </w:r>
          </w:p>
        </w:tc>
        <w:tc>
          <w:tcPr>
            <w:tcW w:w="6127" w:type="dxa"/>
          </w:tcPr>
          <w:p w14:paraId="09B495B8" w14:textId="77777777" w:rsidR="00FF2CD0" w:rsidRDefault="00FF2CD0" w:rsidP="00DD619C">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pPr>
            <w:r>
              <w:t>Relapse is defined as either of:</w:t>
            </w:r>
          </w:p>
          <w:p w14:paraId="6FE05AA7" w14:textId="77777777" w:rsidR="00FF2CD0" w:rsidRDefault="00FF2CD0" w:rsidP="00FF2CD0">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pPr>
            <w:r>
              <w:t>Inpatient admission for mental health of any duration (assessed as part of health service use)</w:t>
            </w:r>
          </w:p>
          <w:p w14:paraId="0D02BC52" w14:textId="77777777" w:rsidR="00FF2CD0" w:rsidRDefault="00FF2CD0" w:rsidP="00FF2CD0">
            <w:pPr>
              <w:pStyle w:val="NoSpacing"/>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pPr>
            <w:r>
              <w:t xml:space="preserve">Any type of </w:t>
            </w:r>
            <w:r w:rsidRPr="009F26FB">
              <w:t>police contact</w:t>
            </w:r>
            <w:r>
              <w:t xml:space="preserve"> related to mental health</w:t>
            </w:r>
          </w:p>
        </w:tc>
      </w:tr>
      <w:tr w:rsidR="00FF2CD0" w14:paraId="3837BC85" w14:textId="77777777" w:rsidTr="00DD619C">
        <w:tc>
          <w:tcPr>
            <w:tcW w:w="1615" w:type="dxa"/>
          </w:tcPr>
          <w:p w14:paraId="297F3DCE" w14:textId="77777777" w:rsidR="00FF2CD0" w:rsidRDefault="00FF2CD0" w:rsidP="00DD619C">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pPr>
            <w:r>
              <w:t>Medication adherence</w:t>
            </w:r>
          </w:p>
        </w:tc>
        <w:tc>
          <w:tcPr>
            <w:tcW w:w="2034" w:type="dxa"/>
          </w:tcPr>
          <w:p w14:paraId="1172E32D" w14:textId="77777777" w:rsidR="00FF2CD0" w:rsidRPr="00F30029" w:rsidRDefault="00FF2CD0" w:rsidP="00DD619C">
            <w:pPr>
              <w:pStyle w:val="NoSpacing"/>
              <w:spacing w:line="240" w:lineRule="auto"/>
              <w:jc w:val="both"/>
            </w:pPr>
            <w:r w:rsidRPr="00F30029">
              <w:t>1 question</w:t>
            </w:r>
          </w:p>
        </w:tc>
        <w:tc>
          <w:tcPr>
            <w:tcW w:w="6127" w:type="dxa"/>
          </w:tcPr>
          <w:p w14:paraId="7F81F8EE" w14:textId="376DC910" w:rsidR="00FF2CD0" w:rsidRPr="00F30029" w:rsidRDefault="00FF2CD0" w:rsidP="00DD619C">
            <w:pPr>
              <w:pStyle w:val="NoSpacing"/>
              <w:spacing w:line="240" w:lineRule="auto"/>
              <w:jc w:val="both"/>
            </w:pPr>
            <w:r w:rsidRPr="00F30029">
              <w:t>We will use a</w:t>
            </w:r>
            <w:r>
              <w:t xml:space="preserve"> </w:t>
            </w:r>
            <w:r w:rsidRPr="00F30029">
              <w:t>5-point nominal scale measuring frequency of medication adherence</w:t>
            </w:r>
            <w:r w:rsidR="003D6625">
              <w:t xml:space="preserve">. Non-adherence will be defined as </w:t>
            </w:r>
            <w:r w:rsidR="00436347">
              <w:t>taking medication sometimes, occasionally or never in the last 1 month.</w:t>
            </w:r>
          </w:p>
        </w:tc>
      </w:tr>
      <w:tr w:rsidR="00FF2CD0" w14:paraId="7333F56E" w14:textId="77777777" w:rsidTr="00DD619C">
        <w:tc>
          <w:tcPr>
            <w:tcW w:w="1615" w:type="dxa"/>
          </w:tcPr>
          <w:p w14:paraId="4D48101C" w14:textId="77777777" w:rsidR="00FF2CD0" w:rsidRDefault="00FF2CD0" w:rsidP="00DD619C">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pPr>
            <w:r>
              <w:t>Caregiver burden</w:t>
            </w:r>
          </w:p>
        </w:tc>
        <w:tc>
          <w:tcPr>
            <w:tcW w:w="2034" w:type="dxa"/>
          </w:tcPr>
          <w:p w14:paraId="609EDB2F" w14:textId="77777777" w:rsidR="00FF2CD0" w:rsidRPr="00F30029" w:rsidRDefault="00FF2CD0" w:rsidP="00DD619C">
            <w:pPr>
              <w:pStyle w:val="NoSpacing"/>
              <w:spacing w:line="240" w:lineRule="auto"/>
              <w:jc w:val="both"/>
            </w:pPr>
            <w:r>
              <w:t>Caregiving consequences section of Involvement Engagement Questionnaire (IEQ)</w:t>
            </w:r>
          </w:p>
        </w:tc>
        <w:tc>
          <w:tcPr>
            <w:tcW w:w="6127" w:type="dxa"/>
          </w:tcPr>
          <w:p w14:paraId="494B922F" w14:textId="7D216D32" w:rsidR="00FF2CD0" w:rsidRPr="00F30029" w:rsidRDefault="00FF2CD0" w:rsidP="00DD619C">
            <w:pPr>
              <w:pStyle w:val="NoSpacing"/>
              <w:spacing w:line="240" w:lineRule="auto"/>
              <w:jc w:val="both"/>
            </w:pPr>
            <w:r w:rsidRPr="00AE3BF1">
              <w:t xml:space="preserve">31-item questionnaire assessing aspects of </w:t>
            </w:r>
            <w:r>
              <w:t xml:space="preserve">burden for </w:t>
            </w:r>
            <w:r w:rsidRPr="00AE3BF1">
              <w:t>caregiver</w:t>
            </w:r>
            <w:r>
              <w:t>s of persons with severe mental illness</w:t>
            </w:r>
            <w:r w:rsidRPr="00AE3BF1">
              <w:t>. All items are scored on 5-point Likert scales (0 never to 4 always). Domain scores can be computed (tension &amp; urging range 0 to 36; worrying &amp; supervision range 0 to 24)</w:t>
            </w:r>
            <w:r w:rsidR="00436347">
              <w:t>. The total score will be used.</w:t>
            </w:r>
          </w:p>
        </w:tc>
      </w:tr>
    </w:tbl>
    <w:p w14:paraId="513C559A" w14:textId="77777777" w:rsidR="00137C87" w:rsidRDefault="00137C87"/>
    <w:p w14:paraId="0CB92D59" w14:textId="77777777" w:rsidR="00137C87" w:rsidRDefault="00137C87"/>
    <w:p w14:paraId="3A5ACB54" w14:textId="77777777" w:rsidR="00F8326C" w:rsidRDefault="00F8326C"/>
    <w:p w14:paraId="2C2E7DF4" w14:textId="77777777" w:rsidR="00E7115C" w:rsidRDefault="00E7115C"/>
    <w:p w14:paraId="17B785F0" w14:textId="77777777" w:rsidR="00E7115C" w:rsidRDefault="00E7115C"/>
    <w:p w14:paraId="5119675C" w14:textId="77777777" w:rsidR="00B93FC0" w:rsidRDefault="00B93FC0"/>
    <w:p w14:paraId="1D2C1B23" w14:textId="77777777" w:rsidR="003F4307" w:rsidRDefault="003F4307"/>
    <w:p w14:paraId="7D65D42A" w14:textId="77777777" w:rsidR="00A87604" w:rsidRPr="00A87604" w:rsidRDefault="003F4307" w:rsidP="00A87604">
      <w:pPr>
        <w:pStyle w:val="EndNoteBibliography"/>
        <w:ind w:left="720" w:hanging="720"/>
        <w:rPr>
          <w:noProof/>
        </w:rPr>
      </w:pPr>
      <w:r>
        <w:fldChar w:fldCharType="begin"/>
      </w:r>
      <w:r>
        <w:instrText xml:space="preserve"> ADDIN EN.REFLIST </w:instrText>
      </w:r>
      <w:r>
        <w:fldChar w:fldCharType="separate"/>
      </w:r>
      <w:r w:rsidR="00A87604" w:rsidRPr="00A87604">
        <w:rPr>
          <w:noProof/>
        </w:rPr>
        <w:t xml:space="preserve">BROOKE-SUMNER, C., SELOHILWE, O., SPHIWE MAZIBUKO, M. &amp; PETERSEN, I. 2018. Process Evaluation of a Pilot Intervention for Psychosocial Rehabilitation for Service Users with Schizophrenia in North West Province, South Africa. </w:t>
      </w:r>
      <w:r w:rsidR="00A87604" w:rsidRPr="00A87604">
        <w:rPr>
          <w:i/>
          <w:noProof/>
        </w:rPr>
        <w:t>Community Mental Health Journal</w:t>
      </w:r>
      <w:r w:rsidR="00A87604" w:rsidRPr="00A87604">
        <w:rPr>
          <w:noProof/>
        </w:rPr>
        <w:t>.</w:t>
      </w:r>
    </w:p>
    <w:p w14:paraId="1A365096" w14:textId="77777777" w:rsidR="00A87604" w:rsidRPr="00A87604" w:rsidRDefault="00A87604" w:rsidP="00A87604">
      <w:pPr>
        <w:pStyle w:val="EndNoteBibliography"/>
        <w:ind w:left="720" w:hanging="720"/>
        <w:rPr>
          <w:noProof/>
        </w:rPr>
      </w:pPr>
      <w:r w:rsidRPr="00A87604">
        <w:rPr>
          <w:noProof/>
        </w:rPr>
        <w:t xml:space="preserve">HANCOCK, N., SCANLAN, J. N., HONEY, A., BUNDY, A. C. &amp; O’SHEA, K. 2014. Recovery Assessment Scale – Domains and Stages (RAS-DS): Its feasibility and outcome measurement capacity. </w:t>
      </w:r>
      <w:r w:rsidRPr="00A87604">
        <w:rPr>
          <w:i/>
          <w:noProof/>
        </w:rPr>
        <w:t>Australian &amp; New Zealand Journal of Psychiatry,</w:t>
      </w:r>
      <w:r w:rsidRPr="00A87604">
        <w:rPr>
          <w:noProof/>
        </w:rPr>
        <w:t xml:space="preserve"> 49</w:t>
      </w:r>
      <w:r w:rsidRPr="00A87604">
        <w:rPr>
          <w:b/>
          <w:noProof/>
        </w:rPr>
        <w:t>,</w:t>
      </w:r>
      <w:r w:rsidRPr="00A87604">
        <w:rPr>
          <w:noProof/>
        </w:rPr>
        <w:t xml:space="preserve"> 624-633.</w:t>
      </w:r>
    </w:p>
    <w:p w14:paraId="262F7993" w14:textId="77777777" w:rsidR="00A87604" w:rsidRPr="00A87604" w:rsidRDefault="00A87604" w:rsidP="00A87604">
      <w:pPr>
        <w:pStyle w:val="EndNoteBibliography"/>
        <w:ind w:left="720" w:hanging="720"/>
        <w:rPr>
          <w:noProof/>
        </w:rPr>
      </w:pPr>
      <w:r w:rsidRPr="00A87604">
        <w:rPr>
          <w:noProof/>
        </w:rPr>
        <w:t xml:space="preserve">MOROJELE, N. K., NKOSI, S., KEKWALETSWE, C. T., SHUPER, P. A., MANDA, S. O., MYERS, B. &amp; PARRY, C. D. 2017. Utility of Brief Versions of the Alcohol Use Disorders Identification Test (AUDIT) to Identify Excessive Drinking Among Patients in HIV Care in South Africa. </w:t>
      </w:r>
      <w:r w:rsidRPr="00A87604">
        <w:rPr>
          <w:i/>
          <w:noProof/>
        </w:rPr>
        <w:t>J Stud Alcohol Drugs,</w:t>
      </w:r>
      <w:r w:rsidRPr="00A87604">
        <w:rPr>
          <w:noProof/>
        </w:rPr>
        <w:t xml:space="preserve"> 78</w:t>
      </w:r>
      <w:r w:rsidRPr="00A87604">
        <w:rPr>
          <w:b/>
          <w:noProof/>
        </w:rPr>
        <w:t>,</w:t>
      </w:r>
      <w:r w:rsidRPr="00A87604">
        <w:rPr>
          <w:noProof/>
        </w:rPr>
        <w:t xml:space="preserve"> 88-96.</w:t>
      </w:r>
    </w:p>
    <w:p w14:paraId="71168D76" w14:textId="77777777" w:rsidR="00A87604" w:rsidRPr="00A87604" w:rsidRDefault="00A87604" w:rsidP="00A87604">
      <w:pPr>
        <w:pStyle w:val="EndNoteBibliography"/>
        <w:ind w:left="720" w:hanging="720"/>
        <w:rPr>
          <w:noProof/>
        </w:rPr>
      </w:pPr>
      <w:r w:rsidRPr="00A87604">
        <w:rPr>
          <w:noProof/>
        </w:rPr>
        <w:t>WHO 2010. Measuring health and disability: Manual for WHO Disability Assessment Schedule (WHODAS 2.0). Geneva: World Health Organization.</w:t>
      </w:r>
    </w:p>
    <w:p w14:paraId="005FCF57" w14:textId="77777777" w:rsidR="00A87604" w:rsidRPr="00A87604" w:rsidRDefault="00A87604" w:rsidP="00A87604">
      <w:pPr>
        <w:pStyle w:val="EndNoteBibliography"/>
        <w:ind w:left="720" w:hanging="720"/>
        <w:rPr>
          <w:noProof/>
        </w:rPr>
      </w:pPr>
      <w:r w:rsidRPr="00A87604">
        <w:rPr>
          <w:noProof/>
        </w:rPr>
        <w:t xml:space="preserve">WILLIAMS, J., LEAMY, M., BIRD, V., LE BOUTILLIER, C., NORTON, S., PESOLA, F. &amp; SLADE, M. 2015. Development and evaluation of the INSPIRE measure of staff support for personal recovery. </w:t>
      </w:r>
      <w:r w:rsidRPr="00A87604">
        <w:rPr>
          <w:i/>
          <w:noProof/>
        </w:rPr>
        <w:t>Soc Psychiatry Psychiatr Epidemiol,</w:t>
      </w:r>
      <w:r w:rsidRPr="00A87604">
        <w:rPr>
          <w:noProof/>
        </w:rPr>
        <w:t xml:space="preserve"> 50</w:t>
      </w:r>
      <w:r w:rsidRPr="00A87604">
        <w:rPr>
          <w:b/>
          <w:noProof/>
        </w:rPr>
        <w:t>,</w:t>
      </w:r>
      <w:r w:rsidRPr="00A87604">
        <w:rPr>
          <w:noProof/>
        </w:rPr>
        <w:t xml:space="preserve"> 777-86.</w:t>
      </w:r>
    </w:p>
    <w:p w14:paraId="2DAB40C2" w14:textId="26F42C9A" w:rsidR="00B93FC0" w:rsidRDefault="003F4307">
      <w:r>
        <w:fldChar w:fldCharType="end"/>
      </w:r>
    </w:p>
    <w:sectPr w:rsidR="00B93F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DB1"/>
    <w:multiLevelType w:val="hybridMultilevel"/>
    <w:tmpl w:val="D1F6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8533F7"/>
    <w:multiLevelType w:val="hybridMultilevel"/>
    <w:tmpl w:val="5C7EC7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13216997">
    <w:abstractNumId w:val="0"/>
  </w:num>
  <w:num w:numId="2" w16cid:durableId="292252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E7115C"/>
    <w:rsid w:val="000071FA"/>
    <w:rsid w:val="0001373E"/>
    <w:rsid w:val="00024AFD"/>
    <w:rsid w:val="0002577B"/>
    <w:rsid w:val="00031997"/>
    <w:rsid w:val="000372D1"/>
    <w:rsid w:val="0003738B"/>
    <w:rsid w:val="0004008E"/>
    <w:rsid w:val="0004097C"/>
    <w:rsid w:val="0004410B"/>
    <w:rsid w:val="000450F7"/>
    <w:rsid w:val="0005241F"/>
    <w:rsid w:val="00061790"/>
    <w:rsid w:val="00063875"/>
    <w:rsid w:val="00064966"/>
    <w:rsid w:val="000649E2"/>
    <w:rsid w:val="00076550"/>
    <w:rsid w:val="00085698"/>
    <w:rsid w:val="00086F04"/>
    <w:rsid w:val="000A1430"/>
    <w:rsid w:val="000A2F60"/>
    <w:rsid w:val="000A3303"/>
    <w:rsid w:val="000A4EAE"/>
    <w:rsid w:val="000A59CC"/>
    <w:rsid w:val="000B53DF"/>
    <w:rsid w:val="000C0D5E"/>
    <w:rsid w:val="000C1449"/>
    <w:rsid w:val="000C20E7"/>
    <w:rsid w:val="000C55EB"/>
    <w:rsid w:val="000C6F9D"/>
    <w:rsid w:val="000C7767"/>
    <w:rsid w:val="000C7925"/>
    <w:rsid w:val="000D33CC"/>
    <w:rsid w:val="000E1674"/>
    <w:rsid w:val="000E608C"/>
    <w:rsid w:val="000F240A"/>
    <w:rsid w:val="00103D6D"/>
    <w:rsid w:val="00104359"/>
    <w:rsid w:val="0010652C"/>
    <w:rsid w:val="001158C7"/>
    <w:rsid w:val="001167FA"/>
    <w:rsid w:val="0012528F"/>
    <w:rsid w:val="00134FBC"/>
    <w:rsid w:val="00137C87"/>
    <w:rsid w:val="001524F7"/>
    <w:rsid w:val="00155D09"/>
    <w:rsid w:val="0015780A"/>
    <w:rsid w:val="00163D83"/>
    <w:rsid w:val="00173D90"/>
    <w:rsid w:val="001744A2"/>
    <w:rsid w:val="001817A6"/>
    <w:rsid w:val="00183DF1"/>
    <w:rsid w:val="0019006E"/>
    <w:rsid w:val="00192E22"/>
    <w:rsid w:val="001947D3"/>
    <w:rsid w:val="001A3952"/>
    <w:rsid w:val="001A62B4"/>
    <w:rsid w:val="001B3260"/>
    <w:rsid w:val="001C3861"/>
    <w:rsid w:val="001C42A3"/>
    <w:rsid w:val="001C6E6D"/>
    <w:rsid w:val="001D02DB"/>
    <w:rsid w:val="001D714F"/>
    <w:rsid w:val="001E05DB"/>
    <w:rsid w:val="001E0FD5"/>
    <w:rsid w:val="001E4106"/>
    <w:rsid w:val="001E44AF"/>
    <w:rsid w:val="001E4F9D"/>
    <w:rsid w:val="001E7B0F"/>
    <w:rsid w:val="001F4198"/>
    <w:rsid w:val="001F58B1"/>
    <w:rsid w:val="00204D2F"/>
    <w:rsid w:val="00206FE9"/>
    <w:rsid w:val="0020775B"/>
    <w:rsid w:val="00207798"/>
    <w:rsid w:val="002234F2"/>
    <w:rsid w:val="002323DB"/>
    <w:rsid w:val="002515AB"/>
    <w:rsid w:val="00253EF0"/>
    <w:rsid w:val="00254321"/>
    <w:rsid w:val="00263B61"/>
    <w:rsid w:val="00263BC8"/>
    <w:rsid w:val="00276037"/>
    <w:rsid w:val="00276430"/>
    <w:rsid w:val="002774E2"/>
    <w:rsid w:val="00277C17"/>
    <w:rsid w:val="00281471"/>
    <w:rsid w:val="00291CAD"/>
    <w:rsid w:val="00297D30"/>
    <w:rsid w:val="002A462A"/>
    <w:rsid w:val="002B6D9E"/>
    <w:rsid w:val="002B7226"/>
    <w:rsid w:val="002C62EE"/>
    <w:rsid w:val="002C75E9"/>
    <w:rsid w:val="002D0ED8"/>
    <w:rsid w:val="002D2509"/>
    <w:rsid w:val="002D769D"/>
    <w:rsid w:val="002E438C"/>
    <w:rsid w:val="002F32E4"/>
    <w:rsid w:val="002F6C80"/>
    <w:rsid w:val="00303CBD"/>
    <w:rsid w:val="00313767"/>
    <w:rsid w:val="00316441"/>
    <w:rsid w:val="00324696"/>
    <w:rsid w:val="0034144D"/>
    <w:rsid w:val="003438F6"/>
    <w:rsid w:val="003440EA"/>
    <w:rsid w:val="003457BA"/>
    <w:rsid w:val="00354049"/>
    <w:rsid w:val="00357D1A"/>
    <w:rsid w:val="00367BC3"/>
    <w:rsid w:val="0037323A"/>
    <w:rsid w:val="003736F7"/>
    <w:rsid w:val="003810F4"/>
    <w:rsid w:val="00391106"/>
    <w:rsid w:val="00392810"/>
    <w:rsid w:val="00394231"/>
    <w:rsid w:val="003A2A99"/>
    <w:rsid w:val="003B1394"/>
    <w:rsid w:val="003B437A"/>
    <w:rsid w:val="003C166E"/>
    <w:rsid w:val="003C40F3"/>
    <w:rsid w:val="003C44BA"/>
    <w:rsid w:val="003C640E"/>
    <w:rsid w:val="003C6E7D"/>
    <w:rsid w:val="003D2DFF"/>
    <w:rsid w:val="003D4394"/>
    <w:rsid w:val="003D58C4"/>
    <w:rsid w:val="003D5CD2"/>
    <w:rsid w:val="003D65EB"/>
    <w:rsid w:val="003D6625"/>
    <w:rsid w:val="003D72A0"/>
    <w:rsid w:val="003D7DE5"/>
    <w:rsid w:val="003E3AEB"/>
    <w:rsid w:val="003E592E"/>
    <w:rsid w:val="003F4307"/>
    <w:rsid w:val="003F5D5B"/>
    <w:rsid w:val="00405FDB"/>
    <w:rsid w:val="0041624A"/>
    <w:rsid w:val="00420184"/>
    <w:rsid w:val="004263C8"/>
    <w:rsid w:val="00426CE2"/>
    <w:rsid w:val="00432F0E"/>
    <w:rsid w:val="00436347"/>
    <w:rsid w:val="00444CB0"/>
    <w:rsid w:val="00446FC7"/>
    <w:rsid w:val="00451E1F"/>
    <w:rsid w:val="0045208F"/>
    <w:rsid w:val="00455784"/>
    <w:rsid w:val="00463253"/>
    <w:rsid w:val="004665AD"/>
    <w:rsid w:val="004749D7"/>
    <w:rsid w:val="004772C3"/>
    <w:rsid w:val="004778FA"/>
    <w:rsid w:val="00486872"/>
    <w:rsid w:val="004A0040"/>
    <w:rsid w:val="004A168B"/>
    <w:rsid w:val="004A2A0E"/>
    <w:rsid w:val="004B0B2E"/>
    <w:rsid w:val="004B19B3"/>
    <w:rsid w:val="004B23AC"/>
    <w:rsid w:val="004B5305"/>
    <w:rsid w:val="004B6B20"/>
    <w:rsid w:val="004E25CB"/>
    <w:rsid w:val="004F2DFD"/>
    <w:rsid w:val="004F4C47"/>
    <w:rsid w:val="005007BA"/>
    <w:rsid w:val="00504972"/>
    <w:rsid w:val="00505905"/>
    <w:rsid w:val="00507C8B"/>
    <w:rsid w:val="00516EE1"/>
    <w:rsid w:val="00525D69"/>
    <w:rsid w:val="0054111C"/>
    <w:rsid w:val="005473E6"/>
    <w:rsid w:val="00551F5C"/>
    <w:rsid w:val="005536E1"/>
    <w:rsid w:val="005543A1"/>
    <w:rsid w:val="0055636A"/>
    <w:rsid w:val="0057081E"/>
    <w:rsid w:val="005739F8"/>
    <w:rsid w:val="00574B9B"/>
    <w:rsid w:val="00577B4E"/>
    <w:rsid w:val="00580495"/>
    <w:rsid w:val="00583255"/>
    <w:rsid w:val="00583B39"/>
    <w:rsid w:val="00583C33"/>
    <w:rsid w:val="00586C28"/>
    <w:rsid w:val="005A76F5"/>
    <w:rsid w:val="005B29C1"/>
    <w:rsid w:val="005C1929"/>
    <w:rsid w:val="005D1E00"/>
    <w:rsid w:val="005D54D8"/>
    <w:rsid w:val="005D5CED"/>
    <w:rsid w:val="005D75C8"/>
    <w:rsid w:val="005D7DCB"/>
    <w:rsid w:val="005E74EE"/>
    <w:rsid w:val="005F20F9"/>
    <w:rsid w:val="005F53CC"/>
    <w:rsid w:val="005F7AA3"/>
    <w:rsid w:val="00604692"/>
    <w:rsid w:val="00604B6A"/>
    <w:rsid w:val="00606318"/>
    <w:rsid w:val="00610492"/>
    <w:rsid w:val="00610EAE"/>
    <w:rsid w:val="00622FBC"/>
    <w:rsid w:val="00634E00"/>
    <w:rsid w:val="0063778B"/>
    <w:rsid w:val="00644E1E"/>
    <w:rsid w:val="00650F90"/>
    <w:rsid w:val="00654A35"/>
    <w:rsid w:val="00656C61"/>
    <w:rsid w:val="006611E1"/>
    <w:rsid w:val="00671355"/>
    <w:rsid w:val="00671AF2"/>
    <w:rsid w:val="006775F7"/>
    <w:rsid w:val="0067775D"/>
    <w:rsid w:val="00677A24"/>
    <w:rsid w:val="00681548"/>
    <w:rsid w:val="00683F46"/>
    <w:rsid w:val="00687A02"/>
    <w:rsid w:val="00687EF7"/>
    <w:rsid w:val="006A4759"/>
    <w:rsid w:val="006A6988"/>
    <w:rsid w:val="006B33F1"/>
    <w:rsid w:val="006B5C42"/>
    <w:rsid w:val="006B6270"/>
    <w:rsid w:val="006B7383"/>
    <w:rsid w:val="006C68D8"/>
    <w:rsid w:val="006D028B"/>
    <w:rsid w:val="006D06A6"/>
    <w:rsid w:val="006D3197"/>
    <w:rsid w:val="00706FB3"/>
    <w:rsid w:val="00717A3B"/>
    <w:rsid w:val="007230A2"/>
    <w:rsid w:val="0072317A"/>
    <w:rsid w:val="00732B92"/>
    <w:rsid w:val="00742181"/>
    <w:rsid w:val="00744119"/>
    <w:rsid w:val="007524AF"/>
    <w:rsid w:val="007535D9"/>
    <w:rsid w:val="00765CC0"/>
    <w:rsid w:val="00765E99"/>
    <w:rsid w:val="00766D4D"/>
    <w:rsid w:val="0077751D"/>
    <w:rsid w:val="00796A54"/>
    <w:rsid w:val="007A1956"/>
    <w:rsid w:val="007A3F5E"/>
    <w:rsid w:val="007B0D17"/>
    <w:rsid w:val="007B0FD7"/>
    <w:rsid w:val="007B43C8"/>
    <w:rsid w:val="007C1025"/>
    <w:rsid w:val="007C2337"/>
    <w:rsid w:val="007C5C0A"/>
    <w:rsid w:val="007D1AAE"/>
    <w:rsid w:val="007D4CA0"/>
    <w:rsid w:val="007D5D3F"/>
    <w:rsid w:val="007D6B89"/>
    <w:rsid w:val="007E0B36"/>
    <w:rsid w:val="007E2CD5"/>
    <w:rsid w:val="007E391F"/>
    <w:rsid w:val="007F3F89"/>
    <w:rsid w:val="007F40E0"/>
    <w:rsid w:val="007F659B"/>
    <w:rsid w:val="00803575"/>
    <w:rsid w:val="00804687"/>
    <w:rsid w:val="0081476F"/>
    <w:rsid w:val="00817943"/>
    <w:rsid w:val="008200CC"/>
    <w:rsid w:val="008209DF"/>
    <w:rsid w:val="0083346E"/>
    <w:rsid w:val="00836555"/>
    <w:rsid w:val="00843C41"/>
    <w:rsid w:val="00854E10"/>
    <w:rsid w:val="00857342"/>
    <w:rsid w:val="00860672"/>
    <w:rsid w:val="008616D5"/>
    <w:rsid w:val="00862F1D"/>
    <w:rsid w:val="008636F4"/>
    <w:rsid w:val="00877099"/>
    <w:rsid w:val="00880DE6"/>
    <w:rsid w:val="00897269"/>
    <w:rsid w:val="008A10F2"/>
    <w:rsid w:val="008A738A"/>
    <w:rsid w:val="008B41BD"/>
    <w:rsid w:val="008B4E03"/>
    <w:rsid w:val="008B5B0B"/>
    <w:rsid w:val="008C2FEB"/>
    <w:rsid w:val="008E7E3C"/>
    <w:rsid w:val="008F2C9F"/>
    <w:rsid w:val="009024EE"/>
    <w:rsid w:val="009045D8"/>
    <w:rsid w:val="00911C52"/>
    <w:rsid w:val="0091240B"/>
    <w:rsid w:val="009139E3"/>
    <w:rsid w:val="00914DF8"/>
    <w:rsid w:val="00921534"/>
    <w:rsid w:val="009232CE"/>
    <w:rsid w:val="009242C9"/>
    <w:rsid w:val="009271F3"/>
    <w:rsid w:val="009305F7"/>
    <w:rsid w:val="00932DA4"/>
    <w:rsid w:val="009347DA"/>
    <w:rsid w:val="00935CB4"/>
    <w:rsid w:val="00941663"/>
    <w:rsid w:val="00944B95"/>
    <w:rsid w:val="00944F3D"/>
    <w:rsid w:val="00945CDC"/>
    <w:rsid w:val="00947834"/>
    <w:rsid w:val="00950ECC"/>
    <w:rsid w:val="00950F5F"/>
    <w:rsid w:val="00953B6A"/>
    <w:rsid w:val="00956DEE"/>
    <w:rsid w:val="00960DFA"/>
    <w:rsid w:val="00976D38"/>
    <w:rsid w:val="009770FB"/>
    <w:rsid w:val="0097730B"/>
    <w:rsid w:val="009825A6"/>
    <w:rsid w:val="00994FEC"/>
    <w:rsid w:val="009A17AE"/>
    <w:rsid w:val="009A2666"/>
    <w:rsid w:val="009A4127"/>
    <w:rsid w:val="009A758B"/>
    <w:rsid w:val="009B195A"/>
    <w:rsid w:val="009B1D48"/>
    <w:rsid w:val="009B3466"/>
    <w:rsid w:val="009B427F"/>
    <w:rsid w:val="009B68E0"/>
    <w:rsid w:val="009C266B"/>
    <w:rsid w:val="009C545B"/>
    <w:rsid w:val="009C70B0"/>
    <w:rsid w:val="009D0127"/>
    <w:rsid w:val="009D4AEE"/>
    <w:rsid w:val="009E3F9D"/>
    <w:rsid w:val="009F1EFC"/>
    <w:rsid w:val="009F402E"/>
    <w:rsid w:val="009F47DA"/>
    <w:rsid w:val="009F5F53"/>
    <w:rsid w:val="00A01CCA"/>
    <w:rsid w:val="00A0310D"/>
    <w:rsid w:val="00A156DA"/>
    <w:rsid w:val="00A331BA"/>
    <w:rsid w:val="00A45611"/>
    <w:rsid w:val="00A47E8E"/>
    <w:rsid w:val="00A5259A"/>
    <w:rsid w:val="00A62473"/>
    <w:rsid w:val="00A63BEE"/>
    <w:rsid w:val="00A67980"/>
    <w:rsid w:val="00A803EE"/>
    <w:rsid w:val="00A819D1"/>
    <w:rsid w:val="00A855FB"/>
    <w:rsid w:val="00A87604"/>
    <w:rsid w:val="00A87703"/>
    <w:rsid w:val="00A87C04"/>
    <w:rsid w:val="00A87F67"/>
    <w:rsid w:val="00A932E8"/>
    <w:rsid w:val="00A93767"/>
    <w:rsid w:val="00AA26C3"/>
    <w:rsid w:val="00AB673D"/>
    <w:rsid w:val="00AC0744"/>
    <w:rsid w:val="00AC5EDA"/>
    <w:rsid w:val="00AD7C4F"/>
    <w:rsid w:val="00AE22C9"/>
    <w:rsid w:val="00AE4F0C"/>
    <w:rsid w:val="00AF275E"/>
    <w:rsid w:val="00AF3C4E"/>
    <w:rsid w:val="00AF67F7"/>
    <w:rsid w:val="00AF6F7C"/>
    <w:rsid w:val="00B00D2A"/>
    <w:rsid w:val="00B0500B"/>
    <w:rsid w:val="00B14244"/>
    <w:rsid w:val="00B20906"/>
    <w:rsid w:val="00B26B39"/>
    <w:rsid w:val="00B2736B"/>
    <w:rsid w:val="00B326E5"/>
    <w:rsid w:val="00B3396B"/>
    <w:rsid w:val="00B361F8"/>
    <w:rsid w:val="00B4259A"/>
    <w:rsid w:val="00B42F28"/>
    <w:rsid w:val="00B47CE6"/>
    <w:rsid w:val="00B558AE"/>
    <w:rsid w:val="00B651FB"/>
    <w:rsid w:val="00B65EBB"/>
    <w:rsid w:val="00B672F8"/>
    <w:rsid w:val="00B77682"/>
    <w:rsid w:val="00B93FC0"/>
    <w:rsid w:val="00B97170"/>
    <w:rsid w:val="00BA35AA"/>
    <w:rsid w:val="00BA6EDE"/>
    <w:rsid w:val="00BB0F17"/>
    <w:rsid w:val="00BB2A32"/>
    <w:rsid w:val="00BC6F95"/>
    <w:rsid w:val="00BD0C1C"/>
    <w:rsid w:val="00BD19C5"/>
    <w:rsid w:val="00BD6A5D"/>
    <w:rsid w:val="00BD6B4F"/>
    <w:rsid w:val="00BE12B2"/>
    <w:rsid w:val="00BE733D"/>
    <w:rsid w:val="00BF6642"/>
    <w:rsid w:val="00C00BFC"/>
    <w:rsid w:val="00C027F4"/>
    <w:rsid w:val="00C175B5"/>
    <w:rsid w:val="00C208DC"/>
    <w:rsid w:val="00C374D8"/>
    <w:rsid w:val="00C429EE"/>
    <w:rsid w:val="00C526EF"/>
    <w:rsid w:val="00C543E5"/>
    <w:rsid w:val="00C56E8B"/>
    <w:rsid w:val="00C66912"/>
    <w:rsid w:val="00C71077"/>
    <w:rsid w:val="00C82124"/>
    <w:rsid w:val="00C82295"/>
    <w:rsid w:val="00C94350"/>
    <w:rsid w:val="00CA1B3C"/>
    <w:rsid w:val="00CA4BCA"/>
    <w:rsid w:val="00CA757B"/>
    <w:rsid w:val="00CA7685"/>
    <w:rsid w:val="00CC3754"/>
    <w:rsid w:val="00CD0FFD"/>
    <w:rsid w:val="00CD1C88"/>
    <w:rsid w:val="00CD4FF3"/>
    <w:rsid w:val="00CD62FD"/>
    <w:rsid w:val="00CD6D25"/>
    <w:rsid w:val="00CE4A66"/>
    <w:rsid w:val="00CF44C4"/>
    <w:rsid w:val="00D16EB1"/>
    <w:rsid w:val="00D2545C"/>
    <w:rsid w:val="00D30D49"/>
    <w:rsid w:val="00D33487"/>
    <w:rsid w:val="00D34F1D"/>
    <w:rsid w:val="00D459B6"/>
    <w:rsid w:val="00D60F29"/>
    <w:rsid w:val="00D65685"/>
    <w:rsid w:val="00D728FB"/>
    <w:rsid w:val="00D72C2F"/>
    <w:rsid w:val="00D7617C"/>
    <w:rsid w:val="00D80A07"/>
    <w:rsid w:val="00D83592"/>
    <w:rsid w:val="00D94F66"/>
    <w:rsid w:val="00DA1729"/>
    <w:rsid w:val="00DA1CA0"/>
    <w:rsid w:val="00DA4191"/>
    <w:rsid w:val="00DB3CA7"/>
    <w:rsid w:val="00DB5A4C"/>
    <w:rsid w:val="00DB6903"/>
    <w:rsid w:val="00DC2A37"/>
    <w:rsid w:val="00DC5308"/>
    <w:rsid w:val="00DD047A"/>
    <w:rsid w:val="00DD07AF"/>
    <w:rsid w:val="00DD0B00"/>
    <w:rsid w:val="00DD4788"/>
    <w:rsid w:val="00DE0149"/>
    <w:rsid w:val="00DE2720"/>
    <w:rsid w:val="00DF0AA5"/>
    <w:rsid w:val="00E03C25"/>
    <w:rsid w:val="00E15470"/>
    <w:rsid w:val="00E25CB3"/>
    <w:rsid w:val="00E31DBB"/>
    <w:rsid w:val="00E3341B"/>
    <w:rsid w:val="00E4144D"/>
    <w:rsid w:val="00E44233"/>
    <w:rsid w:val="00E451C1"/>
    <w:rsid w:val="00E46095"/>
    <w:rsid w:val="00E519D2"/>
    <w:rsid w:val="00E52A83"/>
    <w:rsid w:val="00E64F1D"/>
    <w:rsid w:val="00E7115C"/>
    <w:rsid w:val="00E712BD"/>
    <w:rsid w:val="00E730E8"/>
    <w:rsid w:val="00E73A84"/>
    <w:rsid w:val="00E753B7"/>
    <w:rsid w:val="00E93D9F"/>
    <w:rsid w:val="00EA3397"/>
    <w:rsid w:val="00EA7AE5"/>
    <w:rsid w:val="00EB3E57"/>
    <w:rsid w:val="00EC09B6"/>
    <w:rsid w:val="00EC3B7B"/>
    <w:rsid w:val="00EC5AC1"/>
    <w:rsid w:val="00EC6A1D"/>
    <w:rsid w:val="00ED0D2C"/>
    <w:rsid w:val="00EE20CC"/>
    <w:rsid w:val="00EE3BFF"/>
    <w:rsid w:val="00EE4BB9"/>
    <w:rsid w:val="00EF26D1"/>
    <w:rsid w:val="00EF2FEE"/>
    <w:rsid w:val="00EF3E14"/>
    <w:rsid w:val="00F27FFB"/>
    <w:rsid w:val="00F32774"/>
    <w:rsid w:val="00F3591B"/>
    <w:rsid w:val="00F441CE"/>
    <w:rsid w:val="00F46A08"/>
    <w:rsid w:val="00F46DB5"/>
    <w:rsid w:val="00F52F69"/>
    <w:rsid w:val="00F53813"/>
    <w:rsid w:val="00F66E03"/>
    <w:rsid w:val="00F67FB8"/>
    <w:rsid w:val="00F81657"/>
    <w:rsid w:val="00F8326C"/>
    <w:rsid w:val="00F837F5"/>
    <w:rsid w:val="00F86970"/>
    <w:rsid w:val="00F907EA"/>
    <w:rsid w:val="00F958AE"/>
    <w:rsid w:val="00FA1A72"/>
    <w:rsid w:val="00FA1C94"/>
    <w:rsid w:val="00FA32D9"/>
    <w:rsid w:val="00FA5CB8"/>
    <w:rsid w:val="00FA609B"/>
    <w:rsid w:val="00FB3DD6"/>
    <w:rsid w:val="00FB68D4"/>
    <w:rsid w:val="00FC0694"/>
    <w:rsid w:val="00FC624E"/>
    <w:rsid w:val="00FC6DF1"/>
    <w:rsid w:val="00FD55B4"/>
    <w:rsid w:val="00FE0014"/>
    <w:rsid w:val="00FE4636"/>
    <w:rsid w:val="00FF15EE"/>
    <w:rsid w:val="00FF2089"/>
    <w:rsid w:val="00FF2952"/>
    <w:rsid w:val="00FF2CD0"/>
    <w:rsid w:val="00FF3CE1"/>
    <w:rsid w:val="00FF76C9"/>
  </w:rsids>
  <m:mathPr>
    <m:mathFont m:val="Cambria Math"/>
    <m:brkBin m:val="before"/>
    <m:brkBinSub m:val="--"/>
    <m:smallFrac m:val="0"/>
    <m:dispDef/>
    <m:lMargin m:val="0"/>
    <m:rMargin m:val="0"/>
    <m:defJc m:val="centerGroup"/>
    <m:wrapIndent m:val="1440"/>
    <m:intLim m:val="subSup"/>
    <m:naryLim m:val="undOvr"/>
  </m:mathPr>
  <w:themeFontLang w:val="en-ET"/>
  <w:clrSchemeMapping w:bg1="light1" w:t1="dark1" w:bg2="light2" w:t2="dark2" w:accent1="accent1" w:accent2="accent2" w:accent3="accent3" w:accent4="accent4" w:accent5="accent5" w:accent6="accent6" w:hyperlink="hyperlink" w:followedHyperlink="followedHyperlink"/>
  <w:decimalSymbol w:val="."/>
  <w:listSeparator w:val=","/>
  <w14:docId w14:val="7A50E789"/>
  <w15:chartTrackingRefBased/>
  <w15:docId w15:val="{14089C19-31A1-BF47-93DA-12BE55DA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E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F66"/>
    <w:rPr>
      <w:rFonts w:ascii="Times New Roman" w:eastAsia="Times New Roman" w:hAnsi="Times New Roman" w:cs="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FA1A72"/>
    <w:pPr>
      <w:spacing w:after="200"/>
    </w:pPr>
    <w:rPr>
      <w:i/>
      <w:iCs/>
      <w:color w:val="44546A" w:themeColor="text2"/>
      <w:sz w:val="18"/>
      <w:szCs w:val="18"/>
    </w:rPr>
  </w:style>
  <w:style w:type="paragraph" w:styleId="NoSpacing">
    <w:name w:val="No Spacing"/>
    <w:link w:val="NoSpacingChar"/>
    <w:uiPriority w:val="1"/>
    <w:qFormat/>
    <w:rsid w:val="00137C87"/>
    <w:pPr>
      <w:pBdr>
        <w:top w:val="nil"/>
        <w:left w:val="nil"/>
        <w:bottom w:val="nil"/>
        <w:right w:val="nil"/>
        <w:between w:val="nil"/>
        <w:bar w:val="nil"/>
      </w:pBdr>
      <w:spacing w:line="360" w:lineRule="auto"/>
    </w:pPr>
    <w:rPr>
      <w:rFonts w:ascii="Arial" w:eastAsia="Arial Unicode MS" w:hAnsi="Arial" w:cs="Times New Roman"/>
      <w:color w:val="000000" w:themeColor="text1"/>
      <w:kern w:val="0"/>
      <w:bdr w:val="nil"/>
      <w:lang w:val="en-US"/>
      <w14:ligatures w14:val="none"/>
    </w:rPr>
  </w:style>
  <w:style w:type="character" w:customStyle="1" w:styleId="NoSpacingChar">
    <w:name w:val="No Spacing Char"/>
    <w:link w:val="NoSpacing"/>
    <w:uiPriority w:val="1"/>
    <w:rsid w:val="00137C87"/>
    <w:rPr>
      <w:rFonts w:ascii="Arial" w:eastAsia="Arial Unicode MS" w:hAnsi="Arial" w:cs="Times New Roman"/>
      <w:color w:val="000000" w:themeColor="text1"/>
      <w:kern w:val="0"/>
      <w:bdr w:val="nil"/>
      <w:lang w:val="en-US"/>
      <w14:ligatures w14:val="none"/>
    </w:rPr>
  </w:style>
  <w:style w:type="table" w:styleId="TableGrid">
    <w:name w:val="Table Grid"/>
    <w:basedOn w:val="TableNormal"/>
    <w:uiPriority w:val="39"/>
    <w:rsid w:val="00137C87"/>
    <w:pPr>
      <w:pBdr>
        <w:top w:val="nil"/>
        <w:left w:val="nil"/>
        <w:bottom w:val="nil"/>
        <w:right w:val="nil"/>
        <w:between w:val="nil"/>
        <w:bar w:val="nil"/>
      </w:pBdr>
    </w:pPr>
    <w:rPr>
      <w:rFonts w:ascii="Times New Roman" w:eastAsia="Arial Unicode MS" w:hAnsi="Times New Roman" w:cs="Times New Roman"/>
      <w:kern w:val="0"/>
      <w:sz w:val="20"/>
      <w:szCs w:val="20"/>
      <w:bdr w:val="nil"/>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3F4307"/>
    <w:pPr>
      <w:jc w:val="center"/>
    </w:pPr>
    <w:rPr>
      <w:lang w:val="en-US"/>
    </w:rPr>
  </w:style>
  <w:style w:type="character" w:customStyle="1" w:styleId="EndNoteBibliographyTitleChar">
    <w:name w:val="EndNote Bibliography Title Char"/>
    <w:basedOn w:val="NoSpacingChar"/>
    <w:link w:val="EndNoteBibliographyTitle"/>
    <w:rsid w:val="003F4307"/>
    <w:rPr>
      <w:rFonts w:ascii="Times New Roman" w:eastAsia="Times New Roman" w:hAnsi="Times New Roman" w:cs="Times New Roman"/>
      <w:color w:val="000000" w:themeColor="text1"/>
      <w:kern w:val="0"/>
      <w:bdr w:val="nil"/>
      <w:lang w:val="en-US"/>
      <w14:ligatures w14:val="none"/>
    </w:rPr>
  </w:style>
  <w:style w:type="paragraph" w:customStyle="1" w:styleId="EndNoteBibliography">
    <w:name w:val="EndNote Bibliography"/>
    <w:basedOn w:val="Normal"/>
    <w:link w:val="EndNoteBibliographyChar"/>
    <w:rsid w:val="003F4307"/>
    <w:rPr>
      <w:lang w:val="en-US"/>
    </w:rPr>
  </w:style>
  <w:style w:type="character" w:customStyle="1" w:styleId="EndNoteBibliographyChar">
    <w:name w:val="EndNote Bibliography Char"/>
    <w:basedOn w:val="NoSpacingChar"/>
    <w:link w:val="EndNoteBibliography"/>
    <w:rsid w:val="003F4307"/>
    <w:rPr>
      <w:rFonts w:ascii="Times New Roman" w:eastAsia="Times New Roman" w:hAnsi="Times New Roman" w:cs="Times New Roman"/>
      <w:color w:val="000000" w:themeColor="text1"/>
      <w:kern w:val="0"/>
      <w:bdr w:val="nil"/>
      <w:lang w:val="en-US"/>
      <w14:ligatures w14:val="none"/>
    </w:rPr>
  </w:style>
  <w:style w:type="paragraph" w:styleId="ListParagraph">
    <w:name w:val="List Paragraph"/>
    <w:basedOn w:val="Normal"/>
    <w:uiPriority w:val="34"/>
    <w:qFormat/>
    <w:rsid w:val="00103D6D"/>
    <w:pPr>
      <w:ind w:left="720"/>
      <w:contextualSpacing/>
    </w:pPr>
    <w:rPr>
      <w:rFonts w:asciiTheme="minorHAnsi" w:eastAsiaTheme="minorHAnsi" w:hAnsiTheme="minorHAnsi" w:cstheme="minorBidi"/>
      <w:kern w:val="2"/>
      <w:lang w:val="en-GB"/>
      <w14:ligatures w14:val="standardContextual"/>
    </w:rPr>
  </w:style>
  <w:style w:type="character" w:styleId="CommentReference">
    <w:name w:val="annotation reference"/>
    <w:basedOn w:val="DefaultParagraphFont"/>
    <w:uiPriority w:val="99"/>
    <w:semiHidden/>
    <w:unhideWhenUsed/>
    <w:rsid w:val="003B437A"/>
    <w:rPr>
      <w:sz w:val="16"/>
      <w:szCs w:val="16"/>
    </w:rPr>
  </w:style>
  <w:style w:type="paragraph" w:styleId="CommentText">
    <w:name w:val="annotation text"/>
    <w:basedOn w:val="Normal"/>
    <w:link w:val="CommentTextChar"/>
    <w:uiPriority w:val="99"/>
    <w:unhideWhenUsed/>
    <w:rsid w:val="003B437A"/>
    <w:rPr>
      <w:sz w:val="20"/>
      <w:szCs w:val="20"/>
    </w:rPr>
  </w:style>
  <w:style w:type="character" w:customStyle="1" w:styleId="CommentTextChar">
    <w:name w:val="Comment Text Char"/>
    <w:basedOn w:val="DefaultParagraphFont"/>
    <w:link w:val="CommentText"/>
    <w:uiPriority w:val="99"/>
    <w:rsid w:val="003B437A"/>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B437A"/>
    <w:rPr>
      <w:b/>
      <w:bCs/>
    </w:rPr>
  </w:style>
  <w:style w:type="character" w:customStyle="1" w:styleId="CommentSubjectChar">
    <w:name w:val="Comment Subject Char"/>
    <w:basedOn w:val="CommentTextChar"/>
    <w:link w:val="CommentSubject"/>
    <w:uiPriority w:val="99"/>
    <w:semiHidden/>
    <w:rsid w:val="003B437A"/>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640">
      <w:bodyDiv w:val="1"/>
      <w:marLeft w:val="0"/>
      <w:marRight w:val="0"/>
      <w:marTop w:val="0"/>
      <w:marBottom w:val="0"/>
      <w:divBdr>
        <w:top w:val="none" w:sz="0" w:space="0" w:color="auto"/>
        <w:left w:val="none" w:sz="0" w:space="0" w:color="auto"/>
        <w:bottom w:val="none" w:sz="0" w:space="0" w:color="auto"/>
        <w:right w:val="none" w:sz="0" w:space="0" w:color="auto"/>
      </w:divBdr>
    </w:div>
    <w:div w:id="30113316">
      <w:bodyDiv w:val="1"/>
      <w:marLeft w:val="0"/>
      <w:marRight w:val="0"/>
      <w:marTop w:val="0"/>
      <w:marBottom w:val="0"/>
      <w:divBdr>
        <w:top w:val="none" w:sz="0" w:space="0" w:color="auto"/>
        <w:left w:val="none" w:sz="0" w:space="0" w:color="auto"/>
        <w:bottom w:val="none" w:sz="0" w:space="0" w:color="auto"/>
        <w:right w:val="none" w:sz="0" w:space="0" w:color="auto"/>
      </w:divBdr>
    </w:div>
    <w:div w:id="126094220">
      <w:bodyDiv w:val="1"/>
      <w:marLeft w:val="0"/>
      <w:marRight w:val="0"/>
      <w:marTop w:val="0"/>
      <w:marBottom w:val="0"/>
      <w:divBdr>
        <w:top w:val="none" w:sz="0" w:space="0" w:color="auto"/>
        <w:left w:val="none" w:sz="0" w:space="0" w:color="auto"/>
        <w:bottom w:val="none" w:sz="0" w:space="0" w:color="auto"/>
        <w:right w:val="none" w:sz="0" w:space="0" w:color="auto"/>
      </w:divBdr>
    </w:div>
    <w:div w:id="211429431">
      <w:bodyDiv w:val="1"/>
      <w:marLeft w:val="0"/>
      <w:marRight w:val="0"/>
      <w:marTop w:val="0"/>
      <w:marBottom w:val="0"/>
      <w:divBdr>
        <w:top w:val="none" w:sz="0" w:space="0" w:color="auto"/>
        <w:left w:val="none" w:sz="0" w:space="0" w:color="auto"/>
        <w:bottom w:val="none" w:sz="0" w:space="0" w:color="auto"/>
        <w:right w:val="none" w:sz="0" w:space="0" w:color="auto"/>
      </w:divBdr>
    </w:div>
    <w:div w:id="218639051">
      <w:bodyDiv w:val="1"/>
      <w:marLeft w:val="0"/>
      <w:marRight w:val="0"/>
      <w:marTop w:val="0"/>
      <w:marBottom w:val="0"/>
      <w:divBdr>
        <w:top w:val="none" w:sz="0" w:space="0" w:color="auto"/>
        <w:left w:val="none" w:sz="0" w:space="0" w:color="auto"/>
        <w:bottom w:val="none" w:sz="0" w:space="0" w:color="auto"/>
        <w:right w:val="none" w:sz="0" w:space="0" w:color="auto"/>
      </w:divBdr>
    </w:div>
    <w:div w:id="223641236">
      <w:bodyDiv w:val="1"/>
      <w:marLeft w:val="0"/>
      <w:marRight w:val="0"/>
      <w:marTop w:val="0"/>
      <w:marBottom w:val="0"/>
      <w:divBdr>
        <w:top w:val="none" w:sz="0" w:space="0" w:color="auto"/>
        <w:left w:val="none" w:sz="0" w:space="0" w:color="auto"/>
        <w:bottom w:val="none" w:sz="0" w:space="0" w:color="auto"/>
        <w:right w:val="none" w:sz="0" w:space="0" w:color="auto"/>
      </w:divBdr>
    </w:div>
    <w:div w:id="240911545">
      <w:bodyDiv w:val="1"/>
      <w:marLeft w:val="0"/>
      <w:marRight w:val="0"/>
      <w:marTop w:val="0"/>
      <w:marBottom w:val="0"/>
      <w:divBdr>
        <w:top w:val="none" w:sz="0" w:space="0" w:color="auto"/>
        <w:left w:val="none" w:sz="0" w:space="0" w:color="auto"/>
        <w:bottom w:val="none" w:sz="0" w:space="0" w:color="auto"/>
        <w:right w:val="none" w:sz="0" w:space="0" w:color="auto"/>
      </w:divBdr>
    </w:div>
    <w:div w:id="264308377">
      <w:bodyDiv w:val="1"/>
      <w:marLeft w:val="0"/>
      <w:marRight w:val="0"/>
      <w:marTop w:val="0"/>
      <w:marBottom w:val="0"/>
      <w:divBdr>
        <w:top w:val="none" w:sz="0" w:space="0" w:color="auto"/>
        <w:left w:val="none" w:sz="0" w:space="0" w:color="auto"/>
        <w:bottom w:val="none" w:sz="0" w:space="0" w:color="auto"/>
        <w:right w:val="none" w:sz="0" w:space="0" w:color="auto"/>
      </w:divBdr>
    </w:div>
    <w:div w:id="338428796">
      <w:bodyDiv w:val="1"/>
      <w:marLeft w:val="0"/>
      <w:marRight w:val="0"/>
      <w:marTop w:val="0"/>
      <w:marBottom w:val="0"/>
      <w:divBdr>
        <w:top w:val="none" w:sz="0" w:space="0" w:color="auto"/>
        <w:left w:val="none" w:sz="0" w:space="0" w:color="auto"/>
        <w:bottom w:val="none" w:sz="0" w:space="0" w:color="auto"/>
        <w:right w:val="none" w:sz="0" w:space="0" w:color="auto"/>
      </w:divBdr>
    </w:div>
    <w:div w:id="351692551">
      <w:bodyDiv w:val="1"/>
      <w:marLeft w:val="0"/>
      <w:marRight w:val="0"/>
      <w:marTop w:val="0"/>
      <w:marBottom w:val="0"/>
      <w:divBdr>
        <w:top w:val="none" w:sz="0" w:space="0" w:color="auto"/>
        <w:left w:val="none" w:sz="0" w:space="0" w:color="auto"/>
        <w:bottom w:val="none" w:sz="0" w:space="0" w:color="auto"/>
        <w:right w:val="none" w:sz="0" w:space="0" w:color="auto"/>
      </w:divBdr>
    </w:div>
    <w:div w:id="457064596">
      <w:bodyDiv w:val="1"/>
      <w:marLeft w:val="0"/>
      <w:marRight w:val="0"/>
      <w:marTop w:val="0"/>
      <w:marBottom w:val="0"/>
      <w:divBdr>
        <w:top w:val="none" w:sz="0" w:space="0" w:color="auto"/>
        <w:left w:val="none" w:sz="0" w:space="0" w:color="auto"/>
        <w:bottom w:val="none" w:sz="0" w:space="0" w:color="auto"/>
        <w:right w:val="none" w:sz="0" w:space="0" w:color="auto"/>
      </w:divBdr>
    </w:div>
    <w:div w:id="497161598">
      <w:bodyDiv w:val="1"/>
      <w:marLeft w:val="0"/>
      <w:marRight w:val="0"/>
      <w:marTop w:val="0"/>
      <w:marBottom w:val="0"/>
      <w:divBdr>
        <w:top w:val="none" w:sz="0" w:space="0" w:color="auto"/>
        <w:left w:val="none" w:sz="0" w:space="0" w:color="auto"/>
        <w:bottom w:val="none" w:sz="0" w:space="0" w:color="auto"/>
        <w:right w:val="none" w:sz="0" w:space="0" w:color="auto"/>
      </w:divBdr>
    </w:div>
    <w:div w:id="558244246">
      <w:bodyDiv w:val="1"/>
      <w:marLeft w:val="0"/>
      <w:marRight w:val="0"/>
      <w:marTop w:val="0"/>
      <w:marBottom w:val="0"/>
      <w:divBdr>
        <w:top w:val="none" w:sz="0" w:space="0" w:color="auto"/>
        <w:left w:val="none" w:sz="0" w:space="0" w:color="auto"/>
        <w:bottom w:val="none" w:sz="0" w:space="0" w:color="auto"/>
        <w:right w:val="none" w:sz="0" w:space="0" w:color="auto"/>
      </w:divBdr>
    </w:div>
    <w:div w:id="647322624">
      <w:bodyDiv w:val="1"/>
      <w:marLeft w:val="0"/>
      <w:marRight w:val="0"/>
      <w:marTop w:val="0"/>
      <w:marBottom w:val="0"/>
      <w:divBdr>
        <w:top w:val="none" w:sz="0" w:space="0" w:color="auto"/>
        <w:left w:val="none" w:sz="0" w:space="0" w:color="auto"/>
        <w:bottom w:val="none" w:sz="0" w:space="0" w:color="auto"/>
        <w:right w:val="none" w:sz="0" w:space="0" w:color="auto"/>
      </w:divBdr>
    </w:div>
    <w:div w:id="662513473">
      <w:bodyDiv w:val="1"/>
      <w:marLeft w:val="0"/>
      <w:marRight w:val="0"/>
      <w:marTop w:val="0"/>
      <w:marBottom w:val="0"/>
      <w:divBdr>
        <w:top w:val="none" w:sz="0" w:space="0" w:color="auto"/>
        <w:left w:val="none" w:sz="0" w:space="0" w:color="auto"/>
        <w:bottom w:val="none" w:sz="0" w:space="0" w:color="auto"/>
        <w:right w:val="none" w:sz="0" w:space="0" w:color="auto"/>
      </w:divBdr>
    </w:div>
    <w:div w:id="712005235">
      <w:bodyDiv w:val="1"/>
      <w:marLeft w:val="0"/>
      <w:marRight w:val="0"/>
      <w:marTop w:val="0"/>
      <w:marBottom w:val="0"/>
      <w:divBdr>
        <w:top w:val="none" w:sz="0" w:space="0" w:color="auto"/>
        <w:left w:val="none" w:sz="0" w:space="0" w:color="auto"/>
        <w:bottom w:val="none" w:sz="0" w:space="0" w:color="auto"/>
        <w:right w:val="none" w:sz="0" w:space="0" w:color="auto"/>
      </w:divBdr>
    </w:div>
    <w:div w:id="971129142">
      <w:bodyDiv w:val="1"/>
      <w:marLeft w:val="0"/>
      <w:marRight w:val="0"/>
      <w:marTop w:val="0"/>
      <w:marBottom w:val="0"/>
      <w:divBdr>
        <w:top w:val="none" w:sz="0" w:space="0" w:color="auto"/>
        <w:left w:val="none" w:sz="0" w:space="0" w:color="auto"/>
        <w:bottom w:val="none" w:sz="0" w:space="0" w:color="auto"/>
        <w:right w:val="none" w:sz="0" w:space="0" w:color="auto"/>
      </w:divBdr>
    </w:div>
    <w:div w:id="1008866388">
      <w:bodyDiv w:val="1"/>
      <w:marLeft w:val="0"/>
      <w:marRight w:val="0"/>
      <w:marTop w:val="0"/>
      <w:marBottom w:val="0"/>
      <w:divBdr>
        <w:top w:val="none" w:sz="0" w:space="0" w:color="auto"/>
        <w:left w:val="none" w:sz="0" w:space="0" w:color="auto"/>
        <w:bottom w:val="none" w:sz="0" w:space="0" w:color="auto"/>
        <w:right w:val="none" w:sz="0" w:space="0" w:color="auto"/>
      </w:divBdr>
    </w:div>
    <w:div w:id="1039672305">
      <w:bodyDiv w:val="1"/>
      <w:marLeft w:val="0"/>
      <w:marRight w:val="0"/>
      <w:marTop w:val="0"/>
      <w:marBottom w:val="0"/>
      <w:divBdr>
        <w:top w:val="none" w:sz="0" w:space="0" w:color="auto"/>
        <w:left w:val="none" w:sz="0" w:space="0" w:color="auto"/>
        <w:bottom w:val="none" w:sz="0" w:space="0" w:color="auto"/>
        <w:right w:val="none" w:sz="0" w:space="0" w:color="auto"/>
      </w:divBdr>
    </w:div>
    <w:div w:id="1107190916">
      <w:bodyDiv w:val="1"/>
      <w:marLeft w:val="0"/>
      <w:marRight w:val="0"/>
      <w:marTop w:val="0"/>
      <w:marBottom w:val="0"/>
      <w:divBdr>
        <w:top w:val="none" w:sz="0" w:space="0" w:color="auto"/>
        <w:left w:val="none" w:sz="0" w:space="0" w:color="auto"/>
        <w:bottom w:val="none" w:sz="0" w:space="0" w:color="auto"/>
        <w:right w:val="none" w:sz="0" w:space="0" w:color="auto"/>
      </w:divBdr>
    </w:div>
    <w:div w:id="1205945502">
      <w:bodyDiv w:val="1"/>
      <w:marLeft w:val="0"/>
      <w:marRight w:val="0"/>
      <w:marTop w:val="0"/>
      <w:marBottom w:val="0"/>
      <w:divBdr>
        <w:top w:val="none" w:sz="0" w:space="0" w:color="auto"/>
        <w:left w:val="none" w:sz="0" w:space="0" w:color="auto"/>
        <w:bottom w:val="none" w:sz="0" w:space="0" w:color="auto"/>
        <w:right w:val="none" w:sz="0" w:space="0" w:color="auto"/>
      </w:divBdr>
    </w:div>
    <w:div w:id="1227298546">
      <w:bodyDiv w:val="1"/>
      <w:marLeft w:val="0"/>
      <w:marRight w:val="0"/>
      <w:marTop w:val="0"/>
      <w:marBottom w:val="0"/>
      <w:divBdr>
        <w:top w:val="none" w:sz="0" w:space="0" w:color="auto"/>
        <w:left w:val="none" w:sz="0" w:space="0" w:color="auto"/>
        <w:bottom w:val="none" w:sz="0" w:space="0" w:color="auto"/>
        <w:right w:val="none" w:sz="0" w:space="0" w:color="auto"/>
      </w:divBdr>
    </w:div>
    <w:div w:id="1327250819">
      <w:bodyDiv w:val="1"/>
      <w:marLeft w:val="0"/>
      <w:marRight w:val="0"/>
      <w:marTop w:val="0"/>
      <w:marBottom w:val="0"/>
      <w:divBdr>
        <w:top w:val="none" w:sz="0" w:space="0" w:color="auto"/>
        <w:left w:val="none" w:sz="0" w:space="0" w:color="auto"/>
        <w:bottom w:val="none" w:sz="0" w:space="0" w:color="auto"/>
        <w:right w:val="none" w:sz="0" w:space="0" w:color="auto"/>
      </w:divBdr>
    </w:div>
    <w:div w:id="1330791897">
      <w:bodyDiv w:val="1"/>
      <w:marLeft w:val="0"/>
      <w:marRight w:val="0"/>
      <w:marTop w:val="0"/>
      <w:marBottom w:val="0"/>
      <w:divBdr>
        <w:top w:val="none" w:sz="0" w:space="0" w:color="auto"/>
        <w:left w:val="none" w:sz="0" w:space="0" w:color="auto"/>
        <w:bottom w:val="none" w:sz="0" w:space="0" w:color="auto"/>
        <w:right w:val="none" w:sz="0" w:space="0" w:color="auto"/>
      </w:divBdr>
    </w:div>
    <w:div w:id="1702511712">
      <w:bodyDiv w:val="1"/>
      <w:marLeft w:val="0"/>
      <w:marRight w:val="0"/>
      <w:marTop w:val="0"/>
      <w:marBottom w:val="0"/>
      <w:divBdr>
        <w:top w:val="none" w:sz="0" w:space="0" w:color="auto"/>
        <w:left w:val="none" w:sz="0" w:space="0" w:color="auto"/>
        <w:bottom w:val="none" w:sz="0" w:space="0" w:color="auto"/>
        <w:right w:val="none" w:sz="0" w:space="0" w:color="auto"/>
      </w:divBdr>
    </w:div>
    <w:div w:id="1721398614">
      <w:bodyDiv w:val="1"/>
      <w:marLeft w:val="0"/>
      <w:marRight w:val="0"/>
      <w:marTop w:val="0"/>
      <w:marBottom w:val="0"/>
      <w:divBdr>
        <w:top w:val="none" w:sz="0" w:space="0" w:color="auto"/>
        <w:left w:val="none" w:sz="0" w:space="0" w:color="auto"/>
        <w:bottom w:val="none" w:sz="0" w:space="0" w:color="auto"/>
        <w:right w:val="none" w:sz="0" w:space="0" w:color="auto"/>
      </w:divBdr>
    </w:div>
    <w:div w:id="1840926661">
      <w:bodyDiv w:val="1"/>
      <w:marLeft w:val="0"/>
      <w:marRight w:val="0"/>
      <w:marTop w:val="0"/>
      <w:marBottom w:val="0"/>
      <w:divBdr>
        <w:top w:val="none" w:sz="0" w:space="0" w:color="auto"/>
        <w:left w:val="none" w:sz="0" w:space="0" w:color="auto"/>
        <w:bottom w:val="none" w:sz="0" w:space="0" w:color="auto"/>
        <w:right w:val="none" w:sz="0" w:space="0" w:color="auto"/>
      </w:divBdr>
    </w:div>
    <w:div w:id="1881161178">
      <w:bodyDiv w:val="1"/>
      <w:marLeft w:val="0"/>
      <w:marRight w:val="0"/>
      <w:marTop w:val="0"/>
      <w:marBottom w:val="0"/>
      <w:divBdr>
        <w:top w:val="none" w:sz="0" w:space="0" w:color="auto"/>
        <w:left w:val="none" w:sz="0" w:space="0" w:color="auto"/>
        <w:bottom w:val="none" w:sz="0" w:space="0" w:color="auto"/>
        <w:right w:val="none" w:sz="0" w:space="0" w:color="auto"/>
      </w:divBdr>
    </w:div>
    <w:div w:id="1914389733">
      <w:bodyDiv w:val="1"/>
      <w:marLeft w:val="0"/>
      <w:marRight w:val="0"/>
      <w:marTop w:val="0"/>
      <w:marBottom w:val="0"/>
      <w:divBdr>
        <w:top w:val="none" w:sz="0" w:space="0" w:color="auto"/>
        <w:left w:val="none" w:sz="0" w:space="0" w:color="auto"/>
        <w:bottom w:val="none" w:sz="0" w:space="0" w:color="auto"/>
        <w:right w:val="none" w:sz="0" w:space="0" w:color="auto"/>
      </w:divBdr>
    </w:div>
    <w:div w:id="1923876356">
      <w:bodyDiv w:val="1"/>
      <w:marLeft w:val="0"/>
      <w:marRight w:val="0"/>
      <w:marTop w:val="0"/>
      <w:marBottom w:val="0"/>
      <w:divBdr>
        <w:top w:val="none" w:sz="0" w:space="0" w:color="auto"/>
        <w:left w:val="none" w:sz="0" w:space="0" w:color="auto"/>
        <w:bottom w:val="none" w:sz="0" w:space="0" w:color="auto"/>
        <w:right w:val="none" w:sz="0" w:space="0" w:color="auto"/>
      </w:divBdr>
    </w:div>
    <w:div w:id="1994599234">
      <w:bodyDiv w:val="1"/>
      <w:marLeft w:val="0"/>
      <w:marRight w:val="0"/>
      <w:marTop w:val="0"/>
      <w:marBottom w:val="0"/>
      <w:divBdr>
        <w:top w:val="none" w:sz="0" w:space="0" w:color="auto"/>
        <w:left w:val="none" w:sz="0" w:space="0" w:color="auto"/>
        <w:bottom w:val="none" w:sz="0" w:space="0" w:color="auto"/>
        <w:right w:val="none" w:sz="0" w:space="0" w:color="auto"/>
      </w:divBdr>
    </w:div>
    <w:div w:id="200234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1702</Words>
  <Characters>9703</Characters>
  <Application>Microsoft Office Word</Application>
  <DocSecurity>0</DocSecurity>
  <Lines>80</Lines>
  <Paragraphs>22</Paragraphs>
  <ScaleCrop>false</ScaleCrop>
  <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Asher (staff)</dc:creator>
  <cp:keywords/>
  <dc:description/>
  <cp:lastModifiedBy>Laura Asher (staff)</cp:lastModifiedBy>
  <cp:revision>15</cp:revision>
  <dcterms:created xsi:type="dcterms:W3CDTF">2024-02-04T10:38:00Z</dcterms:created>
  <dcterms:modified xsi:type="dcterms:W3CDTF">2024-02-04T19:08:00Z</dcterms:modified>
</cp:coreProperties>
</file>