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EC827" w14:textId="7395EE77" w:rsidR="005338DF" w:rsidRDefault="00A727D6" w:rsidP="00185AE6">
      <w:pPr>
        <w:pStyle w:val="Heading1"/>
      </w:pPr>
      <w:r w:rsidRPr="00007EB8">
        <w:rPr>
          <w:rFonts w:ascii="Arial" w:eastAsia="Calibri" w:hAnsi="Arial" w:cs="Arial"/>
          <w:bCs/>
          <w:noProof/>
          <w:color w:val="3A95AD"/>
          <w:lang w:eastAsia="en-AU"/>
        </w:rPr>
        <mc:AlternateContent>
          <mc:Choice Requires="wps">
            <w:drawing>
              <wp:anchor distT="45720" distB="45720" distL="114300" distR="114300" simplePos="0" relativeHeight="251696128" behindDoc="0" locked="0" layoutInCell="1" allowOverlap="1" wp14:anchorId="46624870" wp14:editId="0851E1A2">
                <wp:simplePos x="0" y="0"/>
                <wp:positionH relativeFrom="rightMargin">
                  <wp:posOffset>-8657590</wp:posOffset>
                </wp:positionH>
                <wp:positionV relativeFrom="paragraph">
                  <wp:posOffset>-1729740</wp:posOffset>
                </wp:positionV>
                <wp:extent cx="906780" cy="14046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1404620"/>
                        </a:xfrm>
                        <a:prstGeom prst="rect">
                          <a:avLst/>
                        </a:prstGeom>
                        <a:noFill/>
                        <a:ln w="9525">
                          <a:noFill/>
                          <a:miter lim="800000"/>
                          <a:headEnd/>
                          <a:tailEnd/>
                        </a:ln>
                      </wps:spPr>
                      <wps:txbx>
                        <w:txbxContent>
                          <w:p w14:paraId="33201ADD" w14:textId="77777777" w:rsidR="00593A60" w:rsidRPr="00007EB8" w:rsidRDefault="00593A60" w:rsidP="00A727D6">
                            <w:pPr>
                              <w:spacing w:after="0"/>
                              <w:rPr>
                                <w:rFonts w:ascii="Arial" w:hAnsi="Arial" w:cs="Arial"/>
                                <w:color w:val="3A95AD"/>
                                <w:sz w:val="14"/>
                                <w:szCs w:val="14"/>
                              </w:rPr>
                            </w:pPr>
                            <w:r w:rsidRPr="00007EB8">
                              <w:rPr>
                                <w:rFonts w:ascii="Arial" w:hAnsi="Arial" w:cs="Arial"/>
                                <w:color w:val="3A95AD"/>
                                <w:sz w:val="14"/>
                                <w:szCs w:val="14"/>
                              </w:rPr>
                              <w:t>Low self-harm</w:t>
                            </w:r>
                          </w:p>
                          <w:p w14:paraId="71B3566A" w14:textId="77777777" w:rsidR="00593A60" w:rsidRPr="00007EB8" w:rsidRDefault="00593A60" w:rsidP="00A727D6">
                            <w:pPr>
                              <w:spacing w:after="0"/>
                              <w:rPr>
                                <w:rFonts w:ascii="Arial" w:hAnsi="Arial" w:cs="Arial"/>
                                <w:color w:val="3A95AD"/>
                                <w:sz w:val="14"/>
                                <w:szCs w:val="14"/>
                              </w:rPr>
                            </w:pPr>
                            <w:r w:rsidRPr="00007EB8">
                              <w:rPr>
                                <w:rFonts w:ascii="Arial" w:hAnsi="Arial" w:cs="Arial"/>
                                <w:color w:val="3A95AD"/>
                                <w:sz w:val="14"/>
                                <w:szCs w:val="14"/>
                              </w:rPr>
                              <w:t>High IRSAD scores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624870" id="_x0000_t202" coordsize="21600,21600" o:spt="202" path="m,l,21600r21600,l21600,xe">
                <v:stroke joinstyle="miter"/>
                <v:path gradientshapeok="t" o:connecttype="rect"/>
              </v:shapetype>
              <v:shape id="Text Box 2" o:spid="_x0000_s1026" type="#_x0000_t202" style="position:absolute;margin-left:-681.7pt;margin-top:-136.2pt;width:71.4pt;height:110.6pt;z-index:25169612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" filled="f" stroked="f">
                <v:textbox style="mso-fit-shape-to-text:t">
                  <w:txbxContent>
                    <w:p w14:paraId="33201ADD" w14:textId="77777777" w:rsidR="00593A60" w:rsidRPr="00007EB8" w:rsidRDefault="00593A60" w:rsidP="00A727D6">
                      <w:pPr>
                        <w:spacing w:after="0"/>
                        <w:rPr>
                          <w:rFonts w:ascii="Arial" w:hAnsi="Arial" w:cs="Arial"/>
                          <w:color w:val="3A95AD"/>
                          <w:sz w:val="14"/>
                          <w:szCs w:val="14"/>
                        </w:rPr>
                      </w:pPr>
                      <w:r w:rsidRPr="00007EB8">
                        <w:rPr>
                          <w:rFonts w:ascii="Arial" w:hAnsi="Arial" w:cs="Arial"/>
                          <w:color w:val="3A95AD"/>
                          <w:sz w:val="14"/>
                          <w:szCs w:val="14"/>
                        </w:rPr>
                        <w:t>Low self-harm</w:t>
                      </w:r>
                    </w:p>
                    <w:p w14:paraId="71B3566A" w14:textId="77777777" w:rsidR="00593A60" w:rsidRPr="00007EB8" w:rsidRDefault="00593A60" w:rsidP="00A727D6">
                      <w:pPr>
                        <w:spacing w:after="0"/>
                        <w:rPr>
                          <w:rFonts w:ascii="Arial" w:hAnsi="Arial" w:cs="Arial"/>
                          <w:color w:val="3A95AD"/>
                          <w:sz w:val="14"/>
                          <w:szCs w:val="14"/>
                        </w:rPr>
                      </w:pPr>
                      <w:r w:rsidRPr="00007EB8">
                        <w:rPr>
                          <w:rFonts w:ascii="Arial" w:hAnsi="Arial" w:cs="Arial"/>
                          <w:color w:val="3A95AD"/>
                          <w:sz w:val="14"/>
                          <w:szCs w:val="14"/>
                        </w:rPr>
                        <w:t>High IRSAD scores</w:t>
                      </w:r>
                    </w:p>
                  </w:txbxContent>
                </v:textbox>
                <w10:wrap anchorx="margin"/>
              </v:shape>
            </w:pict>
          </mc:Fallback>
        </mc:AlternateContent>
      </w:r>
      <w:r w:rsidR="00503387">
        <w:t>SUPPLEMENTARY MATERIALS</w:t>
      </w:r>
    </w:p>
    <w:p w14:paraId="3E7D02FA" w14:textId="77777777" w:rsidR="008265FE" w:rsidRPr="008265FE" w:rsidRDefault="008265FE" w:rsidP="005338DF">
      <w:pPr>
        <w:rPr>
          <w:rFonts w:ascii="Times New Roman" w:hAnsi="Times New Roman" w:cs="Times New Roman"/>
          <w:sz w:val="24"/>
          <w:szCs w:val="24"/>
        </w:rPr>
      </w:pPr>
    </w:p>
    <w:p w14:paraId="7859AEF3" w14:textId="0DC1FF8A" w:rsidR="008265FE" w:rsidRPr="008265FE" w:rsidRDefault="008265FE" w:rsidP="005338DF">
      <w:pPr>
        <w:rPr>
          <w:rFonts w:ascii="Times New Roman" w:hAnsi="Times New Roman" w:cs="Times New Roman"/>
          <w:sz w:val="24"/>
          <w:szCs w:val="24"/>
        </w:rPr>
      </w:pPr>
      <w:r w:rsidRPr="008265FE">
        <w:rPr>
          <w:rFonts w:ascii="Times New Roman" w:hAnsi="Times New Roman" w:cs="Times New Roman"/>
          <w:sz w:val="24"/>
          <w:szCs w:val="24"/>
        </w:rPr>
        <w:t>Appendix 1. Additional Information on Modelling, Assumptions, and Limitations</w:t>
      </w:r>
    </w:p>
    <w:p w14:paraId="0A310E7C" w14:textId="77777777" w:rsidR="008265FE" w:rsidRPr="008265FE" w:rsidRDefault="008265FE" w:rsidP="005338DF">
      <w:pPr>
        <w:rPr>
          <w:rFonts w:ascii="Times New Roman" w:hAnsi="Times New Roman" w:cs="Times New Roman"/>
          <w:sz w:val="24"/>
          <w:szCs w:val="24"/>
        </w:rPr>
      </w:pPr>
    </w:p>
    <w:p w14:paraId="4255FFE1" w14:textId="361131B6" w:rsidR="008265FE" w:rsidRDefault="008265FE" w:rsidP="005338DF">
      <w:pPr>
        <w:rPr>
          <w:rFonts w:ascii="Times New Roman" w:hAnsi="Times New Roman" w:cs="Times New Roman"/>
          <w:sz w:val="24"/>
          <w:szCs w:val="24"/>
        </w:rPr>
      </w:pPr>
      <w:r w:rsidRPr="008265FE">
        <w:rPr>
          <w:rFonts w:ascii="Times New Roman" w:hAnsi="Times New Roman" w:cs="Times New Roman"/>
          <w:sz w:val="24"/>
          <w:szCs w:val="24"/>
        </w:rPr>
        <w:t>Appendix 2. External Validation of Synthetic Self-Harm Prevalence Estimates</w:t>
      </w:r>
    </w:p>
    <w:p w14:paraId="0D6A09AE" w14:textId="77777777" w:rsidR="00CF5DF8" w:rsidRDefault="00CF5DF8" w:rsidP="005338DF">
      <w:pPr>
        <w:rPr>
          <w:rFonts w:ascii="Times New Roman" w:hAnsi="Times New Roman" w:cs="Times New Roman"/>
          <w:sz w:val="24"/>
          <w:szCs w:val="24"/>
        </w:rPr>
      </w:pPr>
    </w:p>
    <w:p w14:paraId="2BFD2DA0" w14:textId="2E8644D1" w:rsidR="008265FE" w:rsidRPr="00CF5DF8" w:rsidRDefault="00CF5DF8" w:rsidP="00CF5DF8">
      <w:pPr>
        <w:pStyle w:val="Heading2"/>
        <w:rPr>
          <w:b w:val="0"/>
          <w:bCs/>
        </w:rPr>
      </w:pPr>
      <w:r w:rsidRPr="00CF5DF8">
        <w:rPr>
          <w:b w:val="0"/>
          <w:bCs/>
        </w:rPr>
        <w:t xml:space="preserve">Appendix 3. Additional Results Tables and Figures </w:t>
      </w:r>
    </w:p>
    <w:p w14:paraId="328A5657" w14:textId="77777777" w:rsidR="00CF5DF8" w:rsidRPr="00CF5DF8" w:rsidRDefault="00CF5DF8" w:rsidP="00CF5DF8"/>
    <w:p w14:paraId="62087DA9" w14:textId="409CC419" w:rsidR="008265FE" w:rsidRPr="008265FE" w:rsidRDefault="008265FE" w:rsidP="005338DF">
      <w:pPr>
        <w:rPr>
          <w:rFonts w:ascii="Times New Roman" w:hAnsi="Times New Roman" w:cs="Times New Roman"/>
          <w:sz w:val="24"/>
          <w:szCs w:val="24"/>
        </w:rPr>
      </w:pPr>
      <w:r w:rsidRPr="008265FE">
        <w:rPr>
          <w:rFonts w:ascii="Times New Roman" w:hAnsi="Times New Roman" w:cs="Times New Roman"/>
          <w:sz w:val="24"/>
          <w:szCs w:val="24"/>
        </w:rPr>
        <w:t xml:space="preserve">Appendix </w:t>
      </w:r>
      <w:r w:rsidR="00CF5DF8">
        <w:rPr>
          <w:rFonts w:ascii="Times New Roman" w:hAnsi="Times New Roman" w:cs="Times New Roman"/>
          <w:sz w:val="24"/>
          <w:szCs w:val="24"/>
        </w:rPr>
        <w:t>4</w:t>
      </w:r>
      <w:r w:rsidRPr="008265FE">
        <w:rPr>
          <w:rFonts w:ascii="Times New Roman" w:hAnsi="Times New Roman" w:cs="Times New Roman"/>
          <w:sz w:val="24"/>
          <w:szCs w:val="24"/>
        </w:rPr>
        <w:t>. Synthetic Internalising Disorder Estimates</w:t>
      </w:r>
    </w:p>
    <w:p w14:paraId="09049029" w14:textId="77777777" w:rsidR="008265FE" w:rsidRDefault="008265FE" w:rsidP="005338DF">
      <w:pPr>
        <w:rPr>
          <w:rFonts w:ascii="Times New Roman" w:hAnsi="Times New Roman" w:cs="Times New Roman"/>
          <w:sz w:val="24"/>
          <w:szCs w:val="24"/>
        </w:rPr>
      </w:pPr>
    </w:p>
    <w:p w14:paraId="22E533C9" w14:textId="77777777" w:rsidR="008265FE" w:rsidRDefault="008265FE" w:rsidP="005338DF">
      <w:pPr>
        <w:rPr>
          <w:rFonts w:ascii="Times New Roman" w:hAnsi="Times New Roman" w:cs="Times New Roman"/>
          <w:sz w:val="24"/>
          <w:szCs w:val="24"/>
        </w:rPr>
      </w:pPr>
    </w:p>
    <w:p w14:paraId="00D79365" w14:textId="77777777" w:rsidR="008265FE" w:rsidRDefault="008265FE" w:rsidP="005338DF">
      <w:pPr>
        <w:rPr>
          <w:rFonts w:ascii="Times New Roman" w:hAnsi="Times New Roman" w:cs="Times New Roman"/>
          <w:sz w:val="24"/>
          <w:szCs w:val="24"/>
        </w:rPr>
      </w:pPr>
    </w:p>
    <w:p w14:paraId="14F99E12" w14:textId="77777777" w:rsidR="008265FE" w:rsidRDefault="008265FE" w:rsidP="005338DF">
      <w:pPr>
        <w:rPr>
          <w:rFonts w:ascii="Times New Roman" w:hAnsi="Times New Roman" w:cs="Times New Roman"/>
          <w:sz w:val="24"/>
          <w:szCs w:val="24"/>
        </w:rPr>
      </w:pPr>
    </w:p>
    <w:p w14:paraId="5F2147F5" w14:textId="77777777" w:rsidR="008265FE" w:rsidRDefault="008265FE" w:rsidP="005338DF">
      <w:pPr>
        <w:rPr>
          <w:rFonts w:ascii="Times New Roman" w:hAnsi="Times New Roman" w:cs="Times New Roman"/>
          <w:sz w:val="24"/>
          <w:szCs w:val="24"/>
        </w:rPr>
      </w:pPr>
    </w:p>
    <w:p w14:paraId="13ACD88C" w14:textId="2E07E22A" w:rsidR="008265FE" w:rsidRDefault="008265FE" w:rsidP="005338DF">
      <w:pPr>
        <w:rPr>
          <w:rFonts w:ascii="Times New Roman" w:hAnsi="Times New Roman" w:cs="Times New Roman"/>
          <w:sz w:val="24"/>
          <w:szCs w:val="24"/>
        </w:rPr>
      </w:pPr>
    </w:p>
    <w:p w14:paraId="2F45C129" w14:textId="0E158571" w:rsidR="008265FE" w:rsidRDefault="008265FE" w:rsidP="005338DF">
      <w:pPr>
        <w:rPr>
          <w:rFonts w:ascii="Times New Roman" w:hAnsi="Times New Roman" w:cs="Times New Roman"/>
          <w:sz w:val="24"/>
          <w:szCs w:val="24"/>
        </w:rPr>
      </w:pPr>
    </w:p>
    <w:p w14:paraId="1616B512" w14:textId="7F7C223F" w:rsidR="005338DF" w:rsidRDefault="00216AD0" w:rsidP="005338DF">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40160" behindDoc="0" locked="0" layoutInCell="1" allowOverlap="1" wp14:anchorId="160B0CA2" wp14:editId="3875E690">
                <wp:simplePos x="0" y="0"/>
                <wp:positionH relativeFrom="column">
                  <wp:posOffset>-38100</wp:posOffset>
                </wp:positionH>
                <wp:positionV relativeFrom="paragraph">
                  <wp:posOffset>157480</wp:posOffset>
                </wp:positionV>
                <wp:extent cx="5562600" cy="1079500"/>
                <wp:effectExtent l="0" t="0" r="12700" b="12700"/>
                <wp:wrapNone/>
                <wp:docPr id="2144362670" name="Text Box 1"/>
                <wp:cNvGraphicFramePr/>
                <a:graphic xmlns:a="http://schemas.openxmlformats.org/drawingml/2006/main">
                  <a:graphicData uri="http://schemas.microsoft.com/office/word/2010/wordprocessingShape">
                    <wps:wsp>
                      <wps:cNvSpPr txBox="1"/>
                      <wps:spPr>
                        <a:xfrm>
                          <a:off x="0" y="0"/>
                          <a:ext cx="5562600" cy="1079500"/>
                        </a:xfrm>
                        <a:prstGeom prst="rect">
                          <a:avLst/>
                        </a:prstGeom>
                        <a:solidFill>
                          <a:schemeClr val="lt1"/>
                        </a:solidFill>
                        <a:ln w="6350">
                          <a:solidFill>
                            <a:prstClr val="black"/>
                          </a:solidFill>
                        </a:ln>
                      </wps:spPr>
                      <wps:txbx>
                        <w:txbxContent>
                          <w:p w14:paraId="3059E1C3" w14:textId="525A4C65" w:rsidR="004A06FD" w:rsidRPr="004A06FD" w:rsidRDefault="00404E6A" w:rsidP="00216AD0">
                            <w:pPr>
                              <w:jc w:val="both"/>
                              <w:rPr>
                                <w:rFonts w:ascii="Times New Roman" w:hAnsi="Times New Roman" w:cs="Times New Roman"/>
                                <w:sz w:val="24"/>
                                <w:szCs w:val="24"/>
                              </w:rPr>
                            </w:pPr>
                            <w:r w:rsidRPr="004A06FD">
                              <w:rPr>
                                <w:rFonts w:ascii="Times New Roman" w:hAnsi="Times New Roman" w:cs="Times New Roman"/>
                                <w:sz w:val="24"/>
                                <w:szCs w:val="24"/>
                              </w:rPr>
                              <w:t>Please note that Appendix 1 (and all other appendices) refer to both 2011 and 2019</w:t>
                            </w:r>
                            <w:r w:rsidR="004A06FD" w:rsidRPr="004A06FD">
                              <w:rPr>
                                <w:rFonts w:ascii="Times New Roman" w:hAnsi="Times New Roman" w:cs="Times New Roman"/>
                                <w:sz w:val="24"/>
                                <w:szCs w:val="24"/>
                              </w:rPr>
                              <w:t xml:space="preserve"> datasets</w:t>
                            </w:r>
                            <w:r w:rsidRPr="004A06FD">
                              <w:rPr>
                                <w:rFonts w:ascii="Times New Roman" w:hAnsi="Times New Roman" w:cs="Times New Roman"/>
                                <w:sz w:val="24"/>
                                <w:szCs w:val="24"/>
                              </w:rPr>
                              <w:t xml:space="preserve">. </w:t>
                            </w:r>
                            <w:r w:rsidR="004A06FD" w:rsidRPr="004A06FD">
                              <w:rPr>
                                <w:rFonts w:ascii="Times New Roman" w:hAnsi="Times New Roman" w:cs="Times New Roman"/>
                                <w:color w:val="000000"/>
                                <w:sz w:val="24"/>
                                <w:szCs w:val="24"/>
                                <w:lang w:val="en-GB"/>
                              </w:rPr>
                              <w:t xml:space="preserve">2011 Census data was used in modelling (baseline population data at the time of the YMM survey). Equivalent 2016 Census data with 2019 estimated resident population (ERP) count data were used to derive synthetic </w:t>
                            </w:r>
                            <w:r w:rsidR="00966BE8">
                              <w:rPr>
                                <w:rFonts w:ascii="Times New Roman" w:hAnsi="Times New Roman" w:cs="Times New Roman"/>
                                <w:color w:val="000000"/>
                                <w:sz w:val="24"/>
                                <w:szCs w:val="24"/>
                                <w:lang w:val="en-GB"/>
                              </w:rPr>
                              <w:t xml:space="preserve">youth </w:t>
                            </w:r>
                            <w:r w:rsidR="004A06FD" w:rsidRPr="004A06FD">
                              <w:rPr>
                                <w:rFonts w:ascii="Times New Roman" w:hAnsi="Times New Roman" w:cs="Times New Roman"/>
                                <w:color w:val="000000"/>
                                <w:sz w:val="24"/>
                                <w:szCs w:val="24"/>
                                <w:lang w:val="en-GB"/>
                              </w:rPr>
                              <w:t>self-harm prevalence estimates for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0B0CA2" id="Text Box 1" o:spid="_x0000_s1027" type="#_x0000_t202" style="position:absolute;margin-left:-3pt;margin-top:12.4pt;width:438pt;height:8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" fillcolor="white [3201]" strokeweight=".5pt">
                <v:textbox>
                  <w:txbxContent>
                    <w:p w14:paraId="3059E1C3" w14:textId="525A4C65" w:rsidR="004A06FD" w:rsidRPr="004A06FD" w:rsidRDefault="00404E6A" w:rsidP="00216AD0">
                      <w:pPr>
                        <w:jc w:val="both"/>
                        <w:rPr>
                          <w:rFonts w:ascii="Times New Roman" w:hAnsi="Times New Roman" w:cs="Times New Roman"/>
                          <w:sz w:val="24"/>
                          <w:szCs w:val="24"/>
                        </w:rPr>
                      </w:pPr>
                      <w:r w:rsidRPr="004A06FD">
                        <w:rPr>
                          <w:rFonts w:ascii="Times New Roman" w:hAnsi="Times New Roman" w:cs="Times New Roman"/>
                          <w:sz w:val="24"/>
                          <w:szCs w:val="24"/>
                        </w:rPr>
                        <w:t>Please note that Appendix 1 (and all other appendices) refer to both 2011 and 2019</w:t>
                      </w:r>
                      <w:r w:rsidR="004A06FD" w:rsidRPr="004A06FD">
                        <w:rPr>
                          <w:rFonts w:ascii="Times New Roman" w:hAnsi="Times New Roman" w:cs="Times New Roman"/>
                          <w:sz w:val="24"/>
                          <w:szCs w:val="24"/>
                        </w:rPr>
                        <w:t xml:space="preserve"> datasets</w:t>
                      </w:r>
                      <w:r w:rsidRPr="004A06FD">
                        <w:rPr>
                          <w:rFonts w:ascii="Times New Roman" w:hAnsi="Times New Roman" w:cs="Times New Roman"/>
                          <w:sz w:val="24"/>
                          <w:szCs w:val="24"/>
                        </w:rPr>
                        <w:t xml:space="preserve">. </w:t>
                      </w:r>
                      <w:r w:rsidR="004A06FD" w:rsidRPr="004A06FD">
                        <w:rPr>
                          <w:rFonts w:ascii="Times New Roman" w:hAnsi="Times New Roman" w:cs="Times New Roman"/>
                          <w:color w:val="000000"/>
                          <w:sz w:val="24"/>
                          <w:szCs w:val="24"/>
                          <w:lang w:val="en-GB"/>
                        </w:rPr>
                        <w:t xml:space="preserve">2011 Census data was used in modelling (baseline population data at the time of the YMM survey). Equivalent 2016 Census data with 2019 estimated resident population (ERP) count data were used to derive synthetic </w:t>
                      </w:r>
                      <w:r w:rsidR="00966BE8">
                        <w:rPr>
                          <w:rFonts w:ascii="Times New Roman" w:hAnsi="Times New Roman" w:cs="Times New Roman"/>
                          <w:color w:val="000000"/>
                          <w:sz w:val="24"/>
                          <w:szCs w:val="24"/>
                          <w:lang w:val="en-GB"/>
                        </w:rPr>
                        <w:t xml:space="preserve">youth </w:t>
                      </w:r>
                      <w:r w:rsidR="004A06FD" w:rsidRPr="004A06FD">
                        <w:rPr>
                          <w:rFonts w:ascii="Times New Roman" w:hAnsi="Times New Roman" w:cs="Times New Roman"/>
                          <w:color w:val="000000"/>
                          <w:sz w:val="24"/>
                          <w:szCs w:val="24"/>
                          <w:lang w:val="en-GB"/>
                        </w:rPr>
                        <w:t>self-harm prevalence estimates for 2019.</w:t>
                      </w:r>
                    </w:p>
                  </w:txbxContent>
                </v:textbox>
              </v:shape>
            </w:pict>
          </mc:Fallback>
        </mc:AlternateContent>
      </w:r>
    </w:p>
    <w:p w14:paraId="06B10CA6" w14:textId="225BBC22" w:rsidR="00820C51" w:rsidRDefault="00820C51" w:rsidP="005338DF">
      <w:pPr>
        <w:rPr>
          <w:rFonts w:ascii="Times New Roman" w:hAnsi="Times New Roman" w:cs="Times New Roman"/>
          <w:sz w:val="24"/>
          <w:szCs w:val="24"/>
        </w:rPr>
      </w:pPr>
    </w:p>
    <w:p w14:paraId="75DAE4D3" w14:textId="3F76AF27" w:rsidR="00820C51" w:rsidRDefault="00820C51" w:rsidP="005338DF">
      <w:pPr>
        <w:rPr>
          <w:rFonts w:ascii="Times New Roman" w:hAnsi="Times New Roman" w:cs="Times New Roman"/>
          <w:sz w:val="24"/>
          <w:szCs w:val="24"/>
        </w:rPr>
      </w:pPr>
    </w:p>
    <w:p w14:paraId="6B63F803" w14:textId="77777777" w:rsidR="00820C51" w:rsidRDefault="00820C51" w:rsidP="005338DF">
      <w:pPr>
        <w:rPr>
          <w:rFonts w:ascii="Times New Roman" w:hAnsi="Times New Roman" w:cs="Times New Roman"/>
          <w:sz w:val="24"/>
          <w:szCs w:val="24"/>
        </w:rPr>
        <w:sectPr w:rsidR="00820C51" w:rsidSect="007F24EE">
          <w:footerReference w:type="even" r:id="rId8"/>
          <w:footerReference w:type="default" r:id="rId9"/>
          <w:footerReference w:type="first" r:id="rId10"/>
          <w:pgSz w:w="11906" w:h="16838"/>
          <w:pgMar w:top="1440" w:right="1440" w:bottom="1440" w:left="1440" w:header="708" w:footer="708" w:gutter="0"/>
          <w:pgNumType w:start="1"/>
          <w:cols w:space="708"/>
          <w:docGrid w:linePitch="360"/>
        </w:sectPr>
      </w:pPr>
    </w:p>
    <w:p w14:paraId="7E53E48B" w14:textId="210A758E" w:rsidR="00E70E39" w:rsidRPr="00E70E39" w:rsidRDefault="008265FE" w:rsidP="00E70E3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Appendix 1. </w:t>
      </w:r>
      <w:r w:rsidR="0009364F" w:rsidRPr="00D52696">
        <w:rPr>
          <w:rFonts w:ascii="Times New Roman" w:hAnsi="Times New Roman" w:cs="Times New Roman"/>
          <w:b/>
          <w:bCs/>
          <w:sz w:val="24"/>
          <w:szCs w:val="24"/>
        </w:rPr>
        <w:t xml:space="preserve">Additional Information on </w:t>
      </w:r>
      <w:r w:rsidR="00E70E39">
        <w:rPr>
          <w:rFonts w:ascii="Times New Roman" w:hAnsi="Times New Roman" w:cs="Times New Roman"/>
          <w:b/>
          <w:bCs/>
          <w:sz w:val="24"/>
          <w:szCs w:val="24"/>
        </w:rPr>
        <w:t xml:space="preserve">Modelling, Assumptions, and Limitations </w:t>
      </w:r>
    </w:p>
    <w:p w14:paraId="540E23C9" w14:textId="77777777" w:rsidR="00E70E39" w:rsidRDefault="00E70E39" w:rsidP="00E70E39">
      <w:pPr>
        <w:spacing w:after="0" w:line="360" w:lineRule="auto"/>
        <w:jc w:val="both"/>
        <w:rPr>
          <w:rFonts w:ascii="Times New Roman" w:hAnsi="Times New Roman" w:cs="Times New Roman"/>
          <w:sz w:val="24"/>
          <w:szCs w:val="24"/>
        </w:rPr>
      </w:pPr>
    </w:p>
    <w:p w14:paraId="5F5F7277" w14:textId="04B12452" w:rsidR="00646914" w:rsidRPr="00646914" w:rsidRDefault="00646914" w:rsidP="00E70E39">
      <w:pPr>
        <w:spacing w:after="0" w:line="360" w:lineRule="auto"/>
        <w:jc w:val="both"/>
        <w:rPr>
          <w:rFonts w:ascii="Times New Roman" w:hAnsi="Times New Roman" w:cs="Times New Roman"/>
          <w:b/>
          <w:bCs/>
          <w:sz w:val="24"/>
          <w:szCs w:val="24"/>
        </w:rPr>
      </w:pPr>
      <w:r w:rsidRPr="00646914">
        <w:rPr>
          <w:rFonts w:ascii="Times New Roman" w:hAnsi="Times New Roman" w:cs="Times New Roman"/>
          <w:b/>
          <w:bCs/>
          <w:sz w:val="24"/>
          <w:szCs w:val="24"/>
        </w:rPr>
        <w:t xml:space="preserve">Modelling Steps </w:t>
      </w:r>
    </w:p>
    <w:p w14:paraId="619446D6" w14:textId="4F536277" w:rsidR="009C4464" w:rsidRDefault="00E70E39" w:rsidP="009C4464">
      <w:pPr>
        <w:spacing w:after="0" w:line="360" w:lineRule="auto"/>
        <w:jc w:val="both"/>
        <w:rPr>
          <w:rFonts w:ascii="Times New Roman" w:hAnsi="Times New Roman" w:cs="Times New Roman"/>
          <w:sz w:val="24"/>
          <w:szCs w:val="24"/>
          <w:lang w:val="en-US"/>
        </w:rPr>
      </w:pPr>
      <w:r w:rsidRPr="00A7514F">
        <w:rPr>
          <w:rFonts w:ascii="Times New Roman" w:hAnsi="Times New Roman" w:cs="Times New Roman"/>
          <w:sz w:val="24"/>
          <w:szCs w:val="24"/>
        </w:rPr>
        <w:t xml:space="preserve">The </w:t>
      </w:r>
      <w:r w:rsidRPr="00A7514F" w:rsidDel="00557B31">
        <w:rPr>
          <w:rFonts w:ascii="Times New Roman" w:hAnsi="Times New Roman" w:cs="Times New Roman"/>
          <w:sz w:val="24"/>
          <w:szCs w:val="24"/>
        </w:rPr>
        <w:t>Young Minds Matter</w:t>
      </w:r>
      <w:r w:rsidRPr="00A7514F">
        <w:rPr>
          <w:rFonts w:ascii="Times New Roman" w:hAnsi="Times New Roman" w:cs="Times New Roman"/>
          <w:iCs/>
          <w:sz w:val="24"/>
          <w:szCs w:val="24"/>
        </w:rPr>
        <w:t xml:space="preserve"> (YMM) survey was</w:t>
      </w:r>
      <w:r w:rsidRPr="00A7514F">
        <w:rPr>
          <w:rFonts w:ascii="Times New Roman" w:hAnsi="Times New Roman" w:cs="Times New Roman"/>
          <w:sz w:val="24"/>
          <w:szCs w:val="24"/>
        </w:rPr>
        <w:t xml:space="preserve"> conducted between May 2013 and April 2014; data were available for </w:t>
      </w:r>
      <w:r w:rsidRPr="00A7514F">
        <w:rPr>
          <w:rFonts w:ascii="Times New Roman" w:hAnsi="Times New Roman" w:cs="Times New Roman"/>
          <w:sz w:val="24"/>
          <w:szCs w:val="24"/>
          <w:lang w:val="en-US"/>
        </w:rPr>
        <w:t>2,578 youth from 540 SA1s. We assume the direct self-harm prevalence estimates are accurate for large geographical areas</w:t>
      </w:r>
      <w:r>
        <w:rPr>
          <w:rFonts w:ascii="Times New Roman" w:hAnsi="Times New Roman" w:cs="Times New Roman"/>
          <w:sz w:val="24"/>
          <w:szCs w:val="24"/>
          <w:lang w:val="en-US"/>
        </w:rPr>
        <w:t xml:space="preserve"> </w:t>
      </w:r>
      <w:r w:rsidRPr="00A7514F">
        <w:rPr>
          <w:rFonts w:ascii="Times New Roman" w:hAnsi="Times New Roman" w:cs="Times New Roman"/>
          <w:sz w:val="24"/>
          <w:szCs w:val="24"/>
          <w:lang w:val="en-US"/>
        </w:rPr>
        <w:t>(e.g., PHN)</w:t>
      </w:r>
      <w:r>
        <w:rPr>
          <w:rFonts w:ascii="Times New Roman" w:hAnsi="Times New Roman" w:cs="Times New Roman"/>
          <w:sz w:val="24"/>
          <w:szCs w:val="24"/>
          <w:lang w:val="en-US"/>
        </w:rPr>
        <w:t xml:space="preserve"> and stable over time. T</w:t>
      </w:r>
      <w:r w:rsidRPr="00A7514F">
        <w:rPr>
          <w:rFonts w:ascii="Times New Roman" w:hAnsi="Times New Roman" w:cs="Times New Roman"/>
          <w:sz w:val="24"/>
          <w:szCs w:val="24"/>
          <w:lang w:val="en-US"/>
        </w:rPr>
        <w:t>he sample was insufficient to provide reliable direct small area prevalence estimates. The goal of modelling was to produce SA1-level prevalence estimates suitable for aggregating up to higher geographical areas and exploratory spatial analyses rather than reporting SA1-level prevalence estimat</w:t>
      </w:r>
      <w:r>
        <w:rPr>
          <w:rFonts w:ascii="Times New Roman" w:hAnsi="Times New Roman" w:cs="Times New Roman"/>
          <w:sz w:val="24"/>
          <w:szCs w:val="24"/>
          <w:lang w:val="en-US"/>
        </w:rPr>
        <w:t xml:space="preserve">es with measures of precision. </w:t>
      </w:r>
    </w:p>
    <w:p w14:paraId="4C0D69AC" w14:textId="77777777" w:rsidR="009C4464" w:rsidRDefault="009C4464" w:rsidP="009C4464">
      <w:pPr>
        <w:spacing w:after="0" w:line="360" w:lineRule="auto"/>
        <w:jc w:val="both"/>
        <w:rPr>
          <w:rFonts w:ascii="Times New Roman" w:hAnsi="Times New Roman" w:cs="Times New Roman"/>
          <w:sz w:val="24"/>
          <w:szCs w:val="24"/>
          <w:lang w:val="en-US"/>
        </w:rPr>
      </w:pPr>
    </w:p>
    <w:p w14:paraId="002F6DAA" w14:textId="1A415C9B" w:rsidR="009C4464" w:rsidRPr="00EE70AB" w:rsidRDefault="009C4464" w:rsidP="00EE70AB">
      <w:pPr>
        <w:spacing w:after="0" w:line="360" w:lineRule="auto"/>
        <w:jc w:val="both"/>
        <w:rPr>
          <w:rFonts w:ascii="Times New Roman" w:hAnsi="Times New Roman" w:cs="Times New Roman"/>
          <w:sz w:val="24"/>
          <w:szCs w:val="24"/>
          <w:lang w:val="en-US"/>
        </w:rPr>
      </w:pPr>
      <w:r w:rsidRPr="00577590">
        <w:rPr>
          <w:rFonts w:ascii="Times New Roman" w:eastAsia="Times New Roman" w:hAnsi="Times New Roman" w:cs="Times New Roman"/>
          <w:sz w:val="24"/>
          <w:szCs w:val="24"/>
        </w:rPr>
        <w:t>Outcomes of interest were modelled using generalised linear modelling, specified using the binomial family and the logit link</w:t>
      </w:r>
      <w:r>
        <w:rPr>
          <w:rFonts w:ascii="Times New Roman" w:eastAsia="Times New Roman" w:hAnsi="Times New Roman" w:cs="Times New Roman"/>
          <w:sz w:val="24"/>
          <w:szCs w:val="24"/>
        </w:rPr>
        <w:t xml:space="preserve"> (using the following specifications/equations below):</w:t>
      </w:r>
      <w:r w:rsidRPr="00577590">
        <w:rPr>
          <w:rFonts w:ascii="Times New Roman" w:eastAsia="Times New Roman" w:hAnsi="Times New Roman" w:cs="Times New Roman"/>
          <w:sz w:val="24"/>
          <w:szCs w:val="24"/>
        </w:rPr>
        <w:t xml:space="preserve">  </w:t>
      </w:r>
    </w:p>
    <w:p w14:paraId="70CB46BD" w14:textId="622F6B65" w:rsidR="009C4464" w:rsidRDefault="009C4464" w:rsidP="009C4464">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45280" behindDoc="0" locked="0" layoutInCell="1" allowOverlap="1" wp14:anchorId="5037E07A" wp14:editId="7413F554">
                <wp:simplePos x="0" y="0"/>
                <wp:positionH relativeFrom="column">
                  <wp:posOffset>31454</wp:posOffset>
                </wp:positionH>
                <wp:positionV relativeFrom="paragraph">
                  <wp:posOffset>144145</wp:posOffset>
                </wp:positionV>
                <wp:extent cx="5943600" cy="2668772"/>
                <wp:effectExtent l="0" t="0" r="12700" b="11430"/>
                <wp:wrapNone/>
                <wp:docPr id="57050188" name="Text Box 2"/>
                <wp:cNvGraphicFramePr/>
                <a:graphic xmlns:a="http://schemas.openxmlformats.org/drawingml/2006/main">
                  <a:graphicData uri="http://schemas.microsoft.com/office/word/2010/wordprocessingShape">
                    <wps:wsp>
                      <wps:cNvSpPr txBox="1"/>
                      <wps:spPr>
                        <a:xfrm>
                          <a:off x="0" y="0"/>
                          <a:ext cx="5943600" cy="2668772"/>
                        </a:xfrm>
                        <a:prstGeom prst="rect">
                          <a:avLst/>
                        </a:prstGeom>
                        <a:solidFill>
                          <a:schemeClr val="lt1"/>
                        </a:solidFill>
                        <a:ln w="6350">
                          <a:solidFill>
                            <a:prstClr val="black"/>
                          </a:solidFill>
                        </a:ln>
                      </wps:spPr>
                      <wps:txbx>
                        <w:txbxContent>
                          <w:p w14:paraId="24B50E95" w14:textId="77777777" w:rsidR="009C4464" w:rsidRPr="00577590" w:rsidRDefault="00000000" w:rsidP="009C4464">
                            <w:pPr>
                              <w:rPr>
                                <w:rFonts w:ascii="Times New Roman" w:eastAsia="Times New Roman" w:hAnsi="Times New Roman" w:cs="Times New Roman"/>
                                <w:iCs/>
                                <w:sz w:val="24"/>
                                <w:szCs w:val="24"/>
                              </w:rPr>
                            </w:pPr>
                            <m:oMathPara>
                              <m:oMath>
                                <m:sSub>
                                  <m:sSubPr>
                                    <m:ctrlPr>
                                      <w:rPr>
                                        <w:rFonts w:ascii="Cambria Math" w:hAnsi="Cambria Math" w:cs="Times New Roman"/>
                                        <w:bCs/>
                                        <w:i/>
                                        <w:iCs/>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eastAsia="Times New Roman" w:hAnsi="Cambria Math" w:cs="Times New Roman"/>
                                    <w:sz w:val="24"/>
                                    <w:szCs w:val="24"/>
                                    <w:vertAlign w:val="subscript"/>
                                  </w:rPr>
                                  <m:t xml:space="preserve">~binomial, </m:t>
                                </m:r>
                                <m:d>
                                  <m:dPr>
                                    <m:ctrlPr>
                                      <w:rPr>
                                        <w:rFonts w:ascii="Cambria Math" w:hAnsi="Cambria Math" w:cs="Times New Roman"/>
                                        <w:i/>
                                        <w:iCs/>
                                        <w:sz w:val="24"/>
                                        <w:szCs w:val="24"/>
                                      </w:rPr>
                                    </m:ctrlPr>
                                  </m:dPr>
                                  <m:e>
                                    <m:sSub>
                                      <m:sSubPr>
                                        <m:ctrlPr>
                                          <w:rPr>
                                            <w:rFonts w:ascii="Cambria Math" w:hAnsi="Cambria Math" w:cs="Times New Roman"/>
                                            <w:i/>
                                            <w:iCs/>
                                            <w:sz w:val="24"/>
                                            <w:szCs w:val="24"/>
                                          </w:rPr>
                                        </m:ctrlPr>
                                      </m:sSubPr>
                                      <m:e>
                                        <m:sSub>
                                          <m:sSubPr>
                                            <m:ctrlPr>
                                              <w:rPr>
                                                <w:rFonts w:ascii="Cambria Math" w:hAnsi="Cambria Math" w:cs="Times New Roman"/>
                                                <w:i/>
                                                <w:iCs/>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r>
                                          <w:rPr>
                                            <w:rFonts w:ascii="Cambria Math" w:hAnsi="Cambria Math" w:cs="Times New Roman"/>
                                            <w:sz w:val="24"/>
                                            <w:szCs w:val="24"/>
                                          </w:rPr>
                                          <m:t>, π</m:t>
                                        </m:r>
                                      </m:e>
                                      <m:sub>
                                        <m:r>
                                          <w:rPr>
                                            <w:rFonts w:ascii="Cambria Math" w:hAnsi="Cambria Math" w:cs="Times New Roman"/>
                                            <w:sz w:val="24"/>
                                            <w:szCs w:val="24"/>
                                          </w:rPr>
                                          <m:t>i</m:t>
                                        </m:r>
                                      </m:sub>
                                    </m:sSub>
                                  </m:e>
                                </m:d>
                              </m:oMath>
                            </m:oMathPara>
                          </w:p>
                          <w:p w14:paraId="50FD3C06" w14:textId="77777777" w:rsidR="009C4464" w:rsidRPr="00577590" w:rsidRDefault="009C4464" w:rsidP="009C4464">
                            <w:pPr>
                              <w:rPr>
                                <w:rFonts w:ascii="Times New Roman" w:eastAsia="Times New Roman" w:hAnsi="Times New Roman" w:cs="Times New Roman"/>
                                <w:sz w:val="24"/>
                                <w:szCs w:val="24"/>
                              </w:rPr>
                            </w:pPr>
                          </w:p>
                          <w:p w14:paraId="1DF4A07A" w14:textId="77777777" w:rsidR="009C4464" w:rsidRPr="00577590" w:rsidRDefault="00000000" w:rsidP="009C4464">
                            <w:pPr>
                              <w:rPr>
                                <w:rFonts w:ascii="Times New Roman" w:eastAsia="Times New Roman" w:hAnsi="Times New Roman" w:cs="Times New Roman"/>
                                <w:sz w:val="24"/>
                                <w:szCs w:val="24"/>
                              </w:rPr>
                            </w:pPr>
                            <m:oMathPara>
                              <m:oMath>
                                <m:func>
                                  <m:funcPr>
                                    <m:ctrlPr>
                                      <w:rPr>
                                        <w:rFonts w:ascii="Cambria Math" w:hAnsi="Cambria Math" w:cs="Times New Roman"/>
                                        <w:sz w:val="24"/>
                                        <w:szCs w:val="24"/>
                                      </w:rPr>
                                    </m:ctrlPr>
                                  </m:funcPr>
                                  <m:fName>
                                    <m:r>
                                      <m:rPr>
                                        <m:sty m:val="p"/>
                                      </m:rPr>
                                      <w:rPr>
                                        <w:rFonts w:ascii="Cambria Math" w:hAnsi="Cambria Math" w:cs="Times New Roman"/>
                                        <w:sz w:val="24"/>
                                        <w:szCs w:val="24"/>
                                      </w:rPr>
                                      <m:t>logit</m:t>
                                    </m:r>
                                  </m:fName>
                                  <m:e>
                                    <m:d>
                                      <m:dPr>
                                        <m:ctrlPr>
                                          <w:rPr>
                                            <w:rFonts w:ascii="Cambria Math" w:hAnsi="Cambria Math" w:cs="Times New Roman"/>
                                            <w:i/>
                                            <w:iCs/>
                                            <w:sz w:val="24"/>
                                            <w:szCs w:val="24"/>
                                          </w:rPr>
                                        </m:ctrlPr>
                                      </m:dPr>
                                      <m:e>
                                        <m:sSub>
                                          <m:sSubPr>
                                            <m:ctrlPr>
                                              <w:rPr>
                                                <w:rFonts w:ascii="Cambria Math" w:hAnsi="Cambria Math" w:cs="Times New Roman"/>
                                                <w:i/>
                                                <w:iCs/>
                                                <w:sz w:val="24"/>
                                                <w:szCs w:val="24"/>
                                              </w:rPr>
                                            </m:ctrlPr>
                                          </m:sSubPr>
                                          <m:e>
                                            <m:r>
                                              <w:rPr>
                                                <w:rFonts w:ascii="Cambria Math" w:hAnsi="Cambria Math" w:cs="Times New Roman"/>
                                                <w:sz w:val="24"/>
                                                <w:szCs w:val="24"/>
                                              </w:rPr>
                                              <m:t>π</m:t>
                                            </m:r>
                                          </m:e>
                                          <m:sub>
                                            <m:r>
                                              <w:rPr>
                                                <w:rFonts w:ascii="Cambria Math" w:hAnsi="Cambria Math" w:cs="Times New Roman"/>
                                                <w:sz w:val="24"/>
                                                <w:szCs w:val="24"/>
                                              </w:rPr>
                                              <m:t>i</m:t>
                                            </m:r>
                                          </m:sub>
                                        </m:sSub>
                                      </m:e>
                                    </m:d>
                                  </m:e>
                                </m:func>
                                <m:r>
                                  <w:rPr>
                                    <w:rFonts w:ascii="Cambria Math" w:hAnsi="Cambria Math" w:cs="Times New Roman"/>
                                    <w:sz w:val="24"/>
                                    <w:szCs w:val="24"/>
                                  </w:rPr>
                                  <m:t>=</m:t>
                                </m:r>
                                <m:f>
                                  <m:fPr>
                                    <m:ctrlPr>
                                      <w:rPr>
                                        <w:rFonts w:ascii="Cambria Math" w:eastAsia="Times New Roman" w:hAnsi="Cambria Math" w:cs="Times New Roman"/>
                                        <w:sz w:val="24"/>
                                        <w:szCs w:val="24"/>
                                      </w:rPr>
                                    </m:ctrlPr>
                                  </m:fPr>
                                  <m:num>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ln</m:t>
                                        </m:r>
                                      </m:fName>
                                      <m:e>
                                        <m:r>
                                          <w:rPr>
                                            <w:rFonts w:ascii="Cambria Math" w:eastAsia="Times New Roman"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π</m:t>
                                            </m:r>
                                          </m:e>
                                          <m:sub>
                                            <m:r>
                                              <w:rPr>
                                                <w:rFonts w:ascii="Cambria Math" w:hAnsi="Cambria Math" w:cs="Times New Roman"/>
                                                <w:sz w:val="24"/>
                                                <w:szCs w:val="24"/>
                                              </w:rPr>
                                              <m:t>i</m:t>
                                            </m:r>
                                          </m:sub>
                                        </m:sSub>
                                        <m:r>
                                          <w:rPr>
                                            <w:rFonts w:ascii="Cambria Math" w:hAnsi="Cambria Math" w:cs="Times New Roman"/>
                                            <w:sz w:val="24"/>
                                            <w:szCs w:val="24"/>
                                          </w:rPr>
                                          <m:t>)</m:t>
                                        </m:r>
                                      </m:e>
                                    </m:func>
                                  </m:num>
                                  <m:den>
                                    <m:r>
                                      <w:rPr>
                                        <w:rFonts w:ascii="Cambria Math" w:eastAsia="Times New Roman" w:hAnsi="Cambria Math" w:cs="Times New Roman"/>
                                        <w:sz w:val="24"/>
                                        <w:szCs w:val="24"/>
                                      </w:rPr>
                                      <m:t>1-</m:t>
                                    </m:r>
                                    <m:r>
                                      <m:rPr>
                                        <m:sty m:val="p"/>
                                      </m:rPr>
                                      <w:rPr>
                                        <w:rFonts w:ascii="Cambria Math" w:eastAsia="Times New Roman" w:hAnsi="Cambria Math" w:cs="Times New Roman"/>
                                        <w:sz w:val="24"/>
                                        <w:szCs w:val="24"/>
                                      </w:rPr>
                                      <m:t>ln⁡</m:t>
                                    </m:r>
                                    <m:r>
                                      <w:rPr>
                                        <w:rFonts w:ascii="Cambria Math" w:eastAsia="Times New Roman"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π</m:t>
                                        </m:r>
                                      </m:e>
                                      <m:sub>
                                        <m:r>
                                          <w:rPr>
                                            <w:rFonts w:ascii="Cambria Math" w:hAnsi="Cambria Math" w:cs="Times New Roman"/>
                                            <w:sz w:val="24"/>
                                            <w:szCs w:val="24"/>
                                          </w:rPr>
                                          <m:t>i</m:t>
                                        </m:r>
                                      </m:sub>
                                    </m:sSub>
                                    <m:r>
                                      <w:rPr>
                                        <w:rFonts w:ascii="Cambria Math" w:hAnsi="Cambria Math" w:cs="Times New Roman"/>
                                        <w:sz w:val="24"/>
                                        <w:szCs w:val="24"/>
                                      </w:rPr>
                                      <m:t>)</m:t>
                                    </m:r>
                                  </m:den>
                                </m:f>
                                <m:r>
                                  <w:rPr>
                                    <w:rFonts w:ascii="Cambria Math" w:hAnsi="Cambria Math" w:cs="Times New Roman"/>
                                    <w:sz w:val="24"/>
                                    <w:szCs w:val="24"/>
                                  </w:rPr>
                                  <m:t xml:space="preserve">= </m:t>
                                </m:r>
                                <m:sSubSup>
                                  <m:sSubSupPr>
                                    <m:ctrlPr>
                                      <w:rPr>
                                        <w:rFonts w:ascii="Cambria Math" w:hAnsi="Cambria Math" w:cs="Times New Roman"/>
                                        <w:i/>
                                        <w:iCs/>
                                        <w:sz w:val="24"/>
                                        <w:szCs w:val="24"/>
                                      </w:rPr>
                                    </m:ctrlPr>
                                  </m:sSubSupPr>
                                  <m:e>
                                    <m:r>
                                      <m:rPr>
                                        <m:sty m:val="bi"/>
                                      </m:rPr>
                                      <w:rPr>
                                        <w:rFonts w:ascii="Cambria Math" w:hAnsi="Cambria Math" w:cs="Times New Roman"/>
                                        <w:sz w:val="24"/>
                                        <w:szCs w:val="24"/>
                                      </w:rPr>
                                      <m:t>βX</m:t>
                                    </m:r>
                                  </m:e>
                                  <m:sub>
                                    <m:r>
                                      <w:rPr>
                                        <w:rFonts w:ascii="Cambria Math" w:hAnsi="Cambria Math" w:cs="Times New Roman"/>
                                        <w:sz w:val="24"/>
                                        <w:szCs w:val="24"/>
                                      </w:rPr>
                                      <m:t>i</m:t>
                                    </m:r>
                                  </m:sub>
                                  <m:sup>
                                    <m:r>
                                      <w:rPr>
                                        <w:rFonts w:ascii="Cambria Math" w:hAnsi="Cambria Math" w:cs="Times New Roman"/>
                                        <w:sz w:val="24"/>
                                        <w:szCs w:val="24"/>
                                      </w:rPr>
                                      <m:t>T</m:t>
                                    </m:r>
                                  </m:sup>
                                </m:sSubSup>
                              </m:oMath>
                            </m:oMathPara>
                          </w:p>
                          <w:p w14:paraId="4CBD2A2F" w14:textId="77777777" w:rsidR="009C4464" w:rsidRPr="00577590" w:rsidRDefault="009C4464" w:rsidP="009C4464">
                            <w:pPr>
                              <w:rPr>
                                <w:rFonts w:ascii="Times New Roman" w:eastAsia="Times New Roman" w:hAnsi="Times New Roman" w:cs="Times New Roman"/>
                                <w:sz w:val="24"/>
                                <w:szCs w:val="24"/>
                              </w:rPr>
                            </w:pPr>
                          </w:p>
                          <w:p w14:paraId="100819F4" w14:textId="77777777" w:rsidR="009C4464" w:rsidRDefault="009C4464" w:rsidP="009C4464">
                            <w:pPr>
                              <w:jc w:val="both"/>
                              <w:rPr>
                                <w:rFonts w:ascii="Times New Roman" w:eastAsia="Times New Roman" w:hAnsi="Times New Roman" w:cs="Times New Roman"/>
                                <w:i/>
                                <w:sz w:val="24"/>
                                <w:szCs w:val="24"/>
                              </w:rPr>
                            </w:pPr>
                            <w:r w:rsidRPr="00577590">
                              <w:rPr>
                                <w:rFonts w:ascii="Times New Roman" w:eastAsia="Times New Roman" w:hAnsi="Times New Roman" w:cs="Times New Roman"/>
                                <w:sz w:val="24"/>
                                <w:szCs w:val="24"/>
                              </w:rPr>
                              <w:t xml:space="preserve">Where </w:t>
                            </w:r>
                            <m:oMath>
                              <m:sSub>
                                <m:sSubPr>
                                  <m:ctrlPr>
                                    <w:rPr>
                                      <w:rFonts w:ascii="Cambria Math" w:hAnsi="Cambria Math" w:cs="Times New Roman"/>
                                      <w:bCs/>
                                      <w:i/>
                                      <w:iCs/>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oMath>
                            <w:r w:rsidRPr="00577590">
                              <w:rPr>
                                <w:rFonts w:ascii="Times New Roman" w:eastAsia="Times New Roman" w:hAnsi="Times New Roman" w:cs="Times New Roman"/>
                                <w:sz w:val="24"/>
                                <w:szCs w:val="24"/>
                              </w:rPr>
                              <w:t xml:space="preserve"> is the observed outcome for unit </w:t>
                            </w:r>
                            <w:r w:rsidRPr="00577590">
                              <w:rPr>
                                <w:rFonts w:ascii="Times New Roman" w:eastAsia="Times New Roman" w:hAnsi="Times New Roman" w:cs="Times New Roman"/>
                                <w:i/>
                                <w:sz w:val="24"/>
                                <w:szCs w:val="24"/>
                              </w:rPr>
                              <w:t>i</w:t>
                            </w:r>
                            <w:r w:rsidRPr="00577590">
                              <w:rPr>
                                <w:rFonts w:ascii="Times New Roman" w:eastAsia="Times New Roman" w:hAnsi="Times New Roman" w:cs="Times New Roman"/>
                                <w:sz w:val="24"/>
                                <w:szCs w:val="24"/>
                              </w:rPr>
                              <w:t xml:space="preserve">, assumed to follow a binomial distribution with probability </w:t>
                            </w:r>
                            <m:oMath>
                              <m:sSub>
                                <m:sSubPr>
                                  <m:ctrlPr>
                                    <w:rPr>
                                      <w:rFonts w:ascii="Cambria Math" w:hAnsi="Cambria Math" w:cs="Times New Roman"/>
                                      <w:i/>
                                      <w:iCs/>
                                      <w:sz w:val="24"/>
                                      <w:szCs w:val="24"/>
                                    </w:rPr>
                                  </m:ctrlPr>
                                </m:sSubPr>
                                <m:e>
                                  <m:r>
                                    <w:rPr>
                                      <w:rFonts w:ascii="Cambria Math" w:hAnsi="Cambria Math" w:cs="Times New Roman"/>
                                      <w:sz w:val="24"/>
                                      <w:szCs w:val="24"/>
                                    </w:rPr>
                                    <m:t xml:space="preserve"> π</m:t>
                                  </m:r>
                                </m:e>
                                <m:sub>
                                  <m:r>
                                    <w:rPr>
                                      <w:rFonts w:ascii="Cambria Math" w:hAnsi="Cambria Math" w:cs="Times New Roman"/>
                                      <w:sz w:val="24"/>
                                      <w:szCs w:val="24"/>
                                    </w:rPr>
                                    <m:t>i</m:t>
                                  </m:r>
                                </m:sub>
                              </m:sSub>
                            </m:oMath>
                            <w:r w:rsidRPr="00577590">
                              <w:rPr>
                                <w:rFonts w:ascii="Times New Roman" w:eastAsia="Times New Roman" w:hAnsi="Times New Roman" w:cs="Times New Roman"/>
                                <w:iCs/>
                                <w:sz w:val="24"/>
                                <w:szCs w:val="24"/>
                              </w:rPr>
                              <w:t xml:space="preserve"> and </w:t>
                            </w:r>
                            <m:oMath>
                              <m:sSub>
                                <m:sSubPr>
                                  <m:ctrlPr>
                                    <w:rPr>
                                      <w:rFonts w:ascii="Cambria Math" w:hAnsi="Cambria Math" w:cs="Times New Roman"/>
                                      <w:i/>
                                      <w:iCs/>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oMath>
                            <w:r w:rsidRPr="00577590">
                              <w:rPr>
                                <w:rFonts w:ascii="Times New Roman" w:eastAsia="Times New Roman" w:hAnsi="Times New Roman" w:cs="Times New Roman"/>
                                <w:iCs/>
                                <w:sz w:val="24"/>
                                <w:szCs w:val="24"/>
                              </w:rPr>
                              <w:t xml:space="preserve"> is the number of observations in unit </w:t>
                            </w:r>
                            <w:r w:rsidRPr="00577590">
                              <w:rPr>
                                <w:rFonts w:ascii="Times New Roman" w:eastAsia="Times New Roman" w:hAnsi="Times New Roman" w:cs="Times New Roman"/>
                                <w:i/>
                                <w:sz w:val="24"/>
                                <w:szCs w:val="24"/>
                              </w:rPr>
                              <w:t xml:space="preserve">i. </w:t>
                            </w:r>
                            <w:r w:rsidRPr="00577590">
                              <w:rPr>
                                <w:rFonts w:ascii="Times New Roman" w:eastAsia="Times New Roman" w:hAnsi="Times New Roman" w:cs="Times New Roman"/>
                                <w:sz w:val="24"/>
                                <w:szCs w:val="24"/>
                              </w:rPr>
                              <w:t xml:space="preserve">For individual-level models </w:t>
                            </w:r>
                            <m:oMath>
                              <m:sSub>
                                <m:sSubPr>
                                  <m:ctrlPr>
                                    <w:rPr>
                                      <w:rFonts w:ascii="Cambria Math" w:hAnsi="Cambria Math" w:cs="Times New Roman"/>
                                      <w:i/>
                                      <w:iCs/>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r>
                                <w:rPr>
                                  <w:rFonts w:ascii="Cambria Math" w:hAnsi="Cambria Math" w:cs="Times New Roman"/>
                                  <w:sz w:val="24"/>
                                  <w:szCs w:val="24"/>
                                </w:rPr>
                                <m:t>=1</m:t>
                              </m:r>
                            </m:oMath>
                            <w:r>
                              <w:rPr>
                                <w:rFonts w:ascii="Times New Roman" w:eastAsia="Times New Roman" w:hAnsi="Times New Roman" w:cs="Times New Roman"/>
                                <w:i/>
                                <w:sz w:val="24"/>
                                <w:szCs w:val="24"/>
                              </w:rPr>
                              <w:t xml:space="preserve">. </w:t>
                            </w:r>
                          </w:p>
                          <w:p w14:paraId="21D8670E" w14:textId="77777777" w:rsidR="009C4464" w:rsidRPr="005B54C7" w:rsidRDefault="009C4464" w:rsidP="009C4464">
                            <w:pPr>
                              <w:jc w:val="both"/>
                              <w:rPr>
                                <w:rFonts w:ascii="Times New Roman" w:eastAsia="Times New Roman" w:hAnsi="Times New Roman" w:cs="Times New Roman"/>
                                <w:iCs/>
                                <w:sz w:val="24"/>
                                <w:szCs w:val="24"/>
                              </w:rPr>
                            </w:pPr>
                            <w:r w:rsidRPr="00577590">
                              <w:rPr>
                                <w:rFonts w:ascii="Times New Roman" w:eastAsia="Times New Roman" w:hAnsi="Times New Roman" w:cs="Times New Roman"/>
                                <w:sz w:val="24"/>
                                <w:szCs w:val="24"/>
                              </w:rPr>
                              <w:t xml:space="preserve">The log-odds of the expected probability of a positive outcome is assumed to be linearly related to a vector of explanatory variables </w:t>
                            </w:r>
                            <m:oMath>
                              <m:r>
                                <m:rPr>
                                  <m:sty m:val="bi"/>
                                </m:rPr>
                                <w:rPr>
                                  <w:rFonts w:ascii="Cambria Math" w:hAnsi="Cambria Math" w:cs="Times New Roman"/>
                                  <w:sz w:val="24"/>
                                  <w:szCs w:val="24"/>
                                </w:rPr>
                                <m:t>X</m:t>
                              </m:r>
                            </m:oMath>
                            <w:r w:rsidRPr="00577590">
                              <w:rPr>
                                <w:rFonts w:ascii="Times New Roman" w:eastAsia="Times New Roman" w:hAnsi="Times New Roman" w:cs="Times New Roman"/>
                                <w:b/>
                                <w:sz w:val="24"/>
                                <w:szCs w:val="24"/>
                              </w:rPr>
                              <w:t xml:space="preserve"> </w:t>
                            </w:r>
                            <w:r w:rsidRPr="00577590">
                              <w:rPr>
                                <w:rFonts w:ascii="Times New Roman" w:eastAsia="Times New Roman" w:hAnsi="Times New Roman" w:cs="Times New Roman"/>
                                <w:sz w:val="24"/>
                                <w:szCs w:val="24"/>
                              </w:rPr>
                              <w:t xml:space="preserve">with regression coefficients </w:t>
                            </w:r>
                            <m:oMath>
                              <m:r>
                                <m:rPr>
                                  <m:sty m:val="bi"/>
                                </m:rPr>
                                <w:rPr>
                                  <w:rFonts w:ascii="Cambria Math" w:hAnsi="Cambria Math" w:cs="Times New Roman"/>
                                  <w:sz w:val="24"/>
                                  <w:szCs w:val="24"/>
                                </w:rPr>
                                <m:t>β</m:t>
                              </m:r>
                            </m:oMath>
                            <w:r w:rsidRPr="00577590">
                              <w:rPr>
                                <w:rFonts w:ascii="Times New Roman" w:eastAsia="Times New Roman" w:hAnsi="Times New Roman" w:cs="Times New Roman"/>
                                <w:b/>
                                <w:sz w:val="24"/>
                                <w:szCs w:val="24"/>
                              </w:rPr>
                              <w:t>.</w:t>
                            </w:r>
                          </w:p>
                          <w:p w14:paraId="358B72A4" w14:textId="77777777" w:rsidR="009C4464" w:rsidRDefault="009C44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37E07A" id="_x0000_s1028" type="#_x0000_t202" style="position:absolute;margin-left:2.5pt;margin-top:11.35pt;width:468pt;height:210.1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" fillcolor="white [3201]" strokeweight=".5pt">
                <v:textbox>
                  <w:txbxContent>
                    <w:p w14:paraId="24B50E95" w14:textId="77777777" w:rsidR="009C4464" w:rsidRPr="00577590" w:rsidRDefault="00000000" w:rsidP="009C4464">
                      <w:pPr>
                        <w:rPr>
                          <w:rFonts w:ascii="Times New Roman" w:eastAsia="Times New Roman" w:hAnsi="Times New Roman" w:cs="Times New Roman"/>
                          <w:iCs/>
                          <w:sz w:val="24"/>
                          <w:szCs w:val="24"/>
                        </w:rPr>
                      </w:pPr>
                      <m:oMathPara>
                        <m:oMath>
                          <m:sSub>
                            <m:sSubPr>
                              <m:ctrlPr>
                                <w:rPr>
                                  <w:rFonts w:ascii="Cambria Math" w:hAnsi="Cambria Math" w:cs="Times New Roman"/>
                                  <w:bCs/>
                                  <w:i/>
                                  <w:iCs/>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eastAsia="Times New Roman" w:hAnsi="Cambria Math" w:cs="Times New Roman"/>
                              <w:sz w:val="24"/>
                              <w:szCs w:val="24"/>
                              <w:vertAlign w:val="subscript"/>
                            </w:rPr>
                            <m:t xml:space="preserve">~binomial, </m:t>
                          </m:r>
                          <m:d>
                            <m:dPr>
                              <m:ctrlPr>
                                <w:rPr>
                                  <w:rFonts w:ascii="Cambria Math" w:hAnsi="Cambria Math" w:cs="Times New Roman"/>
                                  <w:i/>
                                  <w:iCs/>
                                  <w:sz w:val="24"/>
                                  <w:szCs w:val="24"/>
                                </w:rPr>
                              </m:ctrlPr>
                            </m:dPr>
                            <m:e>
                              <m:sSub>
                                <m:sSubPr>
                                  <m:ctrlPr>
                                    <w:rPr>
                                      <w:rFonts w:ascii="Cambria Math" w:hAnsi="Cambria Math" w:cs="Times New Roman"/>
                                      <w:i/>
                                      <w:iCs/>
                                      <w:sz w:val="24"/>
                                      <w:szCs w:val="24"/>
                                    </w:rPr>
                                  </m:ctrlPr>
                                </m:sSubPr>
                                <m:e>
                                  <m:sSub>
                                    <m:sSubPr>
                                      <m:ctrlPr>
                                        <w:rPr>
                                          <w:rFonts w:ascii="Cambria Math" w:hAnsi="Cambria Math" w:cs="Times New Roman"/>
                                          <w:i/>
                                          <w:iCs/>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r>
                                    <w:rPr>
                                      <w:rFonts w:ascii="Cambria Math" w:hAnsi="Cambria Math" w:cs="Times New Roman"/>
                                      <w:sz w:val="24"/>
                                      <w:szCs w:val="24"/>
                                    </w:rPr>
                                    <m:t>, π</m:t>
                                  </m:r>
                                </m:e>
                                <m:sub>
                                  <m:r>
                                    <w:rPr>
                                      <w:rFonts w:ascii="Cambria Math" w:hAnsi="Cambria Math" w:cs="Times New Roman"/>
                                      <w:sz w:val="24"/>
                                      <w:szCs w:val="24"/>
                                    </w:rPr>
                                    <m:t>i</m:t>
                                  </m:r>
                                </m:sub>
                              </m:sSub>
                            </m:e>
                          </m:d>
                        </m:oMath>
                      </m:oMathPara>
                    </w:p>
                    <w:p w14:paraId="50FD3C06" w14:textId="77777777" w:rsidR="009C4464" w:rsidRPr="00577590" w:rsidRDefault="009C4464" w:rsidP="009C4464">
                      <w:pPr>
                        <w:rPr>
                          <w:rFonts w:ascii="Times New Roman" w:eastAsia="Times New Roman" w:hAnsi="Times New Roman" w:cs="Times New Roman"/>
                          <w:sz w:val="24"/>
                          <w:szCs w:val="24"/>
                        </w:rPr>
                      </w:pPr>
                    </w:p>
                    <w:p w14:paraId="1DF4A07A" w14:textId="77777777" w:rsidR="009C4464" w:rsidRPr="00577590" w:rsidRDefault="00000000" w:rsidP="009C4464">
                      <w:pPr>
                        <w:rPr>
                          <w:rFonts w:ascii="Times New Roman" w:eastAsia="Times New Roman" w:hAnsi="Times New Roman" w:cs="Times New Roman"/>
                          <w:sz w:val="24"/>
                          <w:szCs w:val="24"/>
                        </w:rPr>
                      </w:pPr>
                      <m:oMathPara>
                        <m:oMath>
                          <m:func>
                            <m:funcPr>
                              <m:ctrlPr>
                                <w:rPr>
                                  <w:rFonts w:ascii="Cambria Math" w:hAnsi="Cambria Math" w:cs="Times New Roman"/>
                                  <w:sz w:val="24"/>
                                  <w:szCs w:val="24"/>
                                </w:rPr>
                              </m:ctrlPr>
                            </m:funcPr>
                            <m:fName>
                              <m:r>
                                <m:rPr>
                                  <m:sty m:val="p"/>
                                </m:rPr>
                                <w:rPr>
                                  <w:rFonts w:ascii="Cambria Math" w:hAnsi="Cambria Math" w:cs="Times New Roman"/>
                                  <w:sz w:val="24"/>
                                  <w:szCs w:val="24"/>
                                </w:rPr>
                                <m:t>logit</m:t>
                              </m:r>
                            </m:fName>
                            <m:e>
                              <m:d>
                                <m:dPr>
                                  <m:ctrlPr>
                                    <w:rPr>
                                      <w:rFonts w:ascii="Cambria Math" w:hAnsi="Cambria Math" w:cs="Times New Roman"/>
                                      <w:i/>
                                      <w:iCs/>
                                      <w:sz w:val="24"/>
                                      <w:szCs w:val="24"/>
                                    </w:rPr>
                                  </m:ctrlPr>
                                </m:dPr>
                                <m:e>
                                  <m:sSub>
                                    <m:sSubPr>
                                      <m:ctrlPr>
                                        <w:rPr>
                                          <w:rFonts w:ascii="Cambria Math" w:hAnsi="Cambria Math" w:cs="Times New Roman"/>
                                          <w:i/>
                                          <w:iCs/>
                                          <w:sz w:val="24"/>
                                          <w:szCs w:val="24"/>
                                        </w:rPr>
                                      </m:ctrlPr>
                                    </m:sSubPr>
                                    <m:e>
                                      <m:r>
                                        <w:rPr>
                                          <w:rFonts w:ascii="Cambria Math" w:hAnsi="Cambria Math" w:cs="Times New Roman"/>
                                          <w:sz w:val="24"/>
                                          <w:szCs w:val="24"/>
                                        </w:rPr>
                                        <m:t>π</m:t>
                                      </m:r>
                                    </m:e>
                                    <m:sub>
                                      <m:r>
                                        <w:rPr>
                                          <w:rFonts w:ascii="Cambria Math" w:hAnsi="Cambria Math" w:cs="Times New Roman"/>
                                          <w:sz w:val="24"/>
                                          <w:szCs w:val="24"/>
                                        </w:rPr>
                                        <m:t>i</m:t>
                                      </m:r>
                                    </m:sub>
                                  </m:sSub>
                                </m:e>
                              </m:d>
                            </m:e>
                          </m:func>
                          <m:r>
                            <w:rPr>
                              <w:rFonts w:ascii="Cambria Math" w:hAnsi="Cambria Math" w:cs="Times New Roman"/>
                              <w:sz w:val="24"/>
                              <w:szCs w:val="24"/>
                            </w:rPr>
                            <m:t>=</m:t>
                          </m:r>
                          <m:f>
                            <m:fPr>
                              <m:ctrlPr>
                                <w:rPr>
                                  <w:rFonts w:ascii="Cambria Math" w:eastAsia="Times New Roman" w:hAnsi="Cambria Math" w:cs="Times New Roman"/>
                                  <w:sz w:val="24"/>
                                  <w:szCs w:val="24"/>
                                </w:rPr>
                              </m:ctrlPr>
                            </m:fPr>
                            <m:num>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rPr>
                                    <m:t>ln</m:t>
                                  </m:r>
                                </m:fName>
                                <m:e>
                                  <m:r>
                                    <w:rPr>
                                      <w:rFonts w:ascii="Cambria Math" w:eastAsia="Times New Roman"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π</m:t>
                                      </m:r>
                                    </m:e>
                                    <m:sub>
                                      <m:r>
                                        <w:rPr>
                                          <w:rFonts w:ascii="Cambria Math" w:hAnsi="Cambria Math" w:cs="Times New Roman"/>
                                          <w:sz w:val="24"/>
                                          <w:szCs w:val="24"/>
                                        </w:rPr>
                                        <m:t>i</m:t>
                                      </m:r>
                                    </m:sub>
                                  </m:sSub>
                                  <m:r>
                                    <w:rPr>
                                      <w:rFonts w:ascii="Cambria Math" w:hAnsi="Cambria Math" w:cs="Times New Roman"/>
                                      <w:sz w:val="24"/>
                                      <w:szCs w:val="24"/>
                                    </w:rPr>
                                    <m:t>)</m:t>
                                  </m:r>
                                </m:e>
                              </m:func>
                            </m:num>
                            <m:den>
                              <m:r>
                                <w:rPr>
                                  <w:rFonts w:ascii="Cambria Math" w:eastAsia="Times New Roman" w:hAnsi="Cambria Math" w:cs="Times New Roman"/>
                                  <w:sz w:val="24"/>
                                  <w:szCs w:val="24"/>
                                </w:rPr>
                                <m:t>1-</m:t>
                              </m:r>
                              <m:r>
                                <m:rPr>
                                  <m:sty m:val="p"/>
                                </m:rPr>
                                <w:rPr>
                                  <w:rFonts w:ascii="Cambria Math" w:eastAsia="Times New Roman" w:hAnsi="Cambria Math" w:cs="Times New Roman"/>
                                  <w:sz w:val="24"/>
                                  <w:szCs w:val="24"/>
                                </w:rPr>
                                <m:t>ln⁡</m:t>
                              </m:r>
                              <m:r>
                                <w:rPr>
                                  <w:rFonts w:ascii="Cambria Math" w:eastAsia="Times New Roman"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π</m:t>
                                  </m:r>
                                </m:e>
                                <m:sub>
                                  <m:r>
                                    <w:rPr>
                                      <w:rFonts w:ascii="Cambria Math" w:hAnsi="Cambria Math" w:cs="Times New Roman"/>
                                      <w:sz w:val="24"/>
                                      <w:szCs w:val="24"/>
                                    </w:rPr>
                                    <m:t>i</m:t>
                                  </m:r>
                                </m:sub>
                              </m:sSub>
                              <m:r>
                                <w:rPr>
                                  <w:rFonts w:ascii="Cambria Math" w:hAnsi="Cambria Math" w:cs="Times New Roman"/>
                                  <w:sz w:val="24"/>
                                  <w:szCs w:val="24"/>
                                </w:rPr>
                                <m:t>)</m:t>
                              </m:r>
                            </m:den>
                          </m:f>
                          <m:r>
                            <w:rPr>
                              <w:rFonts w:ascii="Cambria Math" w:hAnsi="Cambria Math" w:cs="Times New Roman"/>
                              <w:sz w:val="24"/>
                              <w:szCs w:val="24"/>
                            </w:rPr>
                            <m:t xml:space="preserve">= </m:t>
                          </m:r>
                          <m:sSubSup>
                            <m:sSubSupPr>
                              <m:ctrlPr>
                                <w:rPr>
                                  <w:rFonts w:ascii="Cambria Math" w:hAnsi="Cambria Math" w:cs="Times New Roman"/>
                                  <w:i/>
                                  <w:iCs/>
                                  <w:sz w:val="24"/>
                                  <w:szCs w:val="24"/>
                                </w:rPr>
                              </m:ctrlPr>
                            </m:sSubSupPr>
                            <m:e>
                              <m:r>
                                <m:rPr>
                                  <m:sty m:val="bi"/>
                                </m:rPr>
                                <w:rPr>
                                  <w:rFonts w:ascii="Cambria Math" w:hAnsi="Cambria Math" w:cs="Times New Roman"/>
                                  <w:sz w:val="24"/>
                                  <w:szCs w:val="24"/>
                                </w:rPr>
                                <m:t>βX</m:t>
                              </m:r>
                            </m:e>
                            <m:sub>
                              <m:r>
                                <w:rPr>
                                  <w:rFonts w:ascii="Cambria Math" w:hAnsi="Cambria Math" w:cs="Times New Roman"/>
                                  <w:sz w:val="24"/>
                                  <w:szCs w:val="24"/>
                                </w:rPr>
                                <m:t>i</m:t>
                              </m:r>
                            </m:sub>
                            <m:sup>
                              <m:r>
                                <w:rPr>
                                  <w:rFonts w:ascii="Cambria Math" w:hAnsi="Cambria Math" w:cs="Times New Roman"/>
                                  <w:sz w:val="24"/>
                                  <w:szCs w:val="24"/>
                                </w:rPr>
                                <m:t>T</m:t>
                              </m:r>
                            </m:sup>
                          </m:sSubSup>
                        </m:oMath>
                      </m:oMathPara>
                    </w:p>
                    <w:p w14:paraId="4CBD2A2F" w14:textId="77777777" w:rsidR="009C4464" w:rsidRPr="00577590" w:rsidRDefault="009C4464" w:rsidP="009C4464">
                      <w:pPr>
                        <w:rPr>
                          <w:rFonts w:ascii="Times New Roman" w:eastAsia="Times New Roman" w:hAnsi="Times New Roman" w:cs="Times New Roman"/>
                          <w:sz w:val="24"/>
                          <w:szCs w:val="24"/>
                        </w:rPr>
                      </w:pPr>
                    </w:p>
                    <w:p w14:paraId="100819F4" w14:textId="77777777" w:rsidR="009C4464" w:rsidRDefault="009C4464" w:rsidP="009C4464">
                      <w:pPr>
                        <w:jc w:val="both"/>
                        <w:rPr>
                          <w:rFonts w:ascii="Times New Roman" w:eastAsia="Times New Roman" w:hAnsi="Times New Roman" w:cs="Times New Roman"/>
                          <w:i/>
                          <w:sz w:val="24"/>
                          <w:szCs w:val="24"/>
                        </w:rPr>
                      </w:pPr>
                      <w:r w:rsidRPr="00577590">
                        <w:rPr>
                          <w:rFonts w:ascii="Times New Roman" w:eastAsia="Times New Roman" w:hAnsi="Times New Roman" w:cs="Times New Roman"/>
                          <w:sz w:val="24"/>
                          <w:szCs w:val="24"/>
                        </w:rPr>
                        <w:t xml:space="preserve">Where </w:t>
                      </w:r>
                      <m:oMath>
                        <m:sSub>
                          <m:sSubPr>
                            <m:ctrlPr>
                              <w:rPr>
                                <w:rFonts w:ascii="Cambria Math" w:hAnsi="Cambria Math" w:cs="Times New Roman"/>
                                <w:bCs/>
                                <w:i/>
                                <w:iCs/>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oMath>
                      <w:r w:rsidRPr="00577590">
                        <w:rPr>
                          <w:rFonts w:ascii="Times New Roman" w:eastAsia="Times New Roman" w:hAnsi="Times New Roman" w:cs="Times New Roman"/>
                          <w:sz w:val="24"/>
                          <w:szCs w:val="24"/>
                        </w:rPr>
                        <w:t xml:space="preserve"> is the observed outcome for unit </w:t>
                      </w:r>
                      <w:r w:rsidRPr="00577590">
                        <w:rPr>
                          <w:rFonts w:ascii="Times New Roman" w:eastAsia="Times New Roman" w:hAnsi="Times New Roman" w:cs="Times New Roman"/>
                          <w:i/>
                          <w:sz w:val="24"/>
                          <w:szCs w:val="24"/>
                        </w:rPr>
                        <w:t>i</w:t>
                      </w:r>
                      <w:r w:rsidRPr="00577590">
                        <w:rPr>
                          <w:rFonts w:ascii="Times New Roman" w:eastAsia="Times New Roman" w:hAnsi="Times New Roman" w:cs="Times New Roman"/>
                          <w:sz w:val="24"/>
                          <w:szCs w:val="24"/>
                        </w:rPr>
                        <w:t xml:space="preserve">, assumed to follow a binomial distribution with probability </w:t>
                      </w:r>
                      <m:oMath>
                        <m:sSub>
                          <m:sSubPr>
                            <m:ctrlPr>
                              <w:rPr>
                                <w:rFonts w:ascii="Cambria Math" w:hAnsi="Cambria Math" w:cs="Times New Roman"/>
                                <w:i/>
                                <w:iCs/>
                                <w:sz w:val="24"/>
                                <w:szCs w:val="24"/>
                              </w:rPr>
                            </m:ctrlPr>
                          </m:sSubPr>
                          <m:e>
                            <m:r>
                              <w:rPr>
                                <w:rFonts w:ascii="Cambria Math" w:hAnsi="Cambria Math" w:cs="Times New Roman"/>
                                <w:sz w:val="24"/>
                                <w:szCs w:val="24"/>
                              </w:rPr>
                              <m:t xml:space="preserve"> π</m:t>
                            </m:r>
                          </m:e>
                          <m:sub>
                            <m:r>
                              <w:rPr>
                                <w:rFonts w:ascii="Cambria Math" w:hAnsi="Cambria Math" w:cs="Times New Roman"/>
                                <w:sz w:val="24"/>
                                <w:szCs w:val="24"/>
                              </w:rPr>
                              <m:t>i</m:t>
                            </m:r>
                          </m:sub>
                        </m:sSub>
                      </m:oMath>
                      <w:r w:rsidRPr="00577590">
                        <w:rPr>
                          <w:rFonts w:ascii="Times New Roman" w:eastAsia="Times New Roman" w:hAnsi="Times New Roman" w:cs="Times New Roman"/>
                          <w:iCs/>
                          <w:sz w:val="24"/>
                          <w:szCs w:val="24"/>
                        </w:rPr>
                        <w:t xml:space="preserve"> and </w:t>
                      </w:r>
                      <m:oMath>
                        <m:sSub>
                          <m:sSubPr>
                            <m:ctrlPr>
                              <w:rPr>
                                <w:rFonts w:ascii="Cambria Math" w:hAnsi="Cambria Math" w:cs="Times New Roman"/>
                                <w:i/>
                                <w:iCs/>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oMath>
                      <w:r w:rsidRPr="00577590">
                        <w:rPr>
                          <w:rFonts w:ascii="Times New Roman" w:eastAsia="Times New Roman" w:hAnsi="Times New Roman" w:cs="Times New Roman"/>
                          <w:iCs/>
                          <w:sz w:val="24"/>
                          <w:szCs w:val="24"/>
                        </w:rPr>
                        <w:t xml:space="preserve"> is the number of observations in unit </w:t>
                      </w:r>
                      <w:r w:rsidRPr="00577590">
                        <w:rPr>
                          <w:rFonts w:ascii="Times New Roman" w:eastAsia="Times New Roman" w:hAnsi="Times New Roman" w:cs="Times New Roman"/>
                          <w:i/>
                          <w:sz w:val="24"/>
                          <w:szCs w:val="24"/>
                        </w:rPr>
                        <w:t xml:space="preserve">i. </w:t>
                      </w:r>
                      <w:r w:rsidRPr="00577590">
                        <w:rPr>
                          <w:rFonts w:ascii="Times New Roman" w:eastAsia="Times New Roman" w:hAnsi="Times New Roman" w:cs="Times New Roman"/>
                          <w:sz w:val="24"/>
                          <w:szCs w:val="24"/>
                        </w:rPr>
                        <w:t xml:space="preserve">For individual-level models </w:t>
                      </w:r>
                      <m:oMath>
                        <m:sSub>
                          <m:sSubPr>
                            <m:ctrlPr>
                              <w:rPr>
                                <w:rFonts w:ascii="Cambria Math" w:hAnsi="Cambria Math" w:cs="Times New Roman"/>
                                <w:i/>
                                <w:iCs/>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r>
                          <w:rPr>
                            <w:rFonts w:ascii="Cambria Math" w:hAnsi="Cambria Math" w:cs="Times New Roman"/>
                            <w:sz w:val="24"/>
                            <w:szCs w:val="24"/>
                          </w:rPr>
                          <m:t>=1</m:t>
                        </m:r>
                      </m:oMath>
                      <w:r>
                        <w:rPr>
                          <w:rFonts w:ascii="Times New Roman" w:eastAsia="Times New Roman" w:hAnsi="Times New Roman" w:cs="Times New Roman"/>
                          <w:i/>
                          <w:sz w:val="24"/>
                          <w:szCs w:val="24"/>
                        </w:rPr>
                        <w:t xml:space="preserve">. </w:t>
                      </w:r>
                    </w:p>
                    <w:p w14:paraId="21D8670E" w14:textId="77777777" w:rsidR="009C4464" w:rsidRPr="005B54C7" w:rsidRDefault="009C4464" w:rsidP="009C4464">
                      <w:pPr>
                        <w:jc w:val="both"/>
                        <w:rPr>
                          <w:rFonts w:ascii="Times New Roman" w:eastAsia="Times New Roman" w:hAnsi="Times New Roman" w:cs="Times New Roman"/>
                          <w:iCs/>
                          <w:sz w:val="24"/>
                          <w:szCs w:val="24"/>
                        </w:rPr>
                      </w:pPr>
                      <w:r w:rsidRPr="00577590">
                        <w:rPr>
                          <w:rFonts w:ascii="Times New Roman" w:eastAsia="Times New Roman" w:hAnsi="Times New Roman" w:cs="Times New Roman"/>
                          <w:sz w:val="24"/>
                          <w:szCs w:val="24"/>
                        </w:rPr>
                        <w:t xml:space="preserve">The log-odds of the expected probability of a positive outcome is assumed to be linearly related to a vector of explanatory variables </w:t>
                      </w:r>
                      <m:oMath>
                        <m:r>
                          <m:rPr>
                            <m:sty m:val="bi"/>
                          </m:rPr>
                          <w:rPr>
                            <w:rFonts w:ascii="Cambria Math" w:hAnsi="Cambria Math" w:cs="Times New Roman"/>
                            <w:sz w:val="24"/>
                            <w:szCs w:val="24"/>
                          </w:rPr>
                          <m:t>X</m:t>
                        </m:r>
                      </m:oMath>
                      <w:r w:rsidRPr="00577590">
                        <w:rPr>
                          <w:rFonts w:ascii="Times New Roman" w:eastAsia="Times New Roman" w:hAnsi="Times New Roman" w:cs="Times New Roman"/>
                          <w:b/>
                          <w:sz w:val="24"/>
                          <w:szCs w:val="24"/>
                        </w:rPr>
                        <w:t xml:space="preserve"> </w:t>
                      </w:r>
                      <w:r w:rsidRPr="00577590">
                        <w:rPr>
                          <w:rFonts w:ascii="Times New Roman" w:eastAsia="Times New Roman" w:hAnsi="Times New Roman" w:cs="Times New Roman"/>
                          <w:sz w:val="24"/>
                          <w:szCs w:val="24"/>
                        </w:rPr>
                        <w:t xml:space="preserve">with regression coefficients </w:t>
                      </w:r>
                      <m:oMath>
                        <m:r>
                          <m:rPr>
                            <m:sty m:val="bi"/>
                          </m:rPr>
                          <w:rPr>
                            <w:rFonts w:ascii="Cambria Math" w:hAnsi="Cambria Math" w:cs="Times New Roman"/>
                            <w:sz w:val="24"/>
                            <w:szCs w:val="24"/>
                          </w:rPr>
                          <m:t>β</m:t>
                        </m:r>
                      </m:oMath>
                      <w:r w:rsidRPr="00577590">
                        <w:rPr>
                          <w:rFonts w:ascii="Times New Roman" w:eastAsia="Times New Roman" w:hAnsi="Times New Roman" w:cs="Times New Roman"/>
                          <w:b/>
                          <w:sz w:val="24"/>
                          <w:szCs w:val="24"/>
                        </w:rPr>
                        <w:t>.</w:t>
                      </w:r>
                    </w:p>
                    <w:p w14:paraId="358B72A4" w14:textId="77777777" w:rsidR="009C4464" w:rsidRDefault="009C4464"/>
                  </w:txbxContent>
                </v:textbox>
              </v:shape>
            </w:pict>
          </mc:Fallback>
        </mc:AlternateContent>
      </w:r>
    </w:p>
    <w:p w14:paraId="743237A8" w14:textId="77777777" w:rsidR="009C4464" w:rsidRDefault="009C4464" w:rsidP="009C4464">
      <w:pPr>
        <w:rPr>
          <w:rFonts w:ascii="Times New Roman" w:eastAsia="Times New Roman" w:hAnsi="Times New Roman" w:cs="Times New Roman"/>
          <w:sz w:val="24"/>
          <w:szCs w:val="24"/>
        </w:rPr>
      </w:pPr>
    </w:p>
    <w:p w14:paraId="368EBBBF" w14:textId="77777777" w:rsidR="009C4464" w:rsidRPr="00577590" w:rsidRDefault="009C4464" w:rsidP="009C4464">
      <w:pPr>
        <w:rPr>
          <w:rFonts w:ascii="Times New Roman" w:eastAsia="Times New Roman" w:hAnsi="Times New Roman" w:cs="Times New Roman"/>
          <w:sz w:val="24"/>
          <w:szCs w:val="24"/>
        </w:rPr>
      </w:pPr>
    </w:p>
    <w:p w14:paraId="6CAE0E5E" w14:textId="0156EEF3" w:rsidR="009C4464" w:rsidRDefault="009C4464" w:rsidP="00E70E39">
      <w:pPr>
        <w:spacing w:after="0" w:line="360" w:lineRule="auto"/>
        <w:jc w:val="both"/>
        <w:rPr>
          <w:rFonts w:ascii="Times New Roman" w:hAnsi="Times New Roman" w:cs="Times New Roman"/>
          <w:sz w:val="24"/>
          <w:szCs w:val="24"/>
          <w:lang w:val="en-US"/>
        </w:rPr>
      </w:pPr>
    </w:p>
    <w:p w14:paraId="1F2D1492" w14:textId="77777777" w:rsidR="009C4464" w:rsidRDefault="009C4464" w:rsidP="00E70E39">
      <w:pPr>
        <w:spacing w:after="0" w:line="360" w:lineRule="auto"/>
        <w:jc w:val="both"/>
        <w:rPr>
          <w:rFonts w:ascii="Times New Roman" w:hAnsi="Times New Roman" w:cs="Times New Roman"/>
          <w:sz w:val="24"/>
          <w:szCs w:val="24"/>
          <w:lang w:val="en-US"/>
        </w:rPr>
      </w:pPr>
    </w:p>
    <w:p w14:paraId="62C7792A" w14:textId="77777777" w:rsidR="005B54C7" w:rsidRPr="00577590" w:rsidRDefault="005B54C7" w:rsidP="00E70E39">
      <w:pPr>
        <w:spacing w:after="0" w:line="360" w:lineRule="auto"/>
        <w:jc w:val="both"/>
        <w:rPr>
          <w:rFonts w:ascii="Times New Roman" w:hAnsi="Times New Roman" w:cs="Times New Roman"/>
          <w:sz w:val="24"/>
          <w:szCs w:val="24"/>
          <w:lang w:val="en-US"/>
        </w:rPr>
      </w:pPr>
    </w:p>
    <w:p w14:paraId="53FB0A1C" w14:textId="77777777" w:rsidR="009C4464" w:rsidRDefault="009C4464" w:rsidP="00E70E39">
      <w:pPr>
        <w:spacing w:after="0" w:line="360" w:lineRule="auto"/>
        <w:jc w:val="both"/>
        <w:rPr>
          <w:rFonts w:ascii="Times New Roman" w:hAnsi="Times New Roman" w:cs="Times New Roman"/>
          <w:sz w:val="24"/>
          <w:szCs w:val="24"/>
          <w:lang w:val="en-US"/>
        </w:rPr>
      </w:pPr>
    </w:p>
    <w:p w14:paraId="386BCDC2" w14:textId="77777777" w:rsidR="009C4464" w:rsidRDefault="009C4464" w:rsidP="00E70E39">
      <w:pPr>
        <w:spacing w:after="0" w:line="360" w:lineRule="auto"/>
        <w:jc w:val="both"/>
        <w:rPr>
          <w:rFonts w:ascii="Times New Roman" w:hAnsi="Times New Roman" w:cs="Times New Roman"/>
          <w:sz w:val="24"/>
          <w:szCs w:val="24"/>
          <w:lang w:val="en-US"/>
        </w:rPr>
      </w:pPr>
    </w:p>
    <w:p w14:paraId="0614003A" w14:textId="77777777" w:rsidR="009C4464" w:rsidRDefault="009C4464" w:rsidP="00E70E39">
      <w:pPr>
        <w:spacing w:after="0" w:line="360" w:lineRule="auto"/>
        <w:jc w:val="both"/>
        <w:rPr>
          <w:rFonts w:ascii="Times New Roman" w:hAnsi="Times New Roman" w:cs="Times New Roman"/>
          <w:sz w:val="24"/>
          <w:szCs w:val="24"/>
          <w:lang w:val="en-US"/>
        </w:rPr>
      </w:pPr>
    </w:p>
    <w:p w14:paraId="26A7353A" w14:textId="77777777" w:rsidR="009C4464" w:rsidRDefault="009C4464" w:rsidP="00E70E39">
      <w:pPr>
        <w:spacing w:after="0" w:line="360" w:lineRule="auto"/>
        <w:jc w:val="both"/>
        <w:rPr>
          <w:rFonts w:ascii="Times New Roman" w:hAnsi="Times New Roman" w:cs="Times New Roman"/>
          <w:sz w:val="24"/>
          <w:szCs w:val="24"/>
          <w:lang w:val="en-US"/>
        </w:rPr>
      </w:pPr>
    </w:p>
    <w:p w14:paraId="3B4654C9" w14:textId="77777777" w:rsidR="009C4464" w:rsidRDefault="009C4464" w:rsidP="00E70E39">
      <w:pPr>
        <w:spacing w:after="0" w:line="360" w:lineRule="auto"/>
        <w:jc w:val="both"/>
        <w:rPr>
          <w:rFonts w:ascii="Times New Roman" w:hAnsi="Times New Roman" w:cs="Times New Roman"/>
          <w:sz w:val="24"/>
          <w:szCs w:val="24"/>
          <w:lang w:val="en-US"/>
        </w:rPr>
      </w:pPr>
    </w:p>
    <w:p w14:paraId="7D48D06B" w14:textId="77777777" w:rsidR="009C4464" w:rsidRDefault="009C4464" w:rsidP="00E70E39">
      <w:pPr>
        <w:spacing w:after="0" w:line="360" w:lineRule="auto"/>
        <w:jc w:val="both"/>
        <w:rPr>
          <w:rFonts w:ascii="Times New Roman" w:hAnsi="Times New Roman" w:cs="Times New Roman"/>
          <w:sz w:val="24"/>
          <w:szCs w:val="24"/>
          <w:lang w:val="en-US"/>
        </w:rPr>
      </w:pPr>
    </w:p>
    <w:p w14:paraId="04B5CAC8" w14:textId="142F7FDC" w:rsidR="00577590" w:rsidRPr="00577590" w:rsidRDefault="00577590" w:rsidP="00E70E39">
      <w:pPr>
        <w:spacing w:after="0" w:line="360" w:lineRule="auto"/>
        <w:jc w:val="both"/>
        <w:rPr>
          <w:rFonts w:ascii="Times New Roman" w:hAnsi="Times New Roman" w:cs="Times New Roman"/>
          <w:sz w:val="24"/>
          <w:szCs w:val="24"/>
          <w:lang w:val="en-US"/>
        </w:rPr>
      </w:pPr>
      <w:r w:rsidRPr="00577590">
        <w:rPr>
          <w:rFonts w:ascii="Times New Roman" w:hAnsi="Times New Roman" w:cs="Times New Roman"/>
          <w:sz w:val="24"/>
          <w:szCs w:val="24"/>
          <w:lang w:val="en-US"/>
        </w:rPr>
        <w:t xml:space="preserve">Key modelling steps outlined below. </w:t>
      </w:r>
    </w:p>
    <w:p w14:paraId="13595762" w14:textId="77777777" w:rsidR="00646914" w:rsidRDefault="00646914" w:rsidP="00E70E39">
      <w:pPr>
        <w:spacing w:after="0" w:line="360" w:lineRule="auto"/>
        <w:jc w:val="both"/>
        <w:rPr>
          <w:rFonts w:ascii="Times New Roman" w:hAnsi="Times New Roman" w:cs="Times New Roman"/>
          <w:sz w:val="24"/>
          <w:szCs w:val="24"/>
          <w:lang w:val="en-US"/>
        </w:rPr>
      </w:pPr>
    </w:p>
    <w:p w14:paraId="02076C7D" w14:textId="77777777" w:rsidR="00646914" w:rsidRPr="00646914" w:rsidRDefault="00646914" w:rsidP="00646914">
      <w:pPr>
        <w:pStyle w:val="Heading3"/>
        <w:rPr>
          <w:rFonts w:cs="Times New Roman"/>
        </w:rPr>
      </w:pPr>
      <w:bookmarkStart w:id="0" w:name="_Toc99109193"/>
      <w:bookmarkStart w:id="1" w:name="_Toc107493001"/>
      <w:r w:rsidRPr="00646914">
        <w:rPr>
          <w:rFonts w:cs="Times New Roman"/>
        </w:rPr>
        <w:t>Step 1: Self-harm prevalence estimates</w:t>
      </w:r>
      <w:bookmarkEnd w:id="0"/>
      <w:bookmarkEnd w:id="1"/>
    </w:p>
    <w:p w14:paraId="71D9A38A" w14:textId="77777777" w:rsidR="00646914" w:rsidRPr="002939A8" w:rsidRDefault="00646914" w:rsidP="00646914">
      <w:pPr>
        <w:tabs>
          <w:tab w:val="left" w:pos="3769"/>
        </w:tabs>
        <w:spacing w:after="0" w:line="360" w:lineRule="auto"/>
        <w:jc w:val="both"/>
        <w:rPr>
          <w:rFonts w:ascii="Times New Roman" w:hAnsi="Times New Roman" w:cs="Times New Roman"/>
          <w:sz w:val="24"/>
          <w:szCs w:val="24"/>
        </w:rPr>
      </w:pPr>
      <w:r w:rsidRPr="002939A8">
        <w:rPr>
          <w:rFonts w:ascii="Times New Roman" w:hAnsi="Times New Roman" w:cs="Times New Roman"/>
          <w:sz w:val="24"/>
          <w:szCs w:val="24"/>
        </w:rPr>
        <w:t xml:space="preserve">Estimated prevalence of self-harm was derived using the “survey” suite of commands in the Stata statistical software package (version 15). Data were “survey set”, defining strata, Statistical Area Level 2 (SA2) as the primary sampling unit, and clustering of households within SA1s, and SA1s within SA2s. Individual level sampling weights were specified using the “YouthWeightC” variable in the YMM survey. </w:t>
      </w:r>
    </w:p>
    <w:p w14:paraId="4563E4D0" w14:textId="77777777" w:rsidR="00646914" w:rsidRPr="002939A8" w:rsidRDefault="00646914" w:rsidP="00646914">
      <w:pPr>
        <w:tabs>
          <w:tab w:val="left" w:pos="3769"/>
        </w:tabs>
        <w:spacing w:after="0" w:line="360" w:lineRule="auto"/>
        <w:jc w:val="both"/>
        <w:rPr>
          <w:rFonts w:ascii="Times New Roman" w:hAnsi="Times New Roman" w:cs="Times New Roman"/>
          <w:sz w:val="24"/>
          <w:szCs w:val="24"/>
        </w:rPr>
      </w:pPr>
    </w:p>
    <w:p w14:paraId="244DDDC0" w14:textId="77777777" w:rsidR="00646914" w:rsidRPr="002939A8" w:rsidRDefault="00646914" w:rsidP="00646914">
      <w:pPr>
        <w:tabs>
          <w:tab w:val="left" w:pos="3769"/>
        </w:tabs>
        <w:spacing w:after="0" w:line="360" w:lineRule="auto"/>
        <w:jc w:val="both"/>
        <w:rPr>
          <w:rFonts w:ascii="Times New Roman" w:hAnsi="Times New Roman" w:cs="Times New Roman"/>
          <w:sz w:val="24"/>
          <w:szCs w:val="24"/>
        </w:rPr>
      </w:pPr>
      <w:r w:rsidRPr="002939A8">
        <w:rPr>
          <w:rFonts w:ascii="Times New Roman" w:hAnsi="Times New Roman" w:cs="Times New Roman"/>
          <w:sz w:val="24"/>
          <w:szCs w:val="24"/>
        </w:rPr>
        <w:lastRenderedPageBreak/>
        <w:t xml:space="preserve">For each subpopulation of interest, prevalence estimates were obtained. Direct estimates with exact 95% confidence intervals were presented overall, by age group and sex, and by state and stratum. Crude prevalence estimates for SA1 were used in modelling to derive synthetic estimates. </w:t>
      </w:r>
    </w:p>
    <w:p w14:paraId="2BE0A794" w14:textId="77777777" w:rsidR="00646914" w:rsidRPr="00646914" w:rsidRDefault="00646914" w:rsidP="00646914">
      <w:pPr>
        <w:tabs>
          <w:tab w:val="left" w:pos="3769"/>
        </w:tabs>
        <w:spacing w:after="0" w:line="360" w:lineRule="auto"/>
        <w:jc w:val="both"/>
        <w:rPr>
          <w:rFonts w:ascii="Arial" w:hAnsi="Arial" w:cs="Arial"/>
        </w:rPr>
      </w:pPr>
    </w:p>
    <w:p w14:paraId="53AAE382" w14:textId="77777777" w:rsidR="00646914" w:rsidRPr="00646914" w:rsidRDefault="00646914" w:rsidP="00646914">
      <w:pPr>
        <w:pStyle w:val="Heading3"/>
        <w:rPr>
          <w:rFonts w:cs="Times New Roman"/>
        </w:rPr>
      </w:pPr>
      <w:bookmarkStart w:id="2" w:name="_Toc99109194"/>
      <w:bookmarkStart w:id="3" w:name="_Toc107493002"/>
      <w:r w:rsidRPr="00646914">
        <w:rPr>
          <w:rFonts w:cs="Times New Roman"/>
        </w:rPr>
        <w:t>Step 2: Associations between variables of interest and self-harm</w:t>
      </w:r>
      <w:bookmarkEnd w:id="2"/>
      <w:bookmarkEnd w:id="3"/>
    </w:p>
    <w:p w14:paraId="0DA1E382" w14:textId="34336B0E" w:rsidR="00646914" w:rsidRDefault="00646914" w:rsidP="00646914">
      <w:pPr>
        <w:tabs>
          <w:tab w:val="left" w:pos="3769"/>
        </w:tabs>
        <w:spacing w:after="0" w:line="360" w:lineRule="auto"/>
        <w:jc w:val="both"/>
        <w:rPr>
          <w:rFonts w:ascii="Times New Roman" w:hAnsi="Times New Roman" w:cs="Times New Roman"/>
          <w:sz w:val="24"/>
          <w:szCs w:val="24"/>
        </w:rPr>
      </w:pPr>
      <w:r w:rsidRPr="00646914">
        <w:rPr>
          <w:rFonts w:ascii="Times New Roman" w:hAnsi="Times New Roman" w:cs="Times New Roman"/>
          <w:sz w:val="24"/>
          <w:szCs w:val="24"/>
        </w:rPr>
        <w:t xml:space="preserve">Associations with outcomes of interest were assessed using all available data. Associations were firstly assessed in person-level (or individual-level) models before building area-level models. Exposure variables of interest as predictors of self-harm were identified a priori, based on a literature review and expert knowledge. A causal diagram was constructed in which postulated inter-relationships between variables were depicted graphically. </w:t>
      </w:r>
    </w:p>
    <w:p w14:paraId="5A7F14E8" w14:textId="77777777" w:rsidR="009C4464" w:rsidRPr="00646914" w:rsidRDefault="009C4464" w:rsidP="00646914">
      <w:pPr>
        <w:tabs>
          <w:tab w:val="left" w:pos="3769"/>
        </w:tabs>
        <w:spacing w:after="0" w:line="360" w:lineRule="auto"/>
        <w:jc w:val="both"/>
        <w:rPr>
          <w:rFonts w:ascii="Times New Roman" w:hAnsi="Times New Roman" w:cs="Times New Roman"/>
          <w:sz w:val="24"/>
          <w:szCs w:val="24"/>
        </w:rPr>
      </w:pPr>
    </w:p>
    <w:p w14:paraId="694785A5" w14:textId="71E26900" w:rsidR="009C4464" w:rsidRDefault="00646914" w:rsidP="009C4464">
      <w:pPr>
        <w:pStyle w:val="Heading3"/>
        <w:rPr>
          <w:rFonts w:cs="Times New Roman"/>
        </w:rPr>
      </w:pPr>
      <w:bookmarkStart w:id="4" w:name="_Toc99109195"/>
      <w:bookmarkStart w:id="5" w:name="_Toc107493003"/>
      <w:r w:rsidRPr="00646914">
        <w:rPr>
          <w:rFonts w:cs="Times New Roman"/>
        </w:rPr>
        <w:t>Step 3: Individual-level self-harm model</w:t>
      </w:r>
      <w:bookmarkEnd w:id="4"/>
      <w:bookmarkEnd w:id="5"/>
    </w:p>
    <w:p w14:paraId="52625FD3" w14:textId="7E785450" w:rsidR="00646914" w:rsidRPr="00646914" w:rsidRDefault="00646914" w:rsidP="00646914">
      <w:pPr>
        <w:spacing w:after="0" w:line="360" w:lineRule="auto"/>
        <w:jc w:val="both"/>
        <w:rPr>
          <w:rFonts w:ascii="Times New Roman" w:hAnsi="Times New Roman" w:cs="Times New Roman"/>
          <w:sz w:val="24"/>
          <w:szCs w:val="24"/>
        </w:rPr>
      </w:pPr>
      <w:r w:rsidRPr="00646914">
        <w:rPr>
          <w:rFonts w:ascii="Times New Roman" w:hAnsi="Times New Roman" w:cs="Times New Roman"/>
          <w:sz w:val="24"/>
          <w:szCs w:val="24"/>
        </w:rPr>
        <w:t xml:space="preserve">Eligible variables with p-values &lt;.20 in univariable models were entered and tested in a multivariable model (where individual-level self-harm was the outcome variable). A stepwise backwards selection process was applied whereby the variable with the highest p-values was removed at each step until all remaining variables were significant at the 5% level. Excluded variables were re-entered and tested in the final model. Akaike’s Information Criteria (AIC) was used to select the best-fitting final base model. The discriminatory ability of the model was assessed using the area under the receiver operator characteristic or ROC curve (also referred to as ‘AUC’), and goodness of fit was assessed using Hosmer-Lemeshow’s goodness of fit test and inspecting the distribution of observed to predicted values by probability decile. Variables derived from auxiliary data were entered and tested in the final model, but none of the candidate variables improved model fit or discriminatory ability. Estimates for the final individual-level self-harm model were obtained after fitting the logistic regression model within </w:t>
      </w:r>
      <w:r w:rsidR="00577590">
        <w:rPr>
          <w:rFonts w:ascii="Times New Roman" w:hAnsi="Times New Roman" w:cs="Times New Roman"/>
          <w:sz w:val="24"/>
          <w:szCs w:val="24"/>
        </w:rPr>
        <w:t>Stata’s</w:t>
      </w:r>
      <w:r w:rsidRPr="00646914">
        <w:rPr>
          <w:rFonts w:ascii="Times New Roman" w:hAnsi="Times New Roman" w:cs="Times New Roman"/>
          <w:sz w:val="24"/>
          <w:szCs w:val="24"/>
        </w:rPr>
        <w:t xml:space="preserve"> “survey” </w:t>
      </w:r>
      <w:r w:rsidR="00577590">
        <w:rPr>
          <w:rFonts w:ascii="Times New Roman" w:hAnsi="Times New Roman" w:cs="Times New Roman"/>
          <w:sz w:val="24"/>
          <w:szCs w:val="24"/>
        </w:rPr>
        <w:t xml:space="preserve">suit of </w:t>
      </w:r>
      <w:r w:rsidRPr="00646914">
        <w:rPr>
          <w:rFonts w:ascii="Times New Roman" w:hAnsi="Times New Roman" w:cs="Times New Roman"/>
          <w:sz w:val="24"/>
          <w:szCs w:val="24"/>
        </w:rPr>
        <w:t xml:space="preserve">commands, to ensure that standard errors were adjusted </w:t>
      </w:r>
      <w:r w:rsidR="00577590">
        <w:rPr>
          <w:rFonts w:ascii="Times New Roman" w:hAnsi="Times New Roman" w:cs="Times New Roman"/>
          <w:sz w:val="24"/>
          <w:szCs w:val="24"/>
        </w:rPr>
        <w:t xml:space="preserve">to account for the complex </w:t>
      </w:r>
      <w:r w:rsidRPr="00646914">
        <w:rPr>
          <w:rFonts w:ascii="Times New Roman" w:hAnsi="Times New Roman" w:cs="Times New Roman"/>
          <w:sz w:val="24"/>
          <w:szCs w:val="24"/>
        </w:rPr>
        <w:t xml:space="preserve">survey design. </w:t>
      </w:r>
    </w:p>
    <w:p w14:paraId="0A3937D8" w14:textId="230314AB" w:rsidR="00646914" w:rsidRPr="00646914" w:rsidRDefault="00646914" w:rsidP="00646914">
      <w:pPr>
        <w:tabs>
          <w:tab w:val="left" w:pos="3769"/>
        </w:tabs>
        <w:spacing w:after="0" w:line="360" w:lineRule="auto"/>
        <w:jc w:val="both"/>
        <w:rPr>
          <w:rFonts w:ascii="Times New Roman" w:hAnsi="Times New Roman" w:cs="Times New Roman"/>
          <w:sz w:val="24"/>
          <w:szCs w:val="24"/>
        </w:rPr>
      </w:pPr>
    </w:p>
    <w:p w14:paraId="63AD7B1C" w14:textId="77777777" w:rsidR="00646914" w:rsidRPr="00646914" w:rsidRDefault="00646914" w:rsidP="00646914">
      <w:pPr>
        <w:pStyle w:val="Heading3"/>
        <w:rPr>
          <w:rFonts w:cs="Times New Roman"/>
        </w:rPr>
      </w:pPr>
      <w:bookmarkStart w:id="6" w:name="_Toc99109196"/>
      <w:bookmarkStart w:id="7" w:name="_Toc107493004"/>
      <w:r w:rsidRPr="00646914">
        <w:rPr>
          <w:rFonts w:cs="Times New Roman"/>
        </w:rPr>
        <w:t>Step 4: Individual-level self-harm model using only auxiliary data</w:t>
      </w:r>
      <w:bookmarkEnd w:id="6"/>
      <w:bookmarkEnd w:id="7"/>
    </w:p>
    <w:p w14:paraId="1158D337" w14:textId="11A96127" w:rsidR="00646914" w:rsidRPr="00646914" w:rsidRDefault="00646914" w:rsidP="00646914">
      <w:pPr>
        <w:spacing w:after="0" w:line="360" w:lineRule="auto"/>
        <w:jc w:val="both"/>
        <w:rPr>
          <w:rFonts w:ascii="Times New Roman" w:hAnsi="Times New Roman" w:cs="Times New Roman"/>
          <w:sz w:val="24"/>
          <w:szCs w:val="24"/>
        </w:rPr>
      </w:pPr>
      <w:r w:rsidRPr="00646914">
        <w:rPr>
          <w:rFonts w:ascii="Times New Roman" w:hAnsi="Times New Roman" w:cs="Times New Roman"/>
          <w:sz w:val="24"/>
          <w:szCs w:val="24"/>
        </w:rPr>
        <w:t>To better understand possible relationships with area-level data, logistic regression modelling was repeated using only auxiliary Census data (where individual-level self-harm was the outcome variable)</w:t>
      </w:r>
      <w:r>
        <w:rPr>
          <w:rFonts w:ascii="Times New Roman" w:hAnsi="Times New Roman" w:cs="Times New Roman"/>
          <w:sz w:val="24"/>
          <w:szCs w:val="24"/>
        </w:rPr>
        <w:t xml:space="preserve">. </w:t>
      </w:r>
      <w:r w:rsidRPr="00646914">
        <w:rPr>
          <w:rFonts w:ascii="Times New Roman" w:hAnsi="Times New Roman" w:cs="Times New Roman"/>
          <w:sz w:val="24"/>
          <w:szCs w:val="24"/>
        </w:rPr>
        <w:t xml:space="preserve">Based on the individual-level model, variables of particular interest were those that would capture area-level associations (e.g., SA1-level proportion of Aboriginal and/or Torres Strait Islander peoples and area-level/SA1-level self-harm). Because individual </w:t>
      </w:r>
      <w:r w:rsidRPr="00646914">
        <w:rPr>
          <w:rFonts w:ascii="Times New Roman" w:hAnsi="Times New Roman" w:cs="Times New Roman"/>
          <w:sz w:val="24"/>
          <w:szCs w:val="24"/>
        </w:rPr>
        <w:lastRenderedPageBreak/>
        <w:t>variables measuring psychological status (distress, depression) were the strongest predictors of self-harm and there was no auxiliary data available to capture this directly, the synthetic estimate of SA1-level prevalence of internalising (or depression/anxiety) disorders (derived from previous analyses of the YMM youth dat</w:t>
      </w:r>
      <w:r>
        <w:rPr>
          <w:rFonts w:ascii="Times New Roman" w:hAnsi="Times New Roman" w:cs="Times New Roman"/>
          <w:sz w:val="24"/>
          <w:szCs w:val="24"/>
        </w:rPr>
        <w:t>a</w:t>
      </w:r>
      <w:r w:rsidRPr="00646914">
        <w:rPr>
          <w:rFonts w:ascii="Times New Roman" w:hAnsi="Times New Roman" w:cs="Times New Roman"/>
          <w:sz w:val="24"/>
          <w:szCs w:val="24"/>
        </w:rPr>
        <w:t xml:space="preserve">; see </w:t>
      </w:r>
      <w:r>
        <w:rPr>
          <w:rFonts w:ascii="Times New Roman" w:hAnsi="Times New Roman" w:cs="Times New Roman"/>
          <w:sz w:val="24"/>
          <w:szCs w:val="24"/>
        </w:rPr>
        <w:t>Appendix 4</w:t>
      </w:r>
      <w:r w:rsidRPr="00646914">
        <w:rPr>
          <w:rFonts w:ascii="Times New Roman" w:hAnsi="Times New Roman" w:cs="Times New Roman"/>
          <w:sz w:val="24"/>
          <w:szCs w:val="24"/>
        </w:rPr>
        <w:t>) was tested in this model. This variable was categorised into quintiles and explored further after collapsing the middle three categories.</w:t>
      </w:r>
    </w:p>
    <w:p w14:paraId="17ABA9FE" w14:textId="77777777" w:rsidR="00646914" w:rsidRPr="00646914" w:rsidRDefault="00646914" w:rsidP="00646914">
      <w:pPr>
        <w:spacing w:after="0" w:line="360" w:lineRule="auto"/>
        <w:jc w:val="both"/>
        <w:rPr>
          <w:rFonts w:ascii="Times New Roman" w:hAnsi="Times New Roman" w:cs="Times New Roman"/>
          <w:sz w:val="24"/>
          <w:szCs w:val="24"/>
        </w:rPr>
      </w:pPr>
    </w:p>
    <w:p w14:paraId="2A2B4215" w14:textId="13F4FD95" w:rsidR="009C4464" w:rsidRDefault="00646914" w:rsidP="00646914">
      <w:pPr>
        <w:spacing w:after="0" w:line="360" w:lineRule="auto"/>
        <w:jc w:val="both"/>
        <w:rPr>
          <w:rFonts w:ascii="Times New Roman" w:hAnsi="Times New Roman" w:cs="Times New Roman"/>
          <w:sz w:val="24"/>
          <w:szCs w:val="24"/>
        </w:rPr>
      </w:pPr>
      <w:r w:rsidRPr="00646914">
        <w:rPr>
          <w:rFonts w:ascii="Times New Roman" w:hAnsi="Times New Roman" w:cs="Times New Roman"/>
          <w:sz w:val="24"/>
          <w:szCs w:val="24"/>
        </w:rPr>
        <w:t xml:space="preserve">Associations with auxiliary variables were assessed for both continuous and categorical versions of variables of interest. For most continuous variables, the assumption of linearity of the logit was violated, so categorical variables were used in final modelling.   </w:t>
      </w:r>
    </w:p>
    <w:p w14:paraId="4398B27A" w14:textId="77777777" w:rsidR="00577590" w:rsidRPr="00646914" w:rsidRDefault="00577590" w:rsidP="00646914">
      <w:pPr>
        <w:spacing w:after="0" w:line="360" w:lineRule="auto"/>
        <w:jc w:val="both"/>
        <w:rPr>
          <w:rFonts w:ascii="Times New Roman" w:hAnsi="Times New Roman" w:cs="Times New Roman"/>
          <w:sz w:val="24"/>
          <w:szCs w:val="24"/>
        </w:rPr>
      </w:pPr>
    </w:p>
    <w:p w14:paraId="2C70E0AD" w14:textId="77777777" w:rsidR="00646914" w:rsidRPr="00646914" w:rsidRDefault="00646914" w:rsidP="00646914">
      <w:pPr>
        <w:pStyle w:val="Heading3"/>
        <w:rPr>
          <w:rFonts w:cs="Times New Roman"/>
        </w:rPr>
      </w:pPr>
      <w:bookmarkStart w:id="8" w:name="_Toc99109197"/>
      <w:bookmarkStart w:id="9" w:name="_Toc107493005"/>
      <w:r w:rsidRPr="00646914">
        <w:rPr>
          <w:rFonts w:cs="Times New Roman"/>
        </w:rPr>
        <w:t>Step 5: Exploring variability and clustering</w:t>
      </w:r>
      <w:bookmarkEnd w:id="8"/>
      <w:bookmarkEnd w:id="9"/>
      <w:r w:rsidRPr="00646914">
        <w:rPr>
          <w:rFonts w:cs="Times New Roman"/>
        </w:rPr>
        <w:t xml:space="preserve"> </w:t>
      </w:r>
    </w:p>
    <w:p w14:paraId="205E7B50" w14:textId="16623606" w:rsidR="00646914" w:rsidRPr="002939A8" w:rsidRDefault="00646914" w:rsidP="002939A8">
      <w:pPr>
        <w:spacing w:after="0" w:line="360" w:lineRule="auto"/>
        <w:jc w:val="both"/>
        <w:rPr>
          <w:rFonts w:ascii="Times New Roman" w:hAnsi="Times New Roman" w:cs="Times New Roman"/>
          <w:sz w:val="24"/>
          <w:szCs w:val="24"/>
        </w:rPr>
      </w:pPr>
      <w:r w:rsidRPr="00646914">
        <w:rPr>
          <w:rFonts w:ascii="Times New Roman" w:hAnsi="Times New Roman" w:cs="Times New Roman"/>
          <w:sz w:val="24"/>
          <w:szCs w:val="24"/>
        </w:rPr>
        <w:t xml:space="preserve">The data had a multilevel structure with households nested within SA1s, nested within SA2s, nested within SA3s, nested within Primary Health Networks (PHNs) within states. Clustering of the outcome measure (self-harm) was explored by comparing models fitted with/without random effects. The intraclass correlation coefficient (ICC) is a measure of clustering. This was assessed in null models (i.e., no covariates), and in the final models with covariates. Clustering was assessed in both the individual-level and area-level models. </w:t>
      </w:r>
    </w:p>
    <w:p w14:paraId="14B32FD4" w14:textId="77777777" w:rsidR="00646914" w:rsidRDefault="00646914" w:rsidP="00E70E39">
      <w:pPr>
        <w:spacing w:after="0" w:line="360" w:lineRule="auto"/>
        <w:jc w:val="both"/>
        <w:rPr>
          <w:rFonts w:ascii="Times New Roman" w:hAnsi="Times New Roman" w:cs="Times New Roman"/>
          <w:sz w:val="24"/>
          <w:szCs w:val="24"/>
          <w:lang w:val="en-US"/>
        </w:rPr>
      </w:pPr>
    </w:p>
    <w:p w14:paraId="10276961" w14:textId="77777777" w:rsidR="009C4464" w:rsidRDefault="009C4464" w:rsidP="00E70E39">
      <w:pPr>
        <w:spacing w:after="0" w:line="360" w:lineRule="auto"/>
        <w:jc w:val="both"/>
        <w:rPr>
          <w:rFonts w:ascii="Times New Roman" w:hAnsi="Times New Roman" w:cs="Times New Roman"/>
          <w:sz w:val="24"/>
          <w:szCs w:val="24"/>
          <w:lang w:val="en-US"/>
        </w:rPr>
      </w:pPr>
    </w:p>
    <w:p w14:paraId="38E4B849" w14:textId="671AD64B" w:rsidR="00E70E39" w:rsidRPr="00A7514F" w:rsidRDefault="00646914" w:rsidP="00E70E39">
      <w:pPr>
        <w:spacing w:after="0" w:line="360" w:lineRule="auto"/>
        <w:jc w:val="both"/>
        <w:rPr>
          <w:rFonts w:ascii="Times New Roman" w:hAnsi="Times New Roman" w:cs="Times New Roman"/>
          <w:sz w:val="24"/>
          <w:szCs w:val="24"/>
          <w:lang w:val="en-US"/>
        </w:rPr>
      </w:pPr>
      <w:r w:rsidRPr="002939A8">
        <w:rPr>
          <w:rFonts w:ascii="Times New Roman" w:hAnsi="Times New Roman" w:cs="Times New Roman"/>
          <w:b/>
          <w:bCs/>
          <w:sz w:val="24"/>
          <w:szCs w:val="24"/>
          <w:lang w:val="en-US"/>
        </w:rPr>
        <w:t xml:space="preserve">Synthetic Estimation Steps </w:t>
      </w:r>
    </w:p>
    <w:p w14:paraId="6E675AEA" w14:textId="6CF3D44F" w:rsidR="009C4464" w:rsidRDefault="00E70E39" w:rsidP="00E70E39">
      <w:pPr>
        <w:spacing w:after="0" w:line="360" w:lineRule="auto"/>
        <w:jc w:val="both"/>
        <w:rPr>
          <w:rFonts w:ascii="Times New Roman" w:hAnsi="Times New Roman" w:cs="Times New Roman"/>
          <w:sz w:val="24"/>
          <w:szCs w:val="24"/>
        </w:rPr>
      </w:pPr>
      <w:r w:rsidRPr="00A7514F" w:rsidDel="00557B31">
        <w:rPr>
          <w:rFonts w:ascii="Times New Roman" w:hAnsi="Times New Roman" w:cs="Times New Roman"/>
          <w:sz w:val="24"/>
          <w:szCs w:val="24"/>
        </w:rPr>
        <w:t>Small area estimation (SAE) techniques utilise</w:t>
      </w:r>
      <w:r w:rsidRPr="00A7514F">
        <w:rPr>
          <w:rFonts w:ascii="Times New Roman" w:hAnsi="Times New Roman" w:cs="Times New Roman"/>
          <w:sz w:val="24"/>
          <w:szCs w:val="24"/>
        </w:rPr>
        <w:t xml:space="preserve"> statistical modelling to produce </w:t>
      </w:r>
      <w:r w:rsidRPr="00A7514F" w:rsidDel="00557B31">
        <w:rPr>
          <w:rFonts w:ascii="Times New Roman" w:hAnsi="Times New Roman" w:cs="Times New Roman"/>
          <w:sz w:val="24"/>
          <w:szCs w:val="24"/>
        </w:rPr>
        <w:t>model-based “synthetic” estimates</w:t>
      </w:r>
      <w:r w:rsidRPr="00A7514F">
        <w:rPr>
          <w:rFonts w:ascii="Times New Roman" w:hAnsi="Times New Roman" w:cs="Times New Roman"/>
          <w:sz w:val="24"/>
          <w:szCs w:val="24"/>
        </w:rPr>
        <w:t xml:space="preserve"> for both in-sample and out-of-sample areas</w:t>
      </w:r>
      <w:r>
        <w:rPr>
          <w:rFonts w:ascii="Times New Roman" w:hAnsi="Times New Roman" w:cs="Times New Roman"/>
          <w:sz w:val="24"/>
          <w:szCs w:val="24"/>
        </w:rPr>
        <w:t xml:space="preserve"> (Rao &amp; Molina, 2015)</w:t>
      </w:r>
      <w:r w:rsidRPr="00A7514F">
        <w:rPr>
          <w:rFonts w:ascii="Times New Roman" w:hAnsi="Times New Roman" w:cs="Times New Roman"/>
          <w:sz w:val="24"/>
          <w:szCs w:val="24"/>
        </w:rPr>
        <w:t xml:space="preserve">. </w:t>
      </w:r>
      <w:r w:rsidR="000D6800" w:rsidRPr="002939A8">
        <w:rPr>
          <w:rFonts w:ascii="Times New Roman" w:hAnsi="Times New Roman" w:cs="Times New Roman"/>
          <w:sz w:val="24"/>
          <w:szCs w:val="24"/>
        </w:rPr>
        <w:t xml:space="preserve">The number of </w:t>
      </w:r>
      <w:r w:rsidR="000D6800">
        <w:rPr>
          <w:rFonts w:ascii="Times New Roman" w:hAnsi="Times New Roman" w:cs="Times New Roman"/>
          <w:sz w:val="24"/>
          <w:szCs w:val="24"/>
        </w:rPr>
        <w:t xml:space="preserve">YMM </w:t>
      </w:r>
      <w:r w:rsidR="000D6800" w:rsidRPr="002939A8">
        <w:rPr>
          <w:rFonts w:ascii="Times New Roman" w:hAnsi="Times New Roman" w:cs="Times New Roman"/>
          <w:sz w:val="24"/>
          <w:szCs w:val="24"/>
        </w:rPr>
        <w:t>survey respondents per SA1 across Australia was small (only ~1% SA1s were sampled in the YMM survey). Hence, any “design-based” estimate of self-harm prevalence would be highly imprecise and of limited use. “Model-based” estimates borrow strength and are useful to provide prevalence estimates (either unadjusted or adjusted for covariates). SA</w:t>
      </w:r>
      <w:r w:rsidR="000D6800">
        <w:rPr>
          <w:rFonts w:ascii="Times New Roman" w:hAnsi="Times New Roman" w:cs="Times New Roman"/>
          <w:sz w:val="24"/>
          <w:szCs w:val="24"/>
        </w:rPr>
        <w:t>E</w:t>
      </w:r>
      <w:r w:rsidR="000D6800" w:rsidRPr="002939A8">
        <w:rPr>
          <w:rFonts w:ascii="Times New Roman" w:hAnsi="Times New Roman" w:cs="Times New Roman"/>
          <w:sz w:val="24"/>
          <w:szCs w:val="24"/>
        </w:rPr>
        <w:t xml:space="preserve"> techniques utilise out-of-sample predictions to derive model-based “synthetic” estimates for areas with no survey respondents. They utilise measures that are common to both the measured population and the unmeasured population. </w:t>
      </w:r>
    </w:p>
    <w:p w14:paraId="4132BA28" w14:textId="77777777" w:rsidR="009C4464" w:rsidRDefault="009C4464" w:rsidP="00E70E39">
      <w:pPr>
        <w:spacing w:after="0" w:line="360" w:lineRule="auto"/>
        <w:jc w:val="both"/>
        <w:rPr>
          <w:rFonts w:ascii="Times New Roman" w:hAnsi="Times New Roman" w:cs="Times New Roman"/>
          <w:sz w:val="24"/>
          <w:szCs w:val="24"/>
        </w:rPr>
      </w:pPr>
    </w:p>
    <w:p w14:paraId="6F030A9C" w14:textId="4D000CB8" w:rsidR="00E70E39" w:rsidRPr="00961F3A" w:rsidRDefault="00E70E39" w:rsidP="009C4464">
      <w:pPr>
        <w:spacing w:after="0" w:line="360" w:lineRule="auto"/>
        <w:jc w:val="both"/>
        <w:rPr>
          <w:rFonts w:ascii="Times New Roman" w:hAnsi="Times New Roman" w:cs="Times New Roman"/>
          <w:sz w:val="24"/>
          <w:szCs w:val="24"/>
        </w:rPr>
      </w:pPr>
      <w:r w:rsidRPr="00A7514F" w:rsidDel="00557B31">
        <w:rPr>
          <w:rFonts w:ascii="Times New Roman" w:hAnsi="Times New Roman" w:cs="Times New Roman"/>
          <w:sz w:val="24"/>
          <w:szCs w:val="24"/>
        </w:rPr>
        <w:t xml:space="preserve">Auxiliary Census data from the ABS were available </w:t>
      </w:r>
      <w:r w:rsidRPr="00A7514F">
        <w:rPr>
          <w:rFonts w:ascii="Times New Roman" w:hAnsi="Times New Roman" w:cs="Times New Roman"/>
          <w:sz w:val="24"/>
          <w:szCs w:val="24"/>
        </w:rPr>
        <w:t xml:space="preserve">for all </w:t>
      </w:r>
      <w:r w:rsidRPr="00A7514F" w:rsidDel="00557B31">
        <w:rPr>
          <w:rFonts w:ascii="Times New Roman" w:hAnsi="Times New Roman" w:cs="Times New Roman"/>
          <w:sz w:val="24"/>
          <w:szCs w:val="24"/>
        </w:rPr>
        <w:t>SA1</w:t>
      </w:r>
      <w:r w:rsidRPr="00A7514F">
        <w:rPr>
          <w:rFonts w:ascii="Times New Roman" w:hAnsi="Times New Roman" w:cs="Times New Roman"/>
          <w:sz w:val="24"/>
          <w:szCs w:val="24"/>
        </w:rPr>
        <w:t>s for 2011 and 2016</w:t>
      </w:r>
      <w:r w:rsidRPr="00A7514F" w:rsidDel="00557B31">
        <w:rPr>
          <w:rFonts w:ascii="Times New Roman" w:hAnsi="Times New Roman" w:cs="Times New Roman"/>
          <w:sz w:val="24"/>
          <w:szCs w:val="24"/>
        </w:rPr>
        <w:t xml:space="preserve">. </w:t>
      </w:r>
      <w:r w:rsidR="009C4464" w:rsidRPr="009C4464">
        <w:rPr>
          <w:rFonts w:ascii="Times New Roman" w:hAnsi="Times New Roman" w:cs="Times New Roman"/>
          <w:sz w:val="24"/>
          <w:szCs w:val="24"/>
        </w:rPr>
        <w:t>Because we lose</w:t>
      </w:r>
      <w:r w:rsidR="009C4464">
        <w:rPr>
          <w:rFonts w:ascii="Times New Roman" w:hAnsi="Times New Roman" w:cs="Times New Roman"/>
          <w:sz w:val="24"/>
          <w:szCs w:val="24"/>
        </w:rPr>
        <w:t xml:space="preserve"> </w:t>
      </w:r>
      <w:r w:rsidR="009C4464" w:rsidRPr="009C4464">
        <w:rPr>
          <w:rFonts w:ascii="Times New Roman" w:hAnsi="Times New Roman" w:cs="Times New Roman"/>
          <w:sz w:val="24"/>
          <w:szCs w:val="24"/>
        </w:rPr>
        <w:t>information by aggregating data, modelling was performed using SA1-level ABS data.</w:t>
      </w:r>
      <w:r w:rsidR="009C4464">
        <w:rPr>
          <w:rFonts w:ascii="Times New Roman" w:hAnsi="Times New Roman" w:cs="Times New Roman"/>
          <w:sz w:val="24"/>
          <w:szCs w:val="24"/>
        </w:rPr>
        <w:t xml:space="preserve"> </w:t>
      </w:r>
      <w:r w:rsidR="009C4464" w:rsidRPr="009C4464">
        <w:rPr>
          <w:rFonts w:ascii="Times New Roman" w:hAnsi="Times New Roman" w:cs="Times New Roman"/>
          <w:sz w:val="24"/>
          <w:szCs w:val="24"/>
        </w:rPr>
        <w:t>Hierarchical generalised linear models make efficient use of available data by borrowing</w:t>
      </w:r>
      <w:r w:rsidR="009C4464">
        <w:rPr>
          <w:rFonts w:ascii="Times New Roman" w:hAnsi="Times New Roman" w:cs="Times New Roman"/>
          <w:sz w:val="24"/>
          <w:szCs w:val="24"/>
        </w:rPr>
        <w:t xml:space="preserve"> </w:t>
      </w:r>
      <w:r w:rsidR="009C4464" w:rsidRPr="009C4464">
        <w:rPr>
          <w:rFonts w:ascii="Times New Roman" w:hAnsi="Times New Roman" w:cs="Times New Roman"/>
          <w:sz w:val="24"/>
          <w:szCs w:val="24"/>
        </w:rPr>
        <w:lastRenderedPageBreak/>
        <w:t>strength across areas, providing more stable estimates. Area-level predicted probabilities are</w:t>
      </w:r>
      <w:r w:rsidR="009C4464">
        <w:rPr>
          <w:rFonts w:ascii="Times New Roman" w:hAnsi="Times New Roman" w:cs="Times New Roman"/>
          <w:sz w:val="24"/>
          <w:szCs w:val="24"/>
        </w:rPr>
        <w:t xml:space="preserve"> </w:t>
      </w:r>
      <w:r w:rsidR="009C4464" w:rsidRPr="009C4464">
        <w:rPr>
          <w:rFonts w:ascii="Times New Roman" w:hAnsi="Times New Roman" w:cs="Times New Roman"/>
          <w:sz w:val="24"/>
          <w:szCs w:val="24"/>
        </w:rPr>
        <w:t>shrunken (smoothed) towards the overall mean. We would expect model-based fixed effect</w:t>
      </w:r>
      <w:r w:rsidR="009C4464">
        <w:rPr>
          <w:rFonts w:ascii="Times New Roman" w:hAnsi="Times New Roman" w:cs="Times New Roman"/>
          <w:sz w:val="24"/>
          <w:szCs w:val="24"/>
        </w:rPr>
        <w:t xml:space="preserve"> </w:t>
      </w:r>
      <w:r w:rsidR="009C4464" w:rsidRPr="009C4464">
        <w:rPr>
          <w:rFonts w:ascii="Times New Roman" w:hAnsi="Times New Roman" w:cs="Times New Roman"/>
          <w:sz w:val="24"/>
          <w:szCs w:val="24"/>
        </w:rPr>
        <w:t>estimates to be over-dispersed, while estimates from multilevel models to be shrunken relative</w:t>
      </w:r>
      <w:r w:rsidR="009C4464">
        <w:rPr>
          <w:rFonts w:ascii="Times New Roman" w:hAnsi="Times New Roman" w:cs="Times New Roman"/>
          <w:sz w:val="24"/>
          <w:szCs w:val="24"/>
        </w:rPr>
        <w:t xml:space="preserve"> </w:t>
      </w:r>
      <w:r w:rsidR="009C4464" w:rsidRPr="009C4464">
        <w:rPr>
          <w:rFonts w:ascii="Times New Roman" w:hAnsi="Times New Roman" w:cs="Times New Roman"/>
          <w:sz w:val="24"/>
          <w:szCs w:val="24"/>
        </w:rPr>
        <w:t>to the empirical distribution. Hence, smoothed prevalence estimates obtained from multilevel</w:t>
      </w:r>
      <w:r w:rsidR="009C4464">
        <w:rPr>
          <w:rFonts w:ascii="Times New Roman" w:hAnsi="Times New Roman" w:cs="Times New Roman"/>
          <w:sz w:val="24"/>
          <w:szCs w:val="24"/>
        </w:rPr>
        <w:t xml:space="preserve"> </w:t>
      </w:r>
      <w:r w:rsidR="009C4464" w:rsidRPr="009C4464">
        <w:rPr>
          <w:rFonts w:ascii="Times New Roman" w:hAnsi="Times New Roman" w:cs="Times New Roman"/>
          <w:sz w:val="24"/>
          <w:szCs w:val="24"/>
        </w:rPr>
        <w:t>modelling were benchmarked using direct prevalence estimates derived from the YMM</w:t>
      </w:r>
      <w:r w:rsidR="00EE70AB">
        <w:rPr>
          <w:rFonts w:ascii="Times New Roman" w:hAnsi="Times New Roman" w:cs="Times New Roman"/>
          <w:sz w:val="24"/>
          <w:szCs w:val="24"/>
        </w:rPr>
        <w:t xml:space="preserve"> </w:t>
      </w:r>
      <w:r w:rsidR="009C4464" w:rsidRPr="009C4464">
        <w:rPr>
          <w:rFonts w:ascii="Times New Roman" w:hAnsi="Times New Roman" w:cs="Times New Roman"/>
          <w:sz w:val="24"/>
          <w:szCs w:val="24"/>
        </w:rPr>
        <w:t>survey.</w:t>
      </w:r>
      <w:r w:rsidR="009C4464" w:rsidRPr="009C4464">
        <w:rPr>
          <w:rFonts w:ascii="Times New Roman" w:hAnsi="Times New Roman" w:cs="Times New Roman"/>
          <w:sz w:val="24"/>
          <w:szCs w:val="24"/>
          <w:lang w:val="en-US"/>
        </w:rPr>
        <w:t xml:space="preserve"> </w:t>
      </w:r>
      <w:r w:rsidRPr="00A7514F">
        <w:rPr>
          <w:rFonts w:ascii="Times New Roman" w:hAnsi="Times New Roman" w:cs="Times New Roman"/>
          <w:sz w:val="24"/>
          <w:szCs w:val="24"/>
          <w:lang w:val="en-US"/>
        </w:rPr>
        <w:t>We used the estimated population of 12-17 year olds based on the 2011 census with the YMM direct estimates to derive the SA1-level estimated count for each outcome in the sampled areas for use in modelling; the inflated sample size was 24,322. We acknowledge that this will result in overly precise estimates for model coefficients; post hoc adjusted 95% confidence intervals were produced by multiplying the standard errors by three (~√(24322/2578)</w:t>
      </w:r>
      <w:r w:rsidR="00966BE8">
        <w:rPr>
          <w:rFonts w:ascii="Times New Roman" w:hAnsi="Times New Roman" w:cs="Times New Roman"/>
          <w:sz w:val="24"/>
          <w:szCs w:val="24"/>
          <w:lang w:val="en-US"/>
        </w:rPr>
        <w:t>)</w:t>
      </w:r>
      <w:r w:rsidRPr="00A7514F">
        <w:rPr>
          <w:rFonts w:ascii="Times New Roman" w:hAnsi="Times New Roman" w:cs="Times New Roman"/>
          <w:sz w:val="24"/>
          <w:szCs w:val="24"/>
          <w:lang w:val="en-US"/>
        </w:rPr>
        <w:t xml:space="preserve">. </w:t>
      </w:r>
    </w:p>
    <w:p w14:paraId="373FA105" w14:textId="77777777" w:rsidR="00646914" w:rsidRDefault="00646914" w:rsidP="00E70E39">
      <w:pPr>
        <w:spacing w:after="0" w:line="360" w:lineRule="auto"/>
        <w:jc w:val="both"/>
        <w:rPr>
          <w:rFonts w:ascii="Times New Roman" w:hAnsi="Times New Roman" w:cs="Times New Roman"/>
          <w:sz w:val="24"/>
          <w:szCs w:val="24"/>
          <w:lang w:val="en-US"/>
        </w:rPr>
      </w:pPr>
    </w:p>
    <w:p w14:paraId="3F866677" w14:textId="1A0658FF" w:rsidR="00577590" w:rsidRDefault="00577590" w:rsidP="00E70E3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Key steps for small area estimation are outlined below. </w:t>
      </w:r>
    </w:p>
    <w:p w14:paraId="11F1C494" w14:textId="77777777" w:rsidR="00577590" w:rsidRDefault="00577590" w:rsidP="00E70E39">
      <w:pPr>
        <w:spacing w:after="0" w:line="360" w:lineRule="auto"/>
        <w:jc w:val="both"/>
        <w:rPr>
          <w:rFonts w:ascii="Times New Roman" w:hAnsi="Times New Roman" w:cs="Times New Roman"/>
          <w:sz w:val="24"/>
          <w:szCs w:val="24"/>
          <w:lang w:val="en-US"/>
        </w:rPr>
      </w:pPr>
    </w:p>
    <w:p w14:paraId="1C094702" w14:textId="111B0977" w:rsidR="000D6800" w:rsidRPr="009C4464" w:rsidRDefault="00646914" w:rsidP="009C4464">
      <w:pPr>
        <w:rPr>
          <w:rFonts w:ascii="Times New Roman" w:hAnsi="Times New Roman" w:cs="Times New Roman"/>
          <w:b/>
          <w:bCs/>
          <w:i/>
          <w:iCs/>
          <w:sz w:val="24"/>
          <w:szCs w:val="24"/>
        </w:rPr>
      </w:pPr>
      <w:r w:rsidRPr="002939A8">
        <w:rPr>
          <w:rFonts w:ascii="Times New Roman" w:hAnsi="Times New Roman" w:cs="Times New Roman"/>
          <w:b/>
          <w:bCs/>
          <w:i/>
          <w:iCs/>
          <w:sz w:val="24"/>
          <w:szCs w:val="24"/>
        </w:rPr>
        <w:t>Step 1: Small area estimation (SAE): Area-level model using only auxiliary data and derivation of synthetic self-harm estimates</w:t>
      </w:r>
    </w:p>
    <w:p w14:paraId="6DC4CFFC" w14:textId="033B7BCE" w:rsidR="002939A8" w:rsidRPr="002939A8" w:rsidRDefault="002939A8" w:rsidP="002939A8">
      <w:pPr>
        <w:spacing w:after="0" w:line="360" w:lineRule="auto"/>
        <w:jc w:val="both"/>
        <w:rPr>
          <w:rFonts w:ascii="Times New Roman" w:hAnsi="Times New Roman" w:cs="Times New Roman"/>
          <w:sz w:val="24"/>
          <w:szCs w:val="24"/>
        </w:rPr>
      </w:pPr>
      <w:r w:rsidRPr="002939A8">
        <w:rPr>
          <w:rFonts w:ascii="Times New Roman" w:hAnsi="Times New Roman" w:cs="Times New Roman"/>
          <w:sz w:val="24"/>
          <w:szCs w:val="24"/>
        </w:rPr>
        <w:t xml:space="preserve">Prevalence estimates of each outcome of interest were obtained for different hierarchical levels (SA1 [Statistical Area level 1], SA2, SA3, SA4, PHN [Primary Health Network], state) from the original individual-level survey data, taking account of the complex sampling scheme. From the estimated point prevalence and number of 12-17 year olds in each SA1 (from the 2011 Census), a crude estimated count for the number of 12-17 year-olds with each outcome for each SA1 was derived for each SA1 with survey data. The effects of auxiliary variables and clustering of prevalence at different hierarchical levels was explored by fitting mixed-effects logistic regression models.  </w:t>
      </w:r>
    </w:p>
    <w:p w14:paraId="326BFB9F" w14:textId="77777777" w:rsidR="002939A8" w:rsidRPr="002939A8" w:rsidRDefault="002939A8" w:rsidP="002939A8">
      <w:pPr>
        <w:spacing w:after="0" w:line="360" w:lineRule="auto"/>
        <w:jc w:val="both"/>
        <w:rPr>
          <w:rFonts w:ascii="Times New Roman" w:hAnsi="Times New Roman" w:cs="Times New Roman"/>
          <w:sz w:val="24"/>
          <w:szCs w:val="24"/>
        </w:rPr>
      </w:pPr>
    </w:p>
    <w:p w14:paraId="0C7B9256" w14:textId="15469547" w:rsidR="00FC188E" w:rsidRDefault="002939A8" w:rsidP="005B54C7">
      <w:pPr>
        <w:spacing w:after="0" w:line="360" w:lineRule="auto"/>
        <w:jc w:val="both"/>
        <w:rPr>
          <w:rFonts w:ascii="Times New Roman" w:eastAsia="Times New Roman" w:hAnsi="Times New Roman" w:cs="Times New Roman"/>
          <w:sz w:val="24"/>
          <w:szCs w:val="24"/>
        </w:rPr>
      </w:pPr>
      <w:r w:rsidRPr="002939A8">
        <w:rPr>
          <w:rFonts w:ascii="Times New Roman" w:hAnsi="Times New Roman" w:cs="Times New Roman"/>
          <w:sz w:val="24"/>
          <w:szCs w:val="24"/>
        </w:rPr>
        <w:t>Predictor</w:t>
      </w:r>
      <w:r w:rsidR="00FC188E">
        <w:rPr>
          <w:rFonts w:ascii="Times New Roman" w:hAnsi="Times New Roman" w:cs="Times New Roman"/>
          <w:sz w:val="24"/>
          <w:szCs w:val="24"/>
        </w:rPr>
        <w:t xml:space="preserve"> </w:t>
      </w:r>
      <w:r w:rsidRPr="002939A8">
        <w:rPr>
          <w:rFonts w:ascii="Times New Roman" w:hAnsi="Times New Roman" w:cs="Times New Roman"/>
          <w:sz w:val="24"/>
          <w:szCs w:val="24"/>
        </w:rPr>
        <w:t>variables of interest (for SAE modelling) were identified based on literature review, expert opinion, and observed associations with individual-level self-harm in the YMM survey data</w:t>
      </w:r>
      <w:r w:rsidR="00583339">
        <w:rPr>
          <w:rFonts w:ascii="Times New Roman" w:hAnsi="Times New Roman" w:cs="Times New Roman"/>
          <w:sz w:val="24"/>
          <w:szCs w:val="24"/>
        </w:rPr>
        <w:t xml:space="preserve"> (see previous modelling steps</w:t>
      </w:r>
      <w:r w:rsidR="00FC188E">
        <w:rPr>
          <w:rFonts w:ascii="Times New Roman" w:hAnsi="Times New Roman" w:cs="Times New Roman"/>
          <w:sz w:val="24"/>
          <w:szCs w:val="24"/>
        </w:rPr>
        <w:t xml:space="preserve"> </w:t>
      </w:r>
      <w:r w:rsidR="009C4464">
        <w:rPr>
          <w:rFonts w:ascii="Times New Roman" w:hAnsi="Times New Roman" w:cs="Times New Roman"/>
          <w:sz w:val="24"/>
          <w:szCs w:val="24"/>
        </w:rPr>
        <w:t xml:space="preserve">with auxiliary variables </w:t>
      </w:r>
      <w:r w:rsidR="00FC188E">
        <w:rPr>
          <w:rFonts w:ascii="Times New Roman" w:hAnsi="Times New Roman" w:cs="Times New Roman"/>
          <w:sz w:val="24"/>
          <w:szCs w:val="24"/>
        </w:rPr>
        <w:t>on pg. 2-4</w:t>
      </w:r>
      <w:r w:rsidR="00583339">
        <w:rPr>
          <w:rFonts w:ascii="Times New Roman" w:hAnsi="Times New Roman" w:cs="Times New Roman"/>
          <w:sz w:val="24"/>
          <w:szCs w:val="24"/>
        </w:rPr>
        <w:t>)</w:t>
      </w:r>
      <w:r w:rsidRPr="002939A8">
        <w:rPr>
          <w:rFonts w:ascii="Times New Roman" w:hAnsi="Times New Roman" w:cs="Times New Roman"/>
          <w:sz w:val="24"/>
          <w:szCs w:val="24"/>
        </w:rPr>
        <w:t>. Correlations between</w:t>
      </w:r>
      <w:r w:rsidR="009C4464">
        <w:rPr>
          <w:rFonts w:ascii="Times New Roman" w:hAnsi="Times New Roman" w:cs="Times New Roman"/>
          <w:sz w:val="24"/>
          <w:szCs w:val="24"/>
        </w:rPr>
        <w:t xml:space="preserve"> candidate</w:t>
      </w:r>
      <w:r w:rsidR="00FC188E">
        <w:rPr>
          <w:rFonts w:ascii="Times New Roman" w:hAnsi="Times New Roman" w:cs="Times New Roman"/>
          <w:sz w:val="24"/>
          <w:szCs w:val="24"/>
        </w:rPr>
        <w:t xml:space="preserve"> </w:t>
      </w:r>
      <w:r w:rsidRPr="002939A8">
        <w:rPr>
          <w:rFonts w:ascii="Times New Roman" w:hAnsi="Times New Roman" w:cs="Times New Roman"/>
          <w:sz w:val="24"/>
          <w:szCs w:val="24"/>
        </w:rPr>
        <w:t xml:space="preserve">variables were assessed and noted. Separate multivariable models were built for each outcome (primary variable: self-harm irrespective of intent; secondary variables: non-suicidal self-harm, suicide attempts, suicidality, ideation/plans), using one candidate variable from each domain. Candidate variables were screened in univariable logistic regression models. For each domain showing an association with the outcome, one candidate variable was selected (based on quality of the variable and strength of association) and entered into a multivariable model. Variables were dropped sequentially based on the highest p-value, before being re-entered and tested.  Consistency of associations were checked in models with different random-effect level </w:t>
      </w:r>
      <w:r w:rsidRPr="002939A8">
        <w:rPr>
          <w:rFonts w:ascii="Times New Roman" w:hAnsi="Times New Roman" w:cs="Times New Roman"/>
          <w:sz w:val="24"/>
          <w:szCs w:val="24"/>
        </w:rPr>
        <w:lastRenderedPageBreak/>
        <w:t>specification (none, SA3, SA4, PHN). After considering the distribution of observed data (number of observations per cluster), clustering across different hierarchical levels (ICC), and agreement between aggregated model-based predictions and survey-based estimates</w:t>
      </w:r>
      <w:r w:rsidR="005B54C7">
        <w:rPr>
          <w:rFonts w:ascii="Times New Roman" w:hAnsi="Times New Roman" w:cs="Times New Roman"/>
          <w:sz w:val="24"/>
          <w:szCs w:val="24"/>
        </w:rPr>
        <w:t>.</w:t>
      </w:r>
      <w:r w:rsidRPr="002939A8">
        <w:rPr>
          <w:rFonts w:ascii="Times New Roman" w:hAnsi="Times New Roman" w:cs="Times New Roman"/>
          <w:sz w:val="24"/>
          <w:szCs w:val="24"/>
        </w:rPr>
        <w:t xml:space="preserve"> Final models were selected to include predictors with consistent effects across model specification and using model fit criteria (deviance). Two-level grouped logistic regression models were specified using SA1 as the unit of analysis and a random intercept for PHN. </w:t>
      </w:r>
      <w:r w:rsidR="00EE70AB">
        <w:rPr>
          <w:rFonts w:ascii="Times New Roman" w:eastAsia="Times New Roman" w:hAnsi="Times New Roman" w:cs="Times New Roman"/>
          <w:sz w:val="24"/>
          <w:szCs w:val="24"/>
        </w:rPr>
        <w:t xml:space="preserve">The final model specifications and equations are outlined below: </w:t>
      </w:r>
    </w:p>
    <w:p w14:paraId="47AD854F" w14:textId="69D72C29" w:rsidR="00583339" w:rsidRDefault="00583339" w:rsidP="005B54C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44256" behindDoc="0" locked="0" layoutInCell="1" allowOverlap="1" wp14:anchorId="6755D0AE" wp14:editId="0CB570FA">
                <wp:simplePos x="0" y="0"/>
                <wp:positionH relativeFrom="column">
                  <wp:posOffset>-85060</wp:posOffset>
                </wp:positionH>
                <wp:positionV relativeFrom="paragraph">
                  <wp:posOffset>232321</wp:posOffset>
                </wp:positionV>
                <wp:extent cx="5954233" cy="5018568"/>
                <wp:effectExtent l="0" t="0" r="15240" b="10795"/>
                <wp:wrapNone/>
                <wp:docPr id="1820766935" name="Text Box 1"/>
                <wp:cNvGraphicFramePr/>
                <a:graphic xmlns:a="http://schemas.openxmlformats.org/drawingml/2006/main">
                  <a:graphicData uri="http://schemas.microsoft.com/office/word/2010/wordprocessingShape">
                    <wps:wsp>
                      <wps:cNvSpPr txBox="1"/>
                      <wps:spPr>
                        <a:xfrm>
                          <a:off x="0" y="0"/>
                          <a:ext cx="5954233" cy="5018568"/>
                        </a:xfrm>
                        <a:prstGeom prst="rect">
                          <a:avLst/>
                        </a:prstGeom>
                        <a:solidFill>
                          <a:schemeClr val="lt1"/>
                        </a:solidFill>
                        <a:ln w="6350">
                          <a:solidFill>
                            <a:prstClr val="black"/>
                          </a:solidFill>
                        </a:ln>
                      </wps:spPr>
                      <wps:txbx>
                        <w:txbxContent>
                          <w:p w14:paraId="206B6745" w14:textId="77777777" w:rsidR="00583339" w:rsidRPr="007D07CC" w:rsidRDefault="00583339" w:rsidP="00583339">
                            <w:pPr>
                              <w:spacing w:after="0" w:line="360" w:lineRule="auto"/>
                              <w:jc w:val="both"/>
                              <w:rPr>
                                <w:rFonts w:ascii="Times New Roman" w:eastAsia="Times New Roman" w:hAnsi="Times New Roman" w:cs="Times New Roman"/>
                                <w:b/>
                                <w:bCs/>
                                <w:sz w:val="24"/>
                                <w:szCs w:val="24"/>
                              </w:rPr>
                            </w:pPr>
                            <w:r w:rsidRPr="007D07CC">
                              <w:rPr>
                                <w:rFonts w:ascii="Times New Roman" w:eastAsia="Times New Roman" w:hAnsi="Times New Roman" w:cs="Times New Roman"/>
                                <w:b/>
                                <w:bCs/>
                                <w:sz w:val="24"/>
                                <w:szCs w:val="24"/>
                              </w:rPr>
                              <w:t>Final model specifications and equations</w:t>
                            </w:r>
                          </w:p>
                          <w:p w14:paraId="76D271CC" w14:textId="159D6745" w:rsidR="00583339" w:rsidRPr="00583339" w:rsidRDefault="00583339" w:rsidP="00583339">
                            <w:pPr>
                              <w:jc w:val="both"/>
                              <w:rPr>
                                <w:rFonts w:ascii="Times New Roman" w:eastAsia="Times New Roman" w:hAnsi="Times New Roman" w:cs="Times New Roman"/>
                                <w:iCs/>
                              </w:rPr>
                            </w:pPr>
                            <w:r w:rsidRPr="00583339">
                              <w:rPr>
                                <w:rFonts w:ascii="Times New Roman" w:eastAsia="Times New Roman" w:hAnsi="Times New Roman" w:cs="Times New Roman"/>
                              </w:rPr>
                              <w:t xml:space="preserve">The unit of analysis for </w:t>
                            </w:r>
                            <w:r w:rsidR="00EA42C0">
                              <w:rPr>
                                <w:rFonts w:ascii="Times New Roman" w:eastAsia="Times New Roman" w:hAnsi="Times New Roman" w:cs="Times New Roman"/>
                              </w:rPr>
                              <w:t xml:space="preserve">the final model </w:t>
                            </w:r>
                            <w:r w:rsidRPr="00583339">
                              <w:rPr>
                                <w:rFonts w:ascii="Times New Roman" w:eastAsia="Times New Roman" w:hAnsi="Times New Roman" w:cs="Times New Roman"/>
                              </w:rPr>
                              <w:t>was SA1.  The expected count of the number of cases within each SA1(</w:t>
                            </w:r>
                            <w:r w:rsidRPr="00583339">
                              <w:rPr>
                                <w:rFonts w:ascii="Times New Roman" w:eastAsia="Times New Roman" w:hAnsi="Times New Roman" w:cs="Times New Roman"/>
                                <w:i/>
                              </w:rPr>
                              <w:t>i</w:t>
                            </w:r>
                            <w:r w:rsidRPr="00583339">
                              <w:rPr>
                                <w:rFonts w:ascii="Times New Roman" w:eastAsia="Times New Roman" w:hAnsi="Times New Roman" w:cs="Times New Roman"/>
                              </w:rPr>
                              <w:t>) was derived from the direct estimates of the proportion from the YMM survey and the denominator (</w:t>
                            </w:r>
                            <m:oMath>
                              <m:sSub>
                                <m:sSubPr>
                                  <m:ctrlPr>
                                    <w:rPr>
                                      <w:rFonts w:ascii="Cambria Math" w:hAnsi="Cambria Math" w:cs="Times New Roman"/>
                                      <w:i/>
                                      <w:iCs/>
                                    </w:rPr>
                                  </m:ctrlPr>
                                </m:sSubPr>
                                <m:e>
                                  <m:r>
                                    <w:rPr>
                                      <w:rFonts w:ascii="Cambria Math" w:hAnsi="Cambria Math" w:cs="Times New Roman"/>
                                    </w:rPr>
                                    <m:t>n</m:t>
                                  </m:r>
                                </m:e>
                                <m:sub>
                                  <m:r>
                                    <w:rPr>
                                      <w:rFonts w:ascii="Cambria Math" w:hAnsi="Cambria Math" w:cs="Times New Roman"/>
                                    </w:rPr>
                                    <m:t>i</m:t>
                                  </m:r>
                                </m:sub>
                              </m:sSub>
                            </m:oMath>
                            <w:r w:rsidRPr="00583339">
                              <w:rPr>
                                <w:rFonts w:ascii="Times New Roman" w:eastAsia="Times New Roman" w:hAnsi="Times New Roman" w:cs="Times New Roman"/>
                                <w:iCs/>
                              </w:rPr>
                              <w:t xml:space="preserve">) was the total number of 12-17 year olds in the SA-1 based on the 2011 census.  </w:t>
                            </w:r>
                          </w:p>
                          <w:p w14:paraId="696E8FBD" w14:textId="0CC59B0D" w:rsidR="00583339" w:rsidRPr="00583339" w:rsidRDefault="00583339" w:rsidP="00583339">
                            <w:pPr>
                              <w:jc w:val="both"/>
                              <w:rPr>
                                <w:rFonts w:ascii="Times New Roman" w:eastAsia="Times New Roman" w:hAnsi="Times New Roman" w:cs="Times New Roman"/>
                                <w:iCs/>
                              </w:rPr>
                            </w:pPr>
                            <w:r w:rsidRPr="00583339">
                              <w:rPr>
                                <w:rFonts w:ascii="Times New Roman" w:eastAsia="Times New Roman" w:hAnsi="Times New Roman" w:cs="Times New Roman"/>
                                <w:iCs/>
                              </w:rPr>
                              <w:t xml:space="preserve">Single level models were fitted for each outcome as described above. These were expanded to incorporate random intercepts for each level-2 unit, </w:t>
                            </w:r>
                            <m:oMath>
                              <m:sSub>
                                <m:sSubPr>
                                  <m:ctrlPr>
                                    <w:rPr>
                                      <w:rFonts w:ascii="Cambria Math" w:hAnsi="Cambria Math" w:cs="Times New Roman"/>
                                      <w:i/>
                                      <w:iCs/>
                                    </w:rPr>
                                  </m:ctrlPr>
                                </m:sSubPr>
                                <m:e>
                                  <m:r>
                                    <w:rPr>
                                      <w:rFonts w:ascii="Cambria Math" w:hAnsi="Cambria Math" w:cs="Times New Roman"/>
                                    </w:rPr>
                                    <m:t>υ</m:t>
                                  </m:r>
                                </m:e>
                                <m:sub>
                                  <m:r>
                                    <w:rPr>
                                      <w:rFonts w:ascii="Cambria Math" w:hAnsi="Cambria Math" w:cs="Times New Roman"/>
                                    </w:rPr>
                                    <m:t>j</m:t>
                                  </m:r>
                                </m:sub>
                              </m:sSub>
                            </m:oMath>
                            <w:r w:rsidRPr="00583339">
                              <w:rPr>
                                <w:rFonts w:ascii="Times New Roman" w:eastAsia="Times New Roman" w:hAnsi="Times New Roman" w:cs="Times New Roman"/>
                                <w:iCs/>
                              </w:rPr>
                              <w:t xml:space="preserve">. </w:t>
                            </w:r>
                          </w:p>
                          <w:p w14:paraId="30965C4D" w14:textId="4EB809F7" w:rsidR="00583339" w:rsidRPr="00583339" w:rsidRDefault="00000000" w:rsidP="00583339">
                            <w:pPr>
                              <w:jc w:val="both"/>
                              <w:rPr>
                                <w:rFonts w:ascii="Times New Roman" w:eastAsia="Times New Roman" w:hAnsi="Times New Roman" w:cs="Times New Roman"/>
                                <w:iCs/>
                              </w:rPr>
                            </w:pPr>
                            <m:oMath>
                              <m:func>
                                <m:funcPr>
                                  <m:ctrlPr>
                                    <w:rPr>
                                      <w:rFonts w:ascii="Cambria Math" w:hAnsi="Cambria Math" w:cs="Times New Roman"/>
                                    </w:rPr>
                                  </m:ctrlPr>
                                </m:funcPr>
                                <m:fName>
                                  <m:r>
                                    <m:rPr>
                                      <m:sty m:val="p"/>
                                    </m:rPr>
                                    <w:rPr>
                                      <w:rFonts w:ascii="Cambria Math" w:hAnsi="Cambria Math" w:cs="Times New Roman"/>
                                    </w:rPr>
                                    <m:t>logit</m:t>
                                  </m:r>
                                </m:fName>
                                <m:e>
                                  <m:d>
                                    <m:dPr>
                                      <m:ctrlPr>
                                        <w:rPr>
                                          <w:rFonts w:ascii="Cambria Math" w:hAnsi="Cambria Math" w:cs="Times New Roman"/>
                                          <w:i/>
                                          <w:iCs/>
                                        </w:rPr>
                                      </m:ctrlPr>
                                    </m:dPr>
                                    <m:e>
                                      <m:sSub>
                                        <m:sSubPr>
                                          <m:ctrlPr>
                                            <w:rPr>
                                              <w:rFonts w:ascii="Cambria Math" w:hAnsi="Cambria Math" w:cs="Times New Roman"/>
                                              <w:i/>
                                              <w:iCs/>
                                            </w:rPr>
                                          </m:ctrlPr>
                                        </m:sSubPr>
                                        <m:e>
                                          <m:r>
                                            <w:rPr>
                                              <w:rFonts w:ascii="Cambria Math" w:hAnsi="Cambria Math" w:cs="Times New Roman"/>
                                            </w:rPr>
                                            <m:t>π</m:t>
                                          </m:r>
                                        </m:e>
                                        <m:sub>
                                          <m:r>
                                            <w:rPr>
                                              <w:rFonts w:ascii="Cambria Math" w:hAnsi="Cambria Math" w:cs="Times New Roman"/>
                                            </w:rPr>
                                            <m:t>ij</m:t>
                                          </m:r>
                                        </m:sub>
                                      </m:sSub>
                                    </m:e>
                                  </m:d>
                                </m:e>
                              </m:func>
                              <m:r>
                                <w:rPr>
                                  <w:rFonts w:ascii="Cambria Math" w:hAnsi="Cambria Math" w:cs="Times New Roman"/>
                                </w:rPr>
                                <m:t xml:space="preserve">= </m:t>
                              </m:r>
                              <m:sSubSup>
                                <m:sSubSupPr>
                                  <m:ctrlPr>
                                    <w:rPr>
                                      <w:rFonts w:ascii="Cambria Math" w:hAnsi="Cambria Math" w:cs="Times New Roman"/>
                                      <w:i/>
                                      <w:iCs/>
                                    </w:rPr>
                                  </m:ctrlPr>
                                </m:sSubSupPr>
                                <m:e>
                                  <m:r>
                                    <m:rPr>
                                      <m:sty m:val="bi"/>
                                    </m:rPr>
                                    <w:rPr>
                                      <w:rFonts w:ascii="Cambria Math" w:hAnsi="Cambria Math" w:cs="Times New Roman"/>
                                    </w:rPr>
                                    <m:t>βX</m:t>
                                  </m:r>
                                </m:e>
                                <m:sub>
                                  <m:r>
                                    <w:rPr>
                                      <w:rFonts w:ascii="Cambria Math" w:hAnsi="Cambria Math" w:cs="Times New Roman"/>
                                    </w:rPr>
                                    <m:t>ij</m:t>
                                  </m:r>
                                </m:sub>
                                <m:sup>
                                  <m:r>
                                    <w:rPr>
                                      <w:rFonts w:ascii="Cambria Math" w:hAnsi="Cambria Math" w:cs="Times New Roman"/>
                                    </w:rPr>
                                    <m:t>T</m:t>
                                  </m:r>
                                </m:sup>
                              </m:sSubSup>
                            </m:oMath>
                            <w:r w:rsidR="00583339" w:rsidRPr="00583339">
                              <w:rPr>
                                <w:rFonts w:ascii="Times New Roman" w:eastAsia="Times New Roman" w:hAnsi="Times New Roman" w:cs="Times New Roman"/>
                                <w:iCs/>
                              </w:rPr>
                              <w:t xml:space="preserve"> +</w:t>
                            </w:r>
                            <m:oMath>
                              <m:sSub>
                                <m:sSubPr>
                                  <m:ctrlPr>
                                    <w:rPr>
                                      <w:rFonts w:ascii="Cambria Math" w:hAnsi="Cambria Math" w:cs="Times New Roman"/>
                                      <w:i/>
                                      <w:iCs/>
                                    </w:rPr>
                                  </m:ctrlPr>
                                </m:sSubPr>
                                <m:e>
                                  <m:r>
                                    <w:rPr>
                                      <w:rFonts w:ascii="Cambria Math" w:hAnsi="Cambria Math" w:cs="Times New Roman"/>
                                    </w:rPr>
                                    <m:t>υ</m:t>
                                  </m:r>
                                </m:e>
                                <m:sub>
                                  <m:r>
                                    <w:rPr>
                                      <w:rFonts w:ascii="Cambria Math" w:hAnsi="Cambria Math" w:cs="Times New Roman"/>
                                    </w:rPr>
                                    <m:t>j</m:t>
                                  </m:r>
                                </m:sub>
                              </m:sSub>
                            </m:oMath>
                          </w:p>
                          <w:p w14:paraId="5D58345F" w14:textId="22DFFEE6" w:rsidR="00583339" w:rsidRPr="00583339" w:rsidRDefault="00583339" w:rsidP="00583339">
                            <w:pPr>
                              <w:rPr>
                                <w:rFonts w:ascii="Times New Roman" w:eastAsia="Times New Roman" w:hAnsi="Times New Roman" w:cs="Times New Roman"/>
                              </w:rPr>
                            </w:pPr>
                            <w:r w:rsidRPr="00583339">
                              <w:rPr>
                                <w:rFonts w:ascii="Times New Roman" w:eastAsia="Times New Roman" w:hAnsi="Times New Roman" w:cs="Times New Roman"/>
                              </w:rPr>
                              <w:t xml:space="preserve">The PHN was chosen for the level-2 unit because there were an adequate number of SA1s within most PHNs and this choice provided geographical coverage across the majority of the country. We are assuming that SA1s nested within each PHN are more similar to each other than to those in different PHNs.  </w:t>
                            </w:r>
                          </w:p>
                          <w:p w14:paraId="304CC42D" w14:textId="7280D467" w:rsidR="00583339" w:rsidRPr="00583339" w:rsidRDefault="00583339" w:rsidP="00583339">
                            <w:pPr>
                              <w:jc w:val="both"/>
                              <w:rPr>
                                <w:rFonts w:ascii="Times New Roman" w:eastAsia="Times New Roman" w:hAnsi="Times New Roman" w:cs="Times New Roman"/>
                                <w:iCs/>
                              </w:rPr>
                            </w:pPr>
                            <w:r w:rsidRPr="00583339">
                              <w:rPr>
                                <w:rFonts w:ascii="Times New Roman" w:eastAsia="Times New Roman" w:hAnsi="Times New Roman" w:cs="Times New Roman"/>
                              </w:rPr>
                              <w:t>The log-odds of the expected probability of a positive outcome is assumed to be linearly related to a fixed effects (i.e. a</w:t>
                            </w:r>
                            <w:r w:rsidRPr="00583339">
                              <w:rPr>
                                <w:rFonts w:ascii="Times New Roman" w:eastAsia="Times New Roman" w:hAnsi="Times New Roman" w:cs="Times New Roman"/>
                                <w:b/>
                              </w:rPr>
                              <w:t xml:space="preserve"> </w:t>
                            </w:r>
                            <w:r w:rsidRPr="00583339">
                              <w:rPr>
                                <w:rFonts w:ascii="Times New Roman" w:eastAsia="Times New Roman" w:hAnsi="Times New Roman" w:cs="Times New Roman"/>
                              </w:rPr>
                              <w:t xml:space="preserve">vector of explanatory variables </w:t>
                            </w:r>
                            <m:oMath>
                              <m:r>
                                <m:rPr>
                                  <m:sty m:val="bi"/>
                                </m:rPr>
                                <w:rPr>
                                  <w:rFonts w:ascii="Cambria Math" w:hAnsi="Cambria Math" w:cs="Times New Roman"/>
                                </w:rPr>
                                <m:t>X</m:t>
                              </m:r>
                            </m:oMath>
                            <w:r w:rsidRPr="00583339">
                              <w:rPr>
                                <w:rFonts w:ascii="Times New Roman" w:eastAsia="Times New Roman" w:hAnsi="Times New Roman" w:cs="Times New Roman"/>
                                <w:b/>
                              </w:rPr>
                              <w:t xml:space="preserve"> </w:t>
                            </w:r>
                            <w:r w:rsidRPr="00583339">
                              <w:rPr>
                                <w:rFonts w:ascii="Times New Roman" w:eastAsia="Times New Roman" w:hAnsi="Times New Roman" w:cs="Times New Roman"/>
                              </w:rPr>
                              <w:t xml:space="preserve">with regression coefficients </w:t>
                            </w:r>
                            <m:oMath>
                              <m:r>
                                <m:rPr>
                                  <m:sty m:val="bi"/>
                                </m:rPr>
                                <w:rPr>
                                  <w:rFonts w:ascii="Cambria Math" w:hAnsi="Cambria Math" w:cs="Times New Roman"/>
                                </w:rPr>
                                <m:t>β</m:t>
                              </m:r>
                            </m:oMath>
                            <w:r w:rsidRPr="00583339">
                              <w:rPr>
                                <w:rFonts w:ascii="Times New Roman" w:eastAsia="Times New Roman" w:hAnsi="Times New Roman" w:cs="Times New Roman"/>
                              </w:rPr>
                              <w:t>)</w:t>
                            </w:r>
                            <w:r w:rsidRPr="00583339">
                              <w:rPr>
                                <w:rFonts w:ascii="Times New Roman" w:eastAsia="Times New Roman" w:hAnsi="Times New Roman" w:cs="Times New Roman"/>
                                <w:b/>
                              </w:rPr>
                              <w:t xml:space="preserve"> </w:t>
                            </w:r>
                            <w:r w:rsidRPr="00583339">
                              <w:rPr>
                                <w:rFonts w:ascii="Times New Roman" w:eastAsia="Times New Roman" w:hAnsi="Times New Roman" w:cs="Times New Roman"/>
                              </w:rPr>
                              <w:t>plus the level-2 random effects (</w:t>
                            </w:r>
                            <m:oMath>
                              <m:sSub>
                                <m:sSubPr>
                                  <m:ctrlPr>
                                    <w:rPr>
                                      <w:rFonts w:ascii="Cambria Math" w:hAnsi="Cambria Math" w:cs="Times New Roman"/>
                                      <w:i/>
                                      <w:iCs/>
                                    </w:rPr>
                                  </m:ctrlPr>
                                </m:sSubPr>
                                <m:e>
                                  <m:r>
                                    <w:rPr>
                                      <w:rFonts w:ascii="Cambria Math" w:hAnsi="Cambria Math" w:cs="Times New Roman"/>
                                    </w:rPr>
                                    <m:t>υ</m:t>
                                  </m:r>
                                </m:e>
                                <m:sub>
                                  <m:r>
                                    <w:rPr>
                                      <w:rFonts w:ascii="Cambria Math" w:hAnsi="Cambria Math" w:cs="Times New Roman"/>
                                    </w:rPr>
                                    <m:t>j</m:t>
                                  </m:r>
                                </m:sub>
                              </m:sSub>
                            </m:oMath>
                            <w:r w:rsidRPr="00583339">
                              <w:rPr>
                                <w:rFonts w:ascii="Times New Roman" w:eastAsia="Times New Roman" w:hAnsi="Times New Roman" w:cs="Times New Roman"/>
                                <w:iCs/>
                              </w:rPr>
                              <w:t>)</w:t>
                            </w:r>
                          </w:p>
                          <w:p w14:paraId="2C43BB90" w14:textId="75EB56EF" w:rsidR="00583339" w:rsidRPr="00583339" w:rsidRDefault="00583339" w:rsidP="00583339">
                            <w:pPr>
                              <w:jc w:val="both"/>
                              <w:rPr>
                                <w:rFonts w:ascii="Times New Roman" w:eastAsia="Times New Roman" w:hAnsi="Times New Roman" w:cs="Times New Roman"/>
                                <w:iCs/>
                              </w:rPr>
                            </w:pPr>
                            <w:r w:rsidRPr="00583339">
                              <w:rPr>
                                <w:rFonts w:ascii="Times New Roman" w:eastAsia="Times New Roman" w:hAnsi="Times New Roman" w:cs="Times New Roman"/>
                                <w:iCs/>
                              </w:rPr>
                              <w:t>The model-based predicted probability for each outcome was derived as:</w:t>
                            </w:r>
                          </w:p>
                          <w:p w14:paraId="58573CB5" w14:textId="48A069B3" w:rsidR="00583339" w:rsidRPr="00583339" w:rsidRDefault="00000000" w:rsidP="00583339">
                            <w:pPr>
                              <w:jc w:val="both"/>
                              <w:rPr>
                                <w:rFonts w:ascii="Times New Roman" w:eastAsia="Times New Roman" w:hAnsi="Times New Roman" w:cs="Times New Roman"/>
                              </w:rPr>
                            </w:pPr>
                            <m:oMathPara>
                              <m:oMath>
                                <m:sSub>
                                  <m:sSubPr>
                                    <m:ctrlPr>
                                      <w:rPr>
                                        <w:rFonts w:ascii="Cambria Math" w:hAnsi="Cambria Math" w:cs="Times New Roman"/>
                                        <w:i/>
                                        <w:iCs/>
                                      </w:rPr>
                                    </m:ctrlPr>
                                  </m:sSubPr>
                                  <m:e>
                                    <m:r>
                                      <w:rPr>
                                        <w:rFonts w:ascii="Cambria Math" w:hAnsi="Cambria Math" w:cs="Times New Roman"/>
                                      </w:rPr>
                                      <m:t>π</m:t>
                                    </m:r>
                                  </m:e>
                                  <m:sub>
                                    <m:r>
                                      <w:rPr>
                                        <w:rFonts w:ascii="Cambria Math" w:hAnsi="Cambria Math" w:cs="Times New Roman"/>
                                      </w:rPr>
                                      <m:t>ij</m:t>
                                    </m:r>
                                  </m:sub>
                                </m:sSub>
                                <m:r>
                                  <w:rPr>
                                    <w:rFonts w:ascii="Cambria Math" w:hAnsi="Cambria Math" w:cs="Times New Roman"/>
                                  </w:rPr>
                                  <m:t>=</m:t>
                                </m:r>
                                <m:f>
                                  <m:fPr>
                                    <m:ctrlPr>
                                      <w:rPr>
                                        <w:rFonts w:ascii="Cambria Math" w:eastAsia="Times New Roman" w:hAnsi="Cambria Math" w:cs="Times New Roman"/>
                                      </w:rPr>
                                    </m:ctrlPr>
                                  </m:fPr>
                                  <m:num>
                                    <m:func>
                                      <m:funcPr>
                                        <m:ctrlPr>
                                          <w:rPr>
                                            <w:rFonts w:ascii="Cambria Math" w:eastAsia="Times New Roman" w:hAnsi="Cambria Math" w:cs="Times New Roman"/>
                                          </w:rPr>
                                        </m:ctrlPr>
                                      </m:funcPr>
                                      <m:fName>
                                        <m:r>
                                          <m:rPr>
                                            <m:sty m:val="p"/>
                                          </m:rPr>
                                          <w:rPr>
                                            <w:rFonts w:ascii="Cambria Math" w:eastAsia="Times New Roman" w:hAnsi="Cambria Math" w:cs="Times New Roman"/>
                                          </w:rPr>
                                          <m:t>exp</m:t>
                                        </m:r>
                                      </m:fName>
                                      <m:e>
                                        <m:r>
                                          <w:rPr>
                                            <w:rFonts w:ascii="Cambria Math" w:eastAsia="Times New Roman" w:hAnsi="Cambria Math" w:cs="Times New Roman"/>
                                          </w:rPr>
                                          <m:t>(</m:t>
                                        </m:r>
                                        <m:sSubSup>
                                          <m:sSubSupPr>
                                            <m:ctrlPr>
                                              <w:rPr>
                                                <w:rFonts w:ascii="Cambria Math" w:hAnsi="Cambria Math" w:cs="Times New Roman"/>
                                                <w:i/>
                                                <w:iCs/>
                                              </w:rPr>
                                            </m:ctrlPr>
                                          </m:sSubSupPr>
                                          <m:e>
                                            <m:r>
                                              <m:rPr>
                                                <m:sty m:val="bi"/>
                                              </m:rPr>
                                              <w:rPr>
                                                <w:rFonts w:ascii="Cambria Math" w:hAnsi="Cambria Math" w:cs="Times New Roman"/>
                                              </w:rPr>
                                              <m:t>βX</m:t>
                                            </m:r>
                                          </m:e>
                                          <m:sub>
                                            <m:r>
                                              <w:rPr>
                                                <w:rFonts w:ascii="Cambria Math" w:hAnsi="Cambria Math" w:cs="Times New Roman"/>
                                              </w:rPr>
                                              <m:t>ij</m:t>
                                            </m:r>
                                          </m:sub>
                                          <m:sup>
                                            <m:r>
                                              <w:rPr>
                                                <w:rFonts w:ascii="Cambria Math" w:hAnsi="Cambria Math" w:cs="Times New Roman"/>
                                              </w:rPr>
                                              <m:t>T</m:t>
                                            </m:r>
                                          </m:sup>
                                        </m:sSubSup>
                                        <m:r>
                                          <m:rPr>
                                            <m:sty m:val="p"/>
                                          </m:rPr>
                                          <w:rPr>
                                            <w:rFonts w:ascii="Cambria Math" w:eastAsia="Times New Roman" w:hAnsi="Cambria Math" w:cs="Times New Roman"/>
                                          </w:rPr>
                                          <m:t xml:space="preserve"> +</m:t>
                                        </m:r>
                                        <m:sSub>
                                          <m:sSubPr>
                                            <m:ctrlPr>
                                              <w:rPr>
                                                <w:rFonts w:ascii="Cambria Math" w:hAnsi="Cambria Math" w:cs="Times New Roman"/>
                                                <w:i/>
                                                <w:iCs/>
                                              </w:rPr>
                                            </m:ctrlPr>
                                          </m:sSubPr>
                                          <m:e>
                                            <m:r>
                                              <w:rPr>
                                                <w:rFonts w:ascii="Cambria Math" w:hAnsi="Cambria Math" w:cs="Times New Roman"/>
                                              </w:rPr>
                                              <m:t>υ</m:t>
                                            </m:r>
                                          </m:e>
                                          <m:sub>
                                            <m:r>
                                              <w:rPr>
                                                <w:rFonts w:ascii="Cambria Math" w:hAnsi="Cambria Math" w:cs="Times New Roman"/>
                                              </w:rPr>
                                              <m:t>j</m:t>
                                            </m:r>
                                          </m:sub>
                                        </m:sSub>
                                        <m:r>
                                          <w:rPr>
                                            <w:rFonts w:ascii="Cambria Math" w:hAnsi="Cambria Math" w:cs="Times New Roman"/>
                                          </w:rPr>
                                          <m:t>)</m:t>
                                        </m:r>
                                      </m:e>
                                    </m:func>
                                  </m:num>
                                  <m:den>
                                    <m:r>
                                      <w:rPr>
                                        <w:rFonts w:ascii="Cambria Math" w:eastAsia="Times New Roman" w:hAnsi="Cambria Math" w:cs="Times New Roman"/>
                                      </w:rPr>
                                      <m:t>1+</m:t>
                                    </m:r>
                                    <m:func>
                                      <m:funcPr>
                                        <m:ctrlPr>
                                          <w:rPr>
                                            <w:rFonts w:ascii="Cambria Math" w:eastAsia="Times New Roman" w:hAnsi="Cambria Math" w:cs="Times New Roman"/>
                                          </w:rPr>
                                        </m:ctrlPr>
                                      </m:funcPr>
                                      <m:fName>
                                        <m:r>
                                          <m:rPr>
                                            <m:sty m:val="p"/>
                                          </m:rPr>
                                          <w:rPr>
                                            <w:rFonts w:ascii="Cambria Math" w:eastAsia="Times New Roman" w:hAnsi="Cambria Math" w:cs="Times New Roman"/>
                                          </w:rPr>
                                          <m:t>exp</m:t>
                                        </m:r>
                                      </m:fName>
                                      <m:e>
                                        <m:r>
                                          <w:rPr>
                                            <w:rFonts w:ascii="Cambria Math" w:eastAsia="Times New Roman" w:hAnsi="Cambria Math" w:cs="Times New Roman"/>
                                          </w:rPr>
                                          <m:t>(</m:t>
                                        </m:r>
                                        <m:sSubSup>
                                          <m:sSubSupPr>
                                            <m:ctrlPr>
                                              <w:rPr>
                                                <w:rFonts w:ascii="Cambria Math" w:hAnsi="Cambria Math" w:cs="Times New Roman"/>
                                                <w:i/>
                                                <w:iCs/>
                                              </w:rPr>
                                            </m:ctrlPr>
                                          </m:sSubSupPr>
                                          <m:e>
                                            <m:r>
                                              <m:rPr>
                                                <m:sty m:val="bi"/>
                                              </m:rPr>
                                              <w:rPr>
                                                <w:rFonts w:ascii="Cambria Math" w:hAnsi="Cambria Math" w:cs="Times New Roman"/>
                                              </w:rPr>
                                              <m:t>βX</m:t>
                                            </m:r>
                                          </m:e>
                                          <m:sub>
                                            <m:r>
                                              <w:rPr>
                                                <w:rFonts w:ascii="Cambria Math" w:hAnsi="Cambria Math" w:cs="Times New Roman"/>
                                              </w:rPr>
                                              <m:t>ij</m:t>
                                            </m:r>
                                          </m:sub>
                                          <m:sup>
                                            <m:r>
                                              <w:rPr>
                                                <w:rFonts w:ascii="Cambria Math" w:hAnsi="Cambria Math" w:cs="Times New Roman"/>
                                              </w:rPr>
                                              <m:t>T</m:t>
                                            </m:r>
                                          </m:sup>
                                        </m:sSubSup>
                                        <m:r>
                                          <m:rPr>
                                            <m:sty m:val="p"/>
                                          </m:rPr>
                                          <w:rPr>
                                            <w:rFonts w:ascii="Cambria Math" w:eastAsia="Times New Roman" w:hAnsi="Cambria Math" w:cs="Times New Roman"/>
                                          </w:rPr>
                                          <m:t xml:space="preserve"> +</m:t>
                                        </m:r>
                                        <m:sSub>
                                          <m:sSubPr>
                                            <m:ctrlPr>
                                              <w:rPr>
                                                <w:rFonts w:ascii="Cambria Math" w:hAnsi="Cambria Math" w:cs="Times New Roman"/>
                                                <w:i/>
                                                <w:iCs/>
                                              </w:rPr>
                                            </m:ctrlPr>
                                          </m:sSubPr>
                                          <m:e>
                                            <m:r>
                                              <w:rPr>
                                                <w:rFonts w:ascii="Cambria Math" w:hAnsi="Cambria Math" w:cs="Times New Roman"/>
                                              </w:rPr>
                                              <m:t>υ</m:t>
                                            </m:r>
                                          </m:e>
                                          <m:sub>
                                            <m:r>
                                              <w:rPr>
                                                <w:rFonts w:ascii="Cambria Math" w:hAnsi="Cambria Math" w:cs="Times New Roman"/>
                                              </w:rPr>
                                              <m:t>j</m:t>
                                            </m:r>
                                          </m:sub>
                                        </m:sSub>
                                        <m:r>
                                          <w:rPr>
                                            <w:rFonts w:ascii="Cambria Math" w:hAnsi="Cambria Math" w:cs="Times New Roman"/>
                                          </w:rPr>
                                          <m:t>)</m:t>
                                        </m:r>
                                      </m:e>
                                    </m:func>
                                  </m:den>
                                </m:f>
                              </m:oMath>
                            </m:oMathPara>
                          </w:p>
                          <w:p w14:paraId="25C0BE07" w14:textId="77777777" w:rsidR="00583339" w:rsidRPr="00583339" w:rsidRDefault="00583339" w:rsidP="00583339">
                            <w:pPr>
                              <w:jc w:val="both"/>
                              <w:rPr>
                                <w:rFonts w:ascii="Times New Roman" w:eastAsia="Times New Roman" w:hAnsi="Times New Roman" w:cs="Times New Roman"/>
                                <w:iCs/>
                              </w:rPr>
                            </w:pPr>
                            <w:r w:rsidRPr="00583339">
                              <w:rPr>
                                <w:rFonts w:ascii="Times New Roman" w:eastAsia="Times New Roman" w:hAnsi="Times New Roman" w:cs="Times New Roman"/>
                                <w:iCs/>
                              </w:rPr>
                              <w:t>For each PHN (</w:t>
                            </w:r>
                            <w:r w:rsidRPr="00583339">
                              <w:rPr>
                                <w:rFonts w:ascii="Times New Roman" w:eastAsia="Times New Roman" w:hAnsi="Times New Roman" w:cs="Times New Roman"/>
                                <w:i/>
                                <w:iCs/>
                              </w:rPr>
                              <w:t>j</w:t>
                            </w:r>
                            <w:r w:rsidRPr="00583339">
                              <w:rPr>
                                <w:rFonts w:ascii="Times New Roman" w:eastAsia="Times New Roman" w:hAnsi="Times New Roman" w:cs="Times New Roman"/>
                                <w:iCs/>
                              </w:rPr>
                              <w:t xml:space="preserve">), assuming there were </w:t>
                            </w:r>
                            <w:r w:rsidRPr="00583339">
                              <w:rPr>
                                <w:rFonts w:ascii="Times New Roman" w:eastAsia="Times New Roman" w:hAnsi="Times New Roman" w:cs="Times New Roman"/>
                                <w:i/>
                                <w:iCs/>
                              </w:rPr>
                              <w:t>M</w:t>
                            </w:r>
                            <w:r w:rsidRPr="00583339">
                              <w:rPr>
                                <w:rFonts w:ascii="Times New Roman" w:eastAsia="Times New Roman" w:hAnsi="Times New Roman" w:cs="Times New Roman"/>
                                <w:iCs/>
                              </w:rPr>
                              <w:t xml:space="preserve"> SA1-level units (</w:t>
                            </w:r>
                            <w:r w:rsidRPr="00583339">
                              <w:rPr>
                                <w:rFonts w:ascii="Times New Roman" w:eastAsia="Times New Roman" w:hAnsi="Times New Roman" w:cs="Times New Roman"/>
                                <w:i/>
                                <w:iCs/>
                              </w:rPr>
                              <w:t>i</w:t>
                            </w:r>
                            <w:r w:rsidRPr="00583339">
                              <w:rPr>
                                <w:rFonts w:ascii="Times New Roman" w:eastAsia="Times New Roman" w:hAnsi="Times New Roman" w:cs="Times New Roman"/>
                                <w:iCs/>
                              </w:rPr>
                              <w:t xml:space="preserve">), the initial model-based estimate was derived by summing the predicted counts (numerators) and census counts (denominators): </w:t>
                            </w:r>
                          </w:p>
                          <w:p w14:paraId="6E46D6F3" w14:textId="77777777" w:rsidR="00583339" w:rsidRDefault="00000000" w:rsidP="00583339">
                            <w:pPr>
                              <w:jc w:val="both"/>
                              <w:rPr>
                                <w:rFonts w:eastAsia="Times New Roman"/>
                              </w:rPr>
                            </w:pPr>
                            <m:oMathPara>
                              <m:oMath>
                                <m:sSub>
                                  <m:sSubPr>
                                    <m:ctrlPr>
                                      <w:rPr>
                                        <w:rFonts w:ascii="Cambria Math" w:hAnsi="Cambria Math" w:cs="Times New Roman"/>
                                        <w:i/>
                                        <w:iCs/>
                                      </w:rPr>
                                    </m:ctrlPr>
                                  </m:sSubPr>
                                  <m:e>
                                    <m:r>
                                      <w:rPr>
                                        <w:rFonts w:ascii="Cambria Math" w:hAnsi="Cambria Math" w:cs="Times New Roman"/>
                                      </w:rPr>
                                      <m:t>π</m:t>
                                    </m:r>
                                  </m:e>
                                  <m:sub>
                                    <m:r>
                                      <w:rPr>
                                        <w:rFonts w:ascii="Cambria Math" w:hAnsi="Cambria Math" w:cs="Times New Roman"/>
                                      </w:rPr>
                                      <m:t>j</m:t>
                                    </m:r>
                                  </m:sub>
                                </m:sSub>
                                <m:r>
                                  <w:rPr>
                                    <w:rFonts w:ascii="Cambria Math" w:hAnsi="Cambria Math" w:cs="Times New Roman"/>
                                  </w:rPr>
                                  <m:t>=</m:t>
                                </m:r>
                                <m:f>
                                  <m:fPr>
                                    <m:ctrlPr>
                                      <w:rPr>
                                        <w:rFonts w:ascii="Cambria Math" w:eastAsia="Times New Roman" w:hAnsi="Cambria Math" w:cs="Times New Roman"/>
                                      </w:rPr>
                                    </m:ctrlPr>
                                  </m:fPr>
                                  <m:num>
                                    <m:nary>
                                      <m:naryPr>
                                        <m:chr m:val="∑"/>
                                        <m:grow m:val="1"/>
                                        <m:ctrlPr>
                                          <w:rPr>
                                            <w:rFonts w:ascii="Cambria Math" w:eastAsia="Times New Roman" w:hAnsi="Cambria Math" w:cs="Times New Roman"/>
                                          </w:rPr>
                                        </m:ctrlPr>
                                      </m:naryPr>
                                      <m:sub>
                                        <m:r>
                                          <w:rPr>
                                            <w:rFonts w:ascii="Cambria Math" w:eastAsia="Cambria Math" w:hAnsi="Cambria Math" w:cs="Times New Roman"/>
                                          </w:rPr>
                                          <m:t>i=1</m:t>
                                        </m:r>
                                      </m:sub>
                                      <m:sup>
                                        <m:r>
                                          <w:rPr>
                                            <w:rFonts w:ascii="Cambria Math" w:eastAsia="Cambria Math" w:hAnsi="Cambria Math" w:cs="Times New Roman"/>
                                          </w:rPr>
                                          <m:t>m</m:t>
                                        </m:r>
                                      </m:sup>
                                      <m:e>
                                        <m:sSub>
                                          <m:sSubPr>
                                            <m:ctrlPr>
                                              <w:rPr>
                                                <w:rFonts w:ascii="Cambria Math" w:hAnsi="Cambria Math" w:cs="Times New Roman"/>
                                                <w:i/>
                                                <w:iCs/>
                                              </w:rPr>
                                            </m:ctrlPr>
                                          </m:sSubPr>
                                          <m:e>
                                            <m:sSub>
                                              <m:sSubPr>
                                                <m:ctrlPr>
                                                  <w:rPr>
                                                    <w:rFonts w:ascii="Cambria Math" w:hAnsi="Cambria Math" w:cs="Times New Roman"/>
                                                    <w:i/>
                                                    <w:iCs/>
                                                  </w:rPr>
                                                </m:ctrlPr>
                                              </m:sSubPr>
                                              <m:e>
                                                <m:r>
                                                  <w:rPr>
                                                    <w:rFonts w:ascii="Cambria Math" w:hAnsi="Cambria Math" w:cs="Times New Roman"/>
                                                  </w:rPr>
                                                  <m:t>n</m:t>
                                                </m:r>
                                              </m:e>
                                              <m:sub>
                                                <m:r>
                                                  <w:rPr>
                                                    <w:rFonts w:ascii="Cambria Math" w:hAnsi="Cambria Math" w:cs="Times New Roman"/>
                                                  </w:rPr>
                                                  <m:t>i</m:t>
                                                </m:r>
                                              </m:sub>
                                            </m:sSub>
                                            <m:r>
                                              <w:rPr>
                                                <w:rFonts w:ascii="Cambria Math" w:hAnsi="Cambria Math" w:cs="Times New Roman"/>
                                              </w:rPr>
                                              <m:t>π</m:t>
                                            </m:r>
                                          </m:e>
                                          <m:sub>
                                            <m:r>
                                              <w:rPr>
                                                <w:rFonts w:ascii="Cambria Math" w:hAnsi="Cambria Math" w:cs="Times New Roman"/>
                                              </w:rPr>
                                              <m:t>i</m:t>
                                            </m:r>
                                          </m:sub>
                                        </m:sSub>
                                      </m:e>
                                    </m:nary>
                                  </m:num>
                                  <m:den>
                                    <m:nary>
                                      <m:naryPr>
                                        <m:chr m:val="∑"/>
                                        <m:grow m:val="1"/>
                                        <m:ctrlPr>
                                          <w:rPr>
                                            <w:rFonts w:ascii="Cambria Math" w:eastAsia="Times New Roman" w:hAnsi="Cambria Math" w:cs="Times New Roman"/>
                                          </w:rPr>
                                        </m:ctrlPr>
                                      </m:naryPr>
                                      <m:sub>
                                        <m:r>
                                          <w:rPr>
                                            <w:rFonts w:ascii="Cambria Math" w:eastAsia="Cambria Math" w:hAnsi="Cambria Math" w:cs="Times New Roman"/>
                                          </w:rPr>
                                          <m:t>i=1</m:t>
                                        </m:r>
                                      </m:sub>
                                      <m:sup>
                                        <m:r>
                                          <w:rPr>
                                            <w:rFonts w:ascii="Cambria Math" w:eastAsia="Cambria Math" w:hAnsi="Cambria Math" w:cs="Times New Roman"/>
                                          </w:rPr>
                                          <m:t>m</m:t>
                                        </m:r>
                                      </m:sup>
                                      <m:e>
                                        <m:sSub>
                                          <m:sSubPr>
                                            <m:ctrlPr>
                                              <w:rPr>
                                                <w:rFonts w:ascii="Cambria Math" w:hAnsi="Cambria Math" w:cs="Times New Roman"/>
                                                <w:i/>
                                                <w:iCs/>
                                              </w:rPr>
                                            </m:ctrlPr>
                                          </m:sSubPr>
                                          <m:e>
                                            <m:r>
                                              <w:rPr>
                                                <w:rFonts w:ascii="Cambria Math" w:hAnsi="Cambria Math" w:cs="Times New Roman"/>
                                              </w:rPr>
                                              <m:t>n</m:t>
                                            </m:r>
                                          </m:e>
                                          <m:sub>
                                            <m:r>
                                              <w:rPr>
                                                <w:rFonts w:ascii="Cambria Math" w:hAnsi="Cambria Math" w:cs="Times New Roman"/>
                                              </w:rPr>
                                              <m:t>i</m:t>
                                            </m:r>
                                          </m:sub>
                                        </m:sSub>
                                      </m:e>
                                    </m:nary>
                                  </m:den>
                                </m:f>
                              </m:oMath>
                            </m:oMathPara>
                          </w:p>
                          <w:p w14:paraId="2EB12243" w14:textId="77777777" w:rsidR="00583339" w:rsidRPr="002939A8" w:rsidRDefault="00583339" w:rsidP="00583339">
                            <w:pPr>
                              <w:pStyle w:val="Default"/>
                              <w:spacing w:line="360" w:lineRule="auto"/>
                              <w:jc w:val="both"/>
                              <w:rPr>
                                <w:rFonts w:ascii="Times New Roman" w:hAnsi="Times New Roman" w:cs="Times New Roman"/>
                              </w:rPr>
                            </w:pPr>
                          </w:p>
                          <w:p w14:paraId="67378013" w14:textId="6AE5589D" w:rsidR="00583339" w:rsidRDefault="005833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5D0AE" id="_x0000_s1029" type="#_x0000_t202" style="position:absolute;left:0;text-align:left;margin-left:-6.7pt;margin-top:18.3pt;width:468.85pt;height:395.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" fillcolor="white [3201]" strokeweight=".5pt">
                <v:textbox>
                  <w:txbxContent>
                    <w:p w14:paraId="206B6745" w14:textId="77777777" w:rsidR="00583339" w:rsidRPr="007D07CC" w:rsidRDefault="00583339" w:rsidP="00583339">
                      <w:pPr>
                        <w:spacing w:after="0" w:line="360" w:lineRule="auto"/>
                        <w:jc w:val="both"/>
                        <w:rPr>
                          <w:rFonts w:ascii="Times New Roman" w:eastAsia="Times New Roman" w:hAnsi="Times New Roman" w:cs="Times New Roman"/>
                          <w:b/>
                          <w:bCs/>
                          <w:sz w:val="24"/>
                          <w:szCs w:val="24"/>
                        </w:rPr>
                      </w:pPr>
                      <w:r w:rsidRPr="007D07CC">
                        <w:rPr>
                          <w:rFonts w:ascii="Times New Roman" w:eastAsia="Times New Roman" w:hAnsi="Times New Roman" w:cs="Times New Roman"/>
                          <w:b/>
                          <w:bCs/>
                          <w:sz w:val="24"/>
                          <w:szCs w:val="24"/>
                        </w:rPr>
                        <w:t>Final model specifications and equations</w:t>
                      </w:r>
                    </w:p>
                    <w:p w14:paraId="76D271CC" w14:textId="159D6745" w:rsidR="00583339" w:rsidRPr="00583339" w:rsidRDefault="00583339" w:rsidP="00583339">
                      <w:pPr>
                        <w:jc w:val="both"/>
                        <w:rPr>
                          <w:rFonts w:ascii="Times New Roman" w:eastAsia="Times New Roman" w:hAnsi="Times New Roman" w:cs="Times New Roman"/>
                          <w:iCs/>
                        </w:rPr>
                      </w:pPr>
                      <w:r w:rsidRPr="00583339">
                        <w:rPr>
                          <w:rFonts w:ascii="Times New Roman" w:eastAsia="Times New Roman" w:hAnsi="Times New Roman" w:cs="Times New Roman"/>
                        </w:rPr>
                        <w:t xml:space="preserve">The unit of analysis for </w:t>
                      </w:r>
                      <w:r w:rsidR="00EA42C0">
                        <w:rPr>
                          <w:rFonts w:ascii="Times New Roman" w:eastAsia="Times New Roman" w:hAnsi="Times New Roman" w:cs="Times New Roman"/>
                        </w:rPr>
                        <w:t xml:space="preserve">the final model </w:t>
                      </w:r>
                      <w:r w:rsidRPr="00583339">
                        <w:rPr>
                          <w:rFonts w:ascii="Times New Roman" w:eastAsia="Times New Roman" w:hAnsi="Times New Roman" w:cs="Times New Roman"/>
                        </w:rPr>
                        <w:t>was SA1.  The expected count of the number of cases within each SA1(</w:t>
                      </w:r>
                      <w:r w:rsidRPr="00583339">
                        <w:rPr>
                          <w:rFonts w:ascii="Times New Roman" w:eastAsia="Times New Roman" w:hAnsi="Times New Roman" w:cs="Times New Roman"/>
                          <w:i/>
                        </w:rPr>
                        <w:t>i</w:t>
                      </w:r>
                      <w:r w:rsidRPr="00583339">
                        <w:rPr>
                          <w:rFonts w:ascii="Times New Roman" w:eastAsia="Times New Roman" w:hAnsi="Times New Roman" w:cs="Times New Roman"/>
                        </w:rPr>
                        <w:t>) was derived from the direct estimates of the proportion from the YMM survey and the denominator (</w:t>
                      </w:r>
                      <m:oMath>
                        <m:sSub>
                          <m:sSubPr>
                            <m:ctrlPr>
                              <w:rPr>
                                <w:rFonts w:ascii="Cambria Math" w:hAnsi="Cambria Math" w:cs="Times New Roman"/>
                                <w:i/>
                                <w:iCs/>
                              </w:rPr>
                            </m:ctrlPr>
                          </m:sSubPr>
                          <m:e>
                            <m:r>
                              <w:rPr>
                                <w:rFonts w:ascii="Cambria Math" w:hAnsi="Cambria Math" w:cs="Times New Roman"/>
                              </w:rPr>
                              <m:t>n</m:t>
                            </m:r>
                          </m:e>
                          <m:sub>
                            <m:r>
                              <w:rPr>
                                <w:rFonts w:ascii="Cambria Math" w:hAnsi="Cambria Math" w:cs="Times New Roman"/>
                              </w:rPr>
                              <m:t>i</m:t>
                            </m:r>
                          </m:sub>
                        </m:sSub>
                      </m:oMath>
                      <w:r w:rsidRPr="00583339">
                        <w:rPr>
                          <w:rFonts w:ascii="Times New Roman" w:eastAsia="Times New Roman" w:hAnsi="Times New Roman" w:cs="Times New Roman"/>
                          <w:iCs/>
                        </w:rPr>
                        <w:t xml:space="preserve">) was the total number of 12-17 year olds in the SA-1 based on the 2011 census.  </w:t>
                      </w:r>
                    </w:p>
                    <w:p w14:paraId="696E8FBD" w14:textId="0CC59B0D" w:rsidR="00583339" w:rsidRPr="00583339" w:rsidRDefault="00583339" w:rsidP="00583339">
                      <w:pPr>
                        <w:jc w:val="both"/>
                        <w:rPr>
                          <w:rFonts w:ascii="Times New Roman" w:eastAsia="Times New Roman" w:hAnsi="Times New Roman" w:cs="Times New Roman"/>
                          <w:iCs/>
                        </w:rPr>
                      </w:pPr>
                      <w:r w:rsidRPr="00583339">
                        <w:rPr>
                          <w:rFonts w:ascii="Times New Roman" w:eastAsia="Times New Roman" w:hAnsi="Times New Roman" w:cs="Times New Roman"/>
                          <w:iCs/>
                        </w:rPr>
                        <w:t xml:space="preserve">Single level models were fitted for each outcome as described above. These were expanded to incorporate random intercepts for each level-2 unit, </w:t>
                      </w:r>
                      <m:oMath>
                        <m:sSub>
                          <m:sSubPr>
                            <m:ctrlPr>
                              <w:rPr>
                                <w:rFonts w:ascii="Cambria Math" w:hAnsi="Cambria Math" w:cs="Times New Roman"/>
                                <w:i/>
                                <w:iCs/>
                              </w:rPr>
                            </m:ctrlPr>
                          </m:sSubPr>
                          <m:e>
                            <m:r>
                              <w:rPr>
                                <w:rFonts w:ascii="Cambria Math" w:hAnsi="Cambria Math" w:cs="Times New Roman"/>
                              </w:rPr>
                              <m:t>υ</m:t>
                            </m:r>
                          </m:e>
                          <m:sub>
                            <m:r>
                              <w:rPr>
                                <w:rFonts w:ascii="Cambria Math" w:hAnsi="Cambria Math" w:cs="Times New Roman"/>
                              </w:rPr>
                              <m:t>j</m:t>
                            </m:r>
                          </m:sub>
                        </m:sSub>
                      </m:oMath>
                      <w:r w:rsidRPr="00583339">
                        <w:rPr>
                          <w:rFonts w:ascii="Times New Roman" w:eastAsia="Times New Roman" w:hAnsi="Times New Roman" w:cs="Times New Roman"/>
                          <w:iCs/>
                        </w:rPr>
                        <w:t xml:space="preserve">. </w:t>
                      </w:r>
                    </w:p>
                    <w:p w14:paraId="30965C4D" w14:textId="4EB809F7" w:rsidR="00583339" w:rsidRPr="00583339" w:rsidRDefault="00000000" w:rsidP="00583339">
                      <w:pPr>
                        <w:jc w:val="both"/>
                        <w:rPr>
                          <w:rFonts w:ascii="Times New Roman" w:eastAsia="Times New Roman" w:hAnsi="Times New Roman" w:cs="Times New Roman"/>
                          <w:iCs/>
                        </w:rPr>
                      </w:pPr>
                      <m:oMath>
                        <m:func>
                          <m:funcPr>
                            <m:ctrlPr>
                              <w:rPr>
                                <w:rFonts w:ascii="Cambria Math" w:hAnsi="Cambria Math" w:cs="Times New Roman"/>
                              </w:rPr>
                            </m:ctrlPr>
                          </m:funcPr>
                          <m:fName>
                            <m:r>
                              <m:rPr>
                                <m:sty m:val="p"/>
                              </m:rPr>
                              <w:rPr>
                                <w:rFonts w:ascii="Cambria Math" w:hAnsi="Cambria Math" w:cs="Times New Roman"/>
                              </w:rPr>
                              <m:t>logit</m:t>
                            </m:r>
                          </m:fName>
                          <m:e>
                            <m:d>
                              <m:dPr>
                                <m:ctrlPr>
                                  <w:rPr>
                                    <w:rFonts w:ascii="Cambria Math" w:hAnsi="Cambria Math" w:cs="Times New Roman"/>
                                    <w:i/>
                                    <w:iCs/>
                                  </w:rPr>
                                </m:ctrlPr>
                              </m:dPr>
                              <m:e>
                                <m:sSub>
                                  <m:sSubPr>
                                    <m:ctrlPr>
                                      <w:rPr>
                                        <w:rFonts w:ascii="Cambria Math" w:hAnsi="Cambria Math" w:cs="Times New Roman"/>
                                        <w:i/>
                                        <w:iCs/>
                                      </w:rPr>
                                    </m:ctrlPr>
                                  </m:sSubPr>
                                  <m:e>
                                    <m:r>
                                      <w:rPr>
                                        <w:rFonts w:ascii="Cambria Math" w:hAnsi="Cambria Math" w:cs="Times New Roman"/>
                                      </w:rPr>
                                      <m:t>π</m:t>
                                    </m:r>
                                  </m:e>
                                  <m:sub>
                                    <m:r>
                                      <w:rPr>
                                        <w:rFonts w:ascii="Cambria Math" w:hAnsi="Cambria Math" w:cs="Times New Roman"/>
                                      </w:rPr>
                                      <m:t>ij</m:t>
                                    </m:r>
                                  </m:sub>
                                </m:sSub>
                              </m:e>
                            </m:d>
                          </m:e>
                        </m:func>
                        <m:r>
                          <w:rPr>
                            <w:rFonts w:ascii="Cambria Math" w:hAnsi="Cambria Math" w:cs="Times New Roman"/>
                          </w:rPr>
                          <m:t xml:space="preserve">= </m:t>
                        </m:r>
                        <m:sSubSup>
                          <m:sSubSupPr>
                            <m:ctrlPr>
                              <w:rPr>
                                <w:rFonts w:ascii="Cambria Math" w:hAnsi="Cambria Math" w:cs="Times New Roman"/>
                                <w:i/>
                                <w:iCs/>
                              </w:rPr>
                            </m:ctrlPr>
                          </m:sSubSupPr>
                          <m:e>
                            <m:r>
                              <m:rPr>
                                <m:sty m:val="bi"/>
                              </m:rPr>
                              <w:rPr>
                                <w:rFonts w:ascii="Cambria Math" w:hAnsi="Cambria Math" w:cs="Times New Roman"/>
                              </w:rPr>
                              <m:t>βX</m:t>
                            </m:r>
                          </m:e>
                          <m:sub>
                            <m:r>
                              <w:rPr>
                                <w:rFonts w:ascii="Cambria Math" w:hAnsi="Cambria Math" w:cs="Times New Roman"/>
                              </w:rPr>
                              <m:t>ij</m:t>
                            </m:r>
                          </m:sub>
                          <m:sup>
                            <m:r>
                              <w:rPr>
                                <w:rFonts w:ascii="Cambria Math" w:hAnsi="Cambria Math" w:cs="Times New Roman"/>
                              </w:rPr>
                              <m:t>T</m:t>
                            </m:r>
                          </m:sup>
                        </m:sSubSup>
                      </m:oMath>
                      <w:r w:rsidR="00583339" w:rsidRPr="00583339">
                        <w:rPr>
                          <w:rFonts w:ascii="Times New Roman" w:eastAsia="Times New Roman" w:hAnsi="Times New Roman" w:cs="Times New Roman"/>
                          <w:iCs/>
                        </w:rPr>
                        <w:t xml:space="preserve"> +</w:t>
                      </w:r>
                      <m:oMath>
                        <m:sSub>
                          <m:sSubPr>
                            <m:ctrlPr>
                              <w:rPr>
                                <w:rFonts w:ascii="Cambria Math" w:hAnsi="Cambria Math" w:cs="Times New Roman"/>
                                <w:i/>
                                <w:iCs/>
                              </w:rPr>
                            </m:ctrlPr>
                          </m:sSubPr>
                          <m:e>
                            <m:r>
                              <w:rPr>
                                <w:rFonts w:ascii="Cambria Math" w:hAnsi="Cambria Math" w:cs="Times New Roman"/>
                              </w:rPr>
                              <m:t>υ</m:t>
                            </m:r>
                          </m:e>
                          <m:sub>
                            <m:r>
                              <w:rPr>
                                <w:rFonts w:ascii="Cambria Math" w:hAnsi="Cambria Math" w:cs="Times New Roman"/>
                              </w:rPr>
                              <m:t>j</m:t>
                            </m:r>
                          </m:sub>
                        </m:sSub>
                      </m:oMath>
                    </w:p>
                    <w:p w14:paraId="5D58345F" w14:textId="22DFFEE6" w:rsidR="00583339" w:rsidRPr="00583339" w:rsidRDefault="00583339" w:rsidP="00583339">
                      <w:pPr>
                        <w:rPr>
                          <w:rFonts w:ascii="Times New Roman" w:eastAsia="Times New Roman" w:hAnsi="Times New Roman" w:cs="Times New Roman"/>
                        </w:rPr>
                      </w:pPr>
                      <w:r w:rsidRPr="00583339">
                        <w:rPr>
                          <w:rFonts w:ascii="Times New Roman" w:eastAsia="Times New Roman" w:hAnsi="Times New Roman" w:cs="Times New Roman"/>
                        </w:rPr>
                        <w:t xml:space="preserve">The PHN was chosen for the level-2 unit because there were an adequate number of SA1s within most PHNs and this choice provided geographical coverage across the majority of the country. We are assuming that SA1s nested within each PHN are more similar to each other than to those in different PHNs.  </w:t>
                      </w:r>
                    </w:p>
                    <w:p w14:paraId="304CC42D" w14:textId="7280D467" w:rsidR="00583339" w:rsidRPr="00583339" w:rsidRDefault="00583339" w:rsidP="00583339">
                      <w:pPr>
                        <w:jc w:val="both"/>
                        <w:rPr>
                          <w:rFonts w:ascii="Times New Roman" w:eastAsia="Times New Roman" w:hAnsi="Times New Roman" w:cs="Times New Roman"/>
                          <w:iCs/>
                        </w:rPr>
                      </w:pPr>
                      <w:r w:rsidRPr="00583339">
                        <w:rPr>
                          <w:rFonts w:ascii="Times New Roman" w:eastAsia="Times New Roman" w:hAnsi="Times New Roman" w:cs="Times New Roman"/>
                        </w:rPr>
                        <w:t>The log-odds of the expected probability of a positive outcome is assumed to be linearly related to a fixed effects (i.e. a</w:t>
                      </w:r>
                      <w:r w:rsidRPr="00583339">
                        <w:rPr>
                          <w:rFonts w:ascii="Times New Roman" w:eastAsia="Times New Roman" w:hAnsi="Times New Roman" w:cs="Times New Roman"/>
                          <w:b/>
                        </w:rPr>
                        <w:t xml:space="preserve"> </w:t>
                      </w:r>
                      <w:r w:rsidRPr="00583339">
                        <w:rPr>
                          <w:rFonts w:ascii="Times New Roman" w:eastAsia="Times New Roman" w:hAnsi="Times New Roman" w:cs="Times New Roman"/>
                        </w:rPr>
                        <w:t xml:space="preserve">vector of explanatory variables </w:t>
                      </w:r>
                      <m:oMath>
                        <m:r>
                          <m:rPr>
                            <m:sty m:val="bi"/>
                          </m:rPr>
                          <w:rPr>
                            <w:rFonts w:ascii="Cambria Math" w:hAnsi="Cambria Math" w:cs="Times New Roman"/>
                          </w:rPr>
                          <m:t>X</m:t>
                        </m:r>
                      </m:oMath>
                      <w:r w:rsidRPr="00583339">
                        <w:rPr>
                          <w:rFonts w:ascii="Times New Roman" w:eastAsia="Times New Roman" w:hAnsi="Times New Roman" w:cs="Times New Roman"/>
                          <w:b/>
                        </w:rPr>
                        <w:t xml:space="preserve"> </w:t>
                      </w:r>
                      <w:r w:rsidRPr="00583339">
                        <w:rPr>
                          <w:rFonts w:ascii="Times New Roman" w:eastAsia="Times New Roman" w:hAnsi="Times New Roman" w:cs="Times New Roman"/>
                        </w:rPr>
                        <w:t xml:space="preserve">with regression coefficients </w:t>
                      </w:r>
                      <m:oMath>
                        <m:r>
                          <m:rPr>
                            <m:sty m:val="bi"/>
                          </m:rPr>
                          <w:rPr>
                            <w:rFonts w:ascii="Cambria Math" w:hAnsi="Cambria Math" w:cs="Times New Roman"/>
                          </w:rPr>
                          <m:t>β</m:t>
                        </m:r>
                      </m:oMath>
                      <w:r w:rsidRPr="00583339">
                        <w:rPr>
                          <w:rFonts w:ascii="Times New Roman" w:eastAsia="Times New Roman" w:hAnsi="Times New Roman" w:cs="Times New Roman"/>
                        </w:rPr>
                        <w:t>)</w:t>
                      </w:r>
                      <w:r w:rsidRPr="00583339">
                        <w:rPr>
                          <w:rFonts w:ascii="Times New Roman" w:eastAsia="Times New Roman" w:hAnsi="Times New Roman" w:cs="Times New Roman"/>
                          <w:b/>
                        </w:rPr>
                        <w:t xml:space="preserve"> </w:t>
                      </w:r>
                      <w:r w:rsidRPr="00583339">
                        <w:rPr>
                          <w:rFonts w:ascii="Times New Roman" w:eastAsia="Times New Roman" w:hAnsi="Times New Roman" w:cs="Times New Roman"/>
                        </w:rPr>
                        <w:t>plus the level-2 random effects (</w:t>
                      </w:r>
                      <m:oMath>
                        <m:sSub>
                          <m:sSubPr>
                            <m:ctrlPr>
                              <w:rPr>
                                <w:rFonts w:ascii="Cambria Math" w:hAnsi="Cambria Math" w:cs="Times New Roman"/>
                                <w:i/>
                                <w:iCs/>
                              </w:rPr>
                            </m:ctrlPr>
                          </m:sSubPr>
                          <m:e>
                            <m:r>
                              <w:rPr>
                                <w:rFonts w:ascii="Cambria Math" w:hAnsi="Cambria Math" w:cs="Times New Roman"/>
                              </w:rPr>
                              <m:t>υ</m:t>
                            </m:r>
                          </m:e>
                          <m:sub>
                            <m:r>
                              <w:rPr>
                                <w:rFonts w:ascii="Cambria Math" w:hAnsi="Cambria Math" w:cs="Times New Roman"/>
                              </w:rPr>
                              <m:t>j</m:t>
                            </m:r>
                          </m:sub>
                        </m:sSub>
                      </m:oMath>
                      <w:r w:rsidRPr="00583339">
                        <w:rPr>
                          <w:rFonts w:ascii="Times New Roman" w:eastAsia="Times New Roman" w:hAnsi="Times New Roman" w:cs="Times New Roman"/>
                          <w:iCs/>
                        </w:rPr>
                        <w:t>)</w:t>
                      </w:r>
                    </w:p>
                    <w:p w14:paraId="2C43BB90" w14:textId="75EB56EF" w:rsidR="00583339" w:rsidRPr="00583339" w:rsidRDefault="00583339" w:rsidP="00583339">
                      <w:pPr>
                        <w:jc w:val="both"/>
                        <w:rPr>
                          <w:rFonts w:ascii="Times New Roman" w:eastAsia="Times New Roman" w:hAnsi="Times New Roman" w:cs="Times New Roman"/>
                          <w:iCs/>
                        </w:rPr>
                      </w:pPr>
                      <w:r w:rsidRPr="00583339">
                        <w:rPr>
                          <w:rFonts w:ascii="Times New Roman" w:eastAsia="Times New Roman" w:hAnsi="Times New Roman" w:cs="Times New Roman"/>
                          <w:iCs/>
                        </w:rPr>
                        <w:t>The model-based predicted probability for each outcome was derived as:</w:t>
                      </w:r>
                    </w:p>
                    <w:p w14:paraId="58573CB5" w14:textId="48A069B3" w:rsidR="00583339" w:rsidRPr="00583339" w:rsidRDefault="00000000" w:rsidP="00583339">
                      <w:pPr>
                        <w:jc w:val="both"/>
                        <w:rPr>
                          <w:rFonts w:ascii="Times New Roman" w:eastAsia="Times New Roman" w:hAnsi="Times New Roman" w:cs="Times New Roman"/>
                        </w:rPr>
                      </w:pPr>
                      <m:oMathPara>
                        <m:oMath>
                          <m:sSub>
                            <m:sSubPr>
                              <m:ctrlPr>
                                <w:rPr>
                                  <w:rFonts w:ascii="Cambria Math" w:hAnsi="Cambria Math" w:cs="Times New Roman"/>
                                  <w:i/>
                                  <w:iCs/>
                                </w:rPr>
                              </m:ctrlPr>
                            </m:sSubPr>
                            <m:e>
                              <m:r>
                                <w:rPr>
                                  <w:rFonts w:ascii="Cambria Math" w:hAnsi="Cambria Math" w:cs="Times New Roman"/>
                                </w:rPr>
                                <m:t>π</m:t>
                              </m:r>
                            </m:e>
                            <m:sub>
                              <m:r>
                                <w:rPr>
                                  <w:rFonts w:ascii="Cambria Math" w:hAnsi="Cambria Math" w:cs="Times New Roman"/>
                                </w:rPr>
                                <m:t>ij</m:t>
                              </m:r>
                            </m:sub>
                          </m:sSub>
                          <m:r>
                            <w:rPr>
                              <w:rFonts w:ascii="Cambria Math" w:hAnsi="Cambria Math" w:cs="Times New Roman"/>
                            </w:rPr>
                            <m:t>=</m:t>
                          </m:r>
                          <m:f>
                            <m:fPr>
                              <m:ctrlPr>
                                <w:rPr>
                                  <w:rFonts w:ascii="Cambria Math" w:eastAsia="Times New Roman" w:hAnsi="Cambria Math" w:cs="Times New Roman"/>
                                </w:rPr>
                              </m:ctrlPr>
                            </m:fPr>
                            <m:num>
                              <m:func>
                                <m:funcPr>
                                  <m:ctrlPr>
                                    <w:rPr>
                                      <w:rFonts w:ascii="Cambria Math" w:eastAsia="Times New Roman" w:hAnsi="Cambria Math" w:cs="Times New Roman"/>
                                    </w:rPr>
                                  </m:ctrlPr>
                                </m:funcPr>
                                <m:fName>
                                  <m:r>
                                    <m:rPr>
                                      <m:sty m:val="p"/>
                                    </m:rPr>
                                    <w:rPr>
                                      <w:rFonts w:ascii="Cambria Math" w:eastAsia="Times New Roman" w:hAnsi="Cambria Math" w:cs="Times New Roman"/>
                                    </w:rPr>
                                    <m:t>exp</m:t>
                                  </m:r>
                                </m:fName>
                                <m:e>
                                  <m:r>
                                    <w:rPr>
                                      <w:rFonts w:ascii="Cambria Math" w:eastAsia="Times New Roman" w:hAnsi="Cambria Math" w:cs="Times New Roman"/>
                                    </w:rPr>
                                    <m:t>(</m:t>
                                  </m:r>
                                  <m:sSubSup>
                                    <m:sSubSupPr>
                                      <m:ctrlPr>
                                        <w:rPr>
                                          <w:rFonts w:ascii="Cambria Math" w:hAnsi="Cambria Math" w:cs="Times New Roman"/>
                                          <w:i/>
                                          <w:iCs/>
                                        </w:rPr>
                                      </m:ctrlPr>
                                    </m:sSubSupPr>
                                    <m:e>
                                      <m:r>
                                        <m:rPr>
                                          <m:sty m:val="bi"/>
                                        </m:rPr>
                                        <w:rPr>
                                          <w:rFonts w:ascii="Cambria Math" w:hAnsi="Cambria Math" w:cs="Times New Roman"/>
                                        </w:rPr>
                                        <m:t>βX</m:t>
                                      </m:r>
                                    </m:e>
                                    <m:sub>
                                      <m:r>
                                        <w:rPr>
                                          <w:rFonts w:ascii="Cambria Math" w:hAnsi="Cambria Math" w:cs="Times New Roman"/>
                                        </w:rPr>
                                        <m:t>ij</m:t>
                                      </m:r>
                                    </m:sub>
                                    <m:sup>
                                      <m:r>
                                        <w:rPr>
                                          <w:rFonts w:ascii="Cambria Math" w:hAnsi="Cambria Math" w:cs="Times New Roman"/>
                                        </w:rPr>
                                        <m:t>T</m:t>
                                      </m:r>
                                    </m:sup>
                                  </m:sSubSup>
                                  <m:r>
                                    <m:rPr>
                                      <m:sty m:val="p"/>
                                    </m:rPr>
                                    <w:rPr>
                                      <w:rFonts w:ascii="Cambria Math" w:eastAsia="Times New Roman" w:hAnsi="Cambria Math" w:cs="Times New Roman"/>
                                    </w:rPr>
                                    <m:t xml:space="preserve"> +</m:t>
                                  </m:r>
                                  <m:sSub>
                                    <m:sSubPr>
                                      <m:ctrlPr>
                                        <w:rPr>
                                          <w:rFonts w:ascii="Cambria Math" w:hAnsi="Cambria Math" w:cs="Times New Roman"/>
                                          <w:i/>
                                          <w:iCs/>
                                        </w:rPr>
                                      </m:ctrlPr>
                                    </m:sSubPr>
                                    <m:e>
                                      <m:r>
                                        <w:rPr>
                                          <w:rFonts w:ascii="Cambria Math" w:hAnsi="Cambria Math" w:cs="Times New Roman"/>
                                        </w:rPr>
                                        <m:t>υ</m:t>
                                      </m:r>
                                    </m:e>
                                    <m:sub>
                                      <m:r>
                                        <w:rPr>
                                          <w:rFonts w:ascii="Cambria Math" w:hAnsi="Cambria Math" w:cs="Times New Roman"/>
                                        </w:rPr>
                                        <m:t>j</m:t>
                                      </m:r>
                                    </m:sub>
                                  </m:sSub>
                                  <m:r>
                                    <w:rPr>
                                      <w:rFonts w:ascii="Cambria Math" w:hAnsi="Cambria Math" w:cs="Times New Roman"/>
                                    </w:rPr>
                                    <m:t>)</m:t>
                                  </m:r>
                                </m:e>
                              </m:func>
                            </m:num>
                            <m:den>
                              <m:r>
                                <w:rPr>
                                  <w:rFonts w:ascii="Cambria Math" w:eastAsia="Times New Roman" w:hAnsi="Cambria Math" w:cs="Times New Roman"/>
                                </w:rPr>
                                <m:t>1+</m:t>
                              </m:r>
                              <m:func>
                                <m:funcPr>
                                  <m:ctrlPr>
                                    <w:rPr>
                                      <w:rFonts w:ascii="Cambria Math" w:eastAsia="Times New Roman" w:hAnsi="Cambria Math" w:cs="Times New Roman"/>
                                    </w:rPr>
                                  </m:ctrlPr>
                                </m:funcPr>
                                <m:fName>
                                  <m:r>
                                    <m:rPr>
                                      <m:sty m:val="p"/>
                                    </m:rPr>
                                    <w:rPr>
                                      <w:rFonts w:ascii="Cambria Math" w:eastAsia="Times New Roman" w:hAnsi="Cambria Math" w:cs="Times New Roman"/>
                                    </w:rPr>
                                    <m:t>exp</m:t>
                                  </m:r>
                                </m:fName>
                                <m:e>
                                  <m:r>
                                    <w:rPr>
                                      <w:rFonts w:ascii="Cambria Math" w:eastAsia="Times New Roman" w:hAnsi="Cambria Math" w:cs="Times New Roman"/>
                                    </w:rPr>
                                    <m:t>(</m:t>
                                  </m:r>
                                  <m:sSubSup>
                                    <m:sSubSupPr>
                                      <m:ctrlPr>
                                        <w:rPr>
                                          <w:rFonts w:ascii="Cambria Math" w:hAnsi="Cambria Math" w:cs="Times New Roman"/>
                                          <w:i/>
                                          <w:iCs/>
                                        </w:rPr>
                                      </m:ctrlPr>
                                    </m:sSubSupPr>
                                    <m:e>
                                      <m:r>
                                        <m:rPr>
                                          <m:sty m:val="bi"/>
                                        </m:rPr>
                                        <w:rPr>
                                          <w:rFonts w:ascii="Cambria Math" w:hAnsi="Cambria Math" w:cs="Times New Roman"/>
                                        </w:rPr>
                                        <m:t>βX</m:t>
                                      </m:r>
                                    </m:e>
                                    <m:sub>
                                      <m:r>
                                        <w:rPr>
                                          <w:rFonts w:ascii="Cambria Math" w:hAnsi="Cambria Math" w:cs="Times New Roman"/>
                                        </w:rPr>
                                        <m:t>ij</m:t>
                                      </m:r>
                                    </m:sub>
                                    <m:sup>
                                      <m:r>
                                        <w:rPr>
                                          <w:rFonts w:ascii="Cambria Math" w:hAnsi="Cambria Math" w:cs="Times New Roman"/>
                                        </w:rPr>
                                        <m:t>T</m:t>
                                      </m:r>
                                    </m:sup>
                                  </m:sSubSup>
                                  <m:r>
                                    <m:rPr>
                                      <m:sty m:val="p"/>
                                    </m:rPr>
                                    <w:rPr>
                                      <w:rFonts w:ascii="Cambria Math" w:eastAsia="Times New Roman" w:hAnsi="Cambria Math" w:cs="Times New Roman"/>
                                    </w:rPr>
                                    <m:t xml:space="preserve"> +</m:t>
                                  </m:r>
                                  <m:sSub>
                                    <m:sSubPr>
                                      <m:ctrlPr>
                                        <w:rPr>
                                          <w:rFonts w:ascii="Cambria Math" w:hAnsi="Cambria Math" w:cs="Times New Roman"/>
                                          <w:i/>
                                          <w:iCs/>
                                        </w:rPr>
                                      </m:ctrlPr>
                                    </m:sSubPr>
                                    <m:e>
                                      <m:r>
                                        <w:rPr>
                                          <w:rFonts w:ascii="Cambria Math" w:hAnsi="Cambria Math" w:cs="Times New Roman"/>
                                        </w:rPr>
                                        <m:t>υ</m:t>
                                      </m:r>
                                    </m:e>
                                    <m:sub>
                                      <m:r>
                                        <w:rPr>
                                          <w:rFonts w:ascii="Cambria Math" w:hAnsi="Cambria Math" w:cs="Times New Roman"/>
                                        </w:rPr>
                                        <m:t>j</m:t>
                                      </m:r>
                                    </m:sub>
                                  </m:sSub>
                                  <m:r>
                                    <w:rPr>
                                      <w:rFonts w:ascii="Cambria Math" w:hAnsi="Cambria Math" w:cs="Times New Roman"/>
                                    </w:rPr>
                                    <m:t>)</m:t>
                                  </m:r>
                                </m:e>
                              </m:func>
                            </m:den>
                          </m:f>
                        </m:oMath>
                      </m:oMathPara>
                    </w:p>
                    <w:p w14:paraId="25C0BE07" w14:textId="77777777" w:rsidR="00583339" w:rsidRPr="00583339" w:rsidRDefault="00583339" w:rsidP="00583339">
                      <w:pPr>
                        <w:jc w:val="both"/>
                        <w:rPr>
                          <w:rFonts w:ascii="Times New Roman" w:eastAsia="Times New Roman" w:hAnsi="Times New Roman" w:cs="Times New Roman"/>
                          <w:iCs/>
                        </w:rPr>
                      </w:pPr>
                      <w:r w:rsidRPr="00583339">
                        <w:rPr>
                          <w:rFonts w:ascii="Times New Roman" w:eastAsia="Times New Roman" w:hAnsi="Times New Roman" w:cs="Times New Roman"/>
                          <w:iCs/>
                        </w:rPr>
                        <w:t>For each PHN (</w:t>
                      </w:r>
                      <w:r w:rsidRPr="00583339">
                        <w:rPr>
                          <w:rFonts w:ascii="Times New Roman" w:eastAsia="Times New Roman" w:hAnsi="Times New Roman" w:cs="Times New Roman"/>
                          <w:i/>
                          <w:iCs/>
                        </w:rPr>
                        <w:t>j</w:t>
                      </w:r>
                      <w:r w:rsidRPr="00583339">
                        <w:rPr>
                          <w:rFonts w:ascii="Times New Roman" w:eastAsia="Times New Roman" w:hAnsi="Times New Roman" w:cs="Times New Roman"/>
                          <w:iCs/>
                        </w:rPr>
                        <w:t xml:space="preserve">), assuming there were </w:t>
                      </w:r>
                      <w:r w:rsidRPr="00583339">
                        <w:rPr>
                          <w:rFonts w:ascii="Times New Roman" w:eastAsia="Times New Roman" w:hAnsi="Times New Roman" w:cs="Times New Roman"/>
                          <w:i/>
                          <w:iCs/>
                        </w:rPr>
                        <w:t>M</w:t>
                      </w:r>
                      <w:r w:rsidRPr="00583339">
                        <w:rPr>
                          <w:rFonts w:ascii="Times New Roman" w:eastAsia="Times New Roman" w:hAnsi="Times New Roman" w:cs="Times New Roman"/>
                          <w:iCs/>
                        </w:rPr>
                        <w:t xml:space="preserve"> SA1-level units (</w:t>
                      </w:r>
                      <w:r w:rsidRPr="00583339">
                        <w:rPr>
                          <w:rFonts w:ascii="Times New Roman" w:eastAsia="Times New Roman" w:hAnsi="Times New Roman" w:cs="Times New Roman"/>
                          <w:i/>
                          <w:iCs/>
                        </w:rPr>
                        <w:t>i</w:t>
                      </w:r>
                      <w:r w:rsidRPr="00583339">
                        <w:rPr>
                          <w:rFonts w:ascii="Times New Roman" w:eastAsia="Times New Roman" w:hAnsi="Times New Roman" w:cs="Times New Roman"/>
                          <w:iCs/>
                        </w:rPr>
                        <w:t xml:space="preserve">), the initial model-based estimate was derived by summing the predicted counts (numerators) and census counts (denominators): </w:t>
                      </w:r>
                    </w:p>
                    <w:p w14:paraId="6E46D6F3" w14:textId="77777777" w:rsidR="00583339" w:rsidRDefault="00000000" w:rsidP="00583339">
                      <w:pPr>
                        <w:jc w:val="both"/>
                        <w:rPr>
                          <w:rFonts w:eastAsia="Times New Roman"/>
                        </w:rPr>
                      </w:pPr>
                      <m:oMathPara>
                        <m:oMath>
                          <m:sSub>
                            <m:sSubPr>
                              <m:ctrlPr>
                                <w:rPr>
                                  <w:rFonts w:ascii="Cambria Math" w:hAnsi="Cambria Math" w:cs="Times New Roman"/>
                                  <w:i/>
                                  <w:iCs/>
                                </w:rPr>
                              </m:ctrlPr>
                            </m:sSubPr>
                            <m:e>
                              <m:r>
                                <w:rPr>
                                  <w:rFonts w:ascii="Cambria Math" w:hAnsi="Cambria Math" w:cs="Times New Roman"/>
                                </w:rPr>
                                <m:t>π</m:t>
                              </m:r>
                            </m:e>
                            <m:sub>
                              <m:r>
                                <w:rPr>
                                  <w:rFonts w:ascii="Cambria Math" w:hAnsi="Cambria Math" w:cs="Times New Roman"/>
                                </w:rPr>
                                <m:t>j</m:t>
                              </m:r>
                            </m:sub>
                          </m:sSub>
                          <m:r>
                            <w:rPr>
                              <w:rFonts w:ascii="Cambria Math" w:hAnsi="Cambria Math" w:cs="Times New Roman"/>
                            </w:rPr>
                            <m:t>=</m:t>
                          </m:r>
                          <m:f>
                            <m:fPr>
                              <m:ctrlPr>
                                <w:rPr>
                                  <w:rFonts w:ascii="Cambria Math" w:eastAsia="Times New Roman" w:hAnsi="Cambria Math" w:cs="Times New Roman"/>
                                </w:rPr>
                              </m:ctrlPr>
                            </m:fPr>
                            <m:num>
                              <m:nary>
                                <m:naryPr>
                                  <m:chr m:val="∑"/>
                                  <m:grow m:val="1"/>
                                  <m:ctrlPr>
                                    <w:rPr>
                                      <w:rFonts w:ascii="Cambria Math" w:eastAsia="Times New Roman" w:hAnsi="Cambria Math" w:cs="Times New Roman"/>
                                    </w:rPr>
                                  </m:ctrlPr>
                                </m:naryPr>
                                <m:sub>
                                  <m:r>
                                    <w:rPr>
                                      <w:rFonts w:ascii="Cambria Math" w:eastAsia="Cambria Math" w:hAnsi="Cambria Math" w:cs="Times New Roman"/>
                                    </w:rPr>
                                    <m:t>i=1</m:t>
                                  </m:r>
                                </m:sub>
                                <m:sup>
                                  <m:r>
                                    <w:rPr>
                                      <w:rFonts w:ascii="Cambria Math" w:eastAsia="Cambria Math" w:hAnsi="Cambria Math" w:cs="Times New Roman"/>
                                    </w:rPr>
                                    <m:t>m</m:t>
                                  </m:r>
                                </m:sup>
                                <m:e>
                                  <m:sSub>
                                    <m:sSubPr>
                                      <m:ctrlPr>
                                        <w:rPr>
                                          <w:rFonts w:ascii="Cambria Math" w:hAnsi="Cambria Math" w:cs="Times New Roman"/>
                                          <w:i/>
                                          <w:iCs/>
                                        </w:rPr>
                                      </m:ctrlPr>
                                    </m:sSubPr>
                                    <m:e>
                                      <m:sSub>
                                        <m:sSubPr>
                                          <m:ctrlPr>
                                            <w:rPr>
                                              <w:rFonts w:ascii="Cambria Math" w:hAnsi="Cambria Math" w:cs="Times New Roman"/>
                                              <w:i/>
                                              <w:iCs/>
                                            </w:rPr>
                                          </m:ctrlPr>
                                        </m:sSubPr>
                                        <m:e>
                                          <m:r>
                                            <w:rPr>
                                              <w:rFonts w:ascii="Cambria Math" w:hAnsi="Cambria Math" w:cs="Times New Roman"/>
                                            </w:rPr>
                                            <m:t>n</m:t>
                                          </m:r>
                                        </m:e>
                                        <m:sub>
                                          <m:r>
                                            <w:rPr>
                                              <w:rFonts w:ascii="Cambria Math" w:hAnsi="Cambria Math" w:cs="Times New Roman"/>
                                            </w:rPr>
                                            <m:t>i</m:t>
                                          </m:r>
                                        </m:sub>
                                      </m:sSub>
                                      <m:r>
                                        <w:rPr>
                                          <w:rFonts w:ascii="Cambria Math" w:hAnsi="Cambria Math" w:cs="Times New Roman"/>
                                        </w:rPr>
                                        <m:t>π</m:t>
                                      </m:r>
                                    </m:e>
                                    <m:sub>
                                      <m:r>
                                        <w:rPr>
                                          <w:rFonts w:ascii="Cambria Math" w:hAnsi="Cambria Math" w:cs="Times New Roman"/>
                                        </w:rPr>
                                        <m:t>i</m:t>
                                      </m:r>
                                    </m:sub>
                                  </m:sSub>
                                </m:e>
                              </m:nary>
                            </m:num>
                            <m:den>
                              <m:nary>
                                <m:naryPr>
                                  <m:chr m:val="∑"/>
                                  <m:grow m:val="1"/>
                                  <m:ctrlPr>
                                    <w:rPr>
                                      <w:rFonts w:ascii="Cambria Math" w:eastAsia="Times New Roman" w:hAnsi="Cambria Math" w:cs="Times New Roman"/>
                                    </w:rPr>
                                  </m:ctrlPr>
                                </m:naryPr>
                                <m:sub>
                                  <m:r>
                                    <w:rPr>
                                      <w:rFonts w:ascii="Cambria Math" w:eastAsia="Cambria Math" w:hAnsi="Cambria Math" w:cs="Times New Roman"/>
                                    </w:rPr>
                                    <m:t>i=1</m:t>
                                  </m:r>
                                </m:sub>
                                <m:sup>
                                  <m:r>
                                    <w:rPr>
                                      <w:rFonts w:ascii="Cambria Math" w:eastAsia="Cambria Math" w:hAnsi="Cambria Math" w:cs="Times New Roman"/>
                                    </w:rPr>
                                    <m:t>m</m:t>
                                  </m:r>
                                </m:sup>
                                <m:e>
                                  <m:sSub>
                                    <m:sSubPr>
                                      <m:ctrlPr>
                                        <w:rPr>
                                          <w:rFonts w:ascii="Cambria Math" w:hAnsi="Cambria Math" w:cs="Times New Roman"/>
                                          <w:i/>
                                          <w:iCs/>
                                        </w:rPr>
                                      </m:ctrlPr>
                                    </m:sSubPr>
                                    <m:e>
                                      <m:r>
                                        <w:rPr>
                                          <w:rFonts w:ascii="Cambria Math" w:hAnsi="Cambria Math" w:cs="Times New Roman"/>
                                        </w:rPr>
                                        <m:t>n</m:t>
                                      </m:r>
                                    </m:e>
                                    <m:sub>
                                      <m:r>
                                        <w:rPr>
                                          <w:rFonts w:ascii="Cambria Math" w:hAnsi="Cambria Math" w:cs="Times New Roman"/>
                                        </w:rPr>
                                        <m:t>i</m:t>
                                      </m:r>
                                    </m:sub>
                                  </m:sSub>
                                </m:e>
                              </m:nary>
                            </m:den>
                          </m:f>
                        </m:oMath>
                      </m:oMathPara>
                    </w:p>
                    <w:p w14:paraId="2EB12243" w14:textId="77777777" w:rsidR="00583339" w:rsidRPr="002939A8" w:rsidRDefault="00583339" w:rsidP="00583339">
                      <w:pPr>
                        <w:pStyle w:val="Default"/>
                        <w:spacing w:line="360" w:lineRule="auto"/>
                        <w:jc w:val="both"/>
                        <w:rPr>
                          <w:rFonts w:ascii="Times New Roman" w:hAnsi="Times New Roman" w:cs="Times New Roman"/>
                        </w:rPr>
                      </w:pPr>
                    </w:p>
                    <w:p w14:paraId="67378013" w14:textId="6AE5589D" w:rsidR="00583339" w:rsidRDefault="00583339"/>
                  </w:txbxContent>
                </v:textbox>
              </v:shape>
            </w:pict>
          </mc:Fallback>
        </mc:AlternateContent>
      </w:r>
    </w:p>
    <w:p w14:paraId="38ADF391" w14:textId="5A4024F8" w:rsidR="00583339" w:rsidRDefault="00583339" w:rsidP="005B54C7">
      <w:pPr>
        <w:spacing w:after="0" w:line="360" w:lineRule="auto"/>
        <w:jc w:val="both"/>
        <w:rPr>
          <w:rFonts w:ascii="Times New Roman" w:eastAsia="Times New Roman" w:hAnsi="Times New Roman" w:cs="Times New Roman"/>
          <w:sz w:val="24"/>
          <w:szCs w:val="24"/>
        </w:rPr>
      </w:pPr>
    </w:p>
    <w:p w14:paraId="5207EF9C" w14:textId="77777777" w:rsidR="00583339" w:rsidRDefault="00583339" w:rsidP="005B54C7">
      <w:pPr>
        <w:spacing w:after="0" w:line="360" w:lineRule="auto"/>
        <w:jc w:val="both"/>
        <w:rPr>
          <w:rFonts w:ascii="Times New Roman" w:eastAsia="Times New Roman" w:hAnsi="Times New Roman" w:cs="Times New Roman"/>
          <w:sz w:val="24"/>
          <w:szCs w:val="24"/>
        </w:rPr>
      </w:pPr>
    </w:p>
    <w:p w14:paraId="6B5CBA3A" w14:textId="77777777" w:rsidR="00583339" w:rsidRDefault="00583339" w:rsidP="005B54C7">
      <w:pPr>
        <w:spacing w:after="0" w:line="360" w:lineRule="auto"/>
        <w:jc w:val="both"/>
        <w:rPr>
          <w:rFonts w:ascii="Times New Roman" w:eastAsia="Times New Roman" w:hAnsi="Times New Roman" w:cs="Times New Roman"/>
          <w:sz w:val="24"/>
          <w:szCs w:val="24"/>
        </w:rPr>
      </w:pPr>
    </w:p>
    <w:p w14:paraId="2F030156" w14:textId="77777777" w:rsidR="00583339" w:rsidRDefault="00583339" w:rsidP="005B54C7">
      <w:pPr>
        <w:spacing w:after="0" w:line="360" w:lineRule="auto"/>
        <w:jc w:val="both"/>
        <w:rPr>
          <w:rFonts w:ascii="Times New Roman" w:eastAsia="Times New Roman" w:hAnsi="Times New Roman" w:cs="Times New Roman"/>
          <w:sz w:val="24"/>
          <w:szCs w:val="24"/>
        </w:rPr>
      </w:pPr>
    </w:p>
    <w:p w14:paraId="1D206BA7" w14:textId="77777777" w:rsidR="00583339" w:rsidRDefault="00583339" w:rsidP="005B54C7">
      <w:pPr>
        <w:spacing w:after="0" w:line="360" w:lineRule="auto"/>
        <w:jc w:val="both"/>
        <w:rPr>
          <w:rFonts w:ascii="Times New Roman" w:eastAsia="Times New Roman" w:hAnsi="Times New Roman" w:cs="Times New Roman"/>
          <w:sz w:val="24"/>
          <w:szCs w:val="24"/>
        </w:rPr>
      </w:pPr>
    </w:p>
    <w:p w14:paraId="363A3691" w14:textId="77777777" w:rsidR="00583339" w:rsidRDefault="00583339" w:rsidP="005B54C7">
      <w:pPr>
        <w:spacing w:after="0" w:line="360" w:lineRule="auto"/>
        <w:jc w:val="both"/>
        <w:rPr>
          <w:rFonts w:ascii="Times New Roman" w:eastAsia="Times New Roman" w:hAnsi="Times New Roman" w:cs="Times New Roman"/>
          <w:sz w:val="24"/>
          <w:szCs w:val="24"/>
        </w:rPr>
      </w:pPr>
    </w:p>
    <w:p w14:paraId="70DBBC61" w14:textId="77777777" w:rsidR="00583339" w:rsidRDefault="00583339" w:rsidP="005B54C7">
      <w:pPr>
        <w:spacing w:after="0" w:line="360" w:lineRule="auto"/>
        <w:jc w:val="both"/>
        <w:rPr>
          <w:rFonts w:ascii="Times New Roman" w:eastAsia="Times New Roman" w:hAnsi="Times New Roman" w:cs="Times New Roman"/>
          <w:sz w:val="24"/>
          <w:szCs w:val="24"/>
        </w:rPr>
      </w:pPr>
    </w:p>
    <w:p w14:paraId="249EE39C" w14:textId="77777777" w:rsidR="00583339" w:rsidRDefault="00583339" w:rsidP="005B54C7">
      <w:pPr>
        <w:spacing w:after="0" w:line="360" w:lineRule="auto"/>
        <w:jc w:val="both"/>
        <w:rPr>
          <w:rFonts w:ascii="Times New Roman" w:eastAsia="Times New Roman" w:hAnsi="Times New Roman" w:cs="Times New Roman"/>
          <w:sz w:val="24"/>
          <w:szCs w:val="24"/>
        </w:rPr>
      </w:pPr>
    </w:p>
    <w:p w14:paraId="04DB8558" w14:textId="77777777" w:rsidR="00583339" w:rsidRDefault="00583339" w:rsidP="005B54C7">
      <w:pPr>
        <w:spacing w:after="0" w:line="360" w:lineRule="auto"/>
        <w:jc w:val="both"/>
        <w:rPr>
          <w:rFonts w:ascii="Times New Roman" w:eastAsia="Times New Roman" w:hAnsi="Times New Roman" w:cs="Times New Roman"/>
          <w:sz w:val="24"/>
          <w:szCs w:val="24"/>
        </w:rPr>
      </w:pPr>
    </w:p>
    <w:p w14:paraId="7BAA915D" w14:textId="77777777" w:rsidR="00583339" w:rsidRPr="002939A8" w:rsidRDefault="00583339" w:rsidP="00583339">
      <w:pPr>
        <w:spacing w:after="0" w:line="360" w:lineRule="auto"/>
        <w:jc w:val="both"/>
        <w:rPr>
          <w:rFonts w:ascii="Times New Roman" w:hAnsi="Times New Roman" w:cs="Times New Roman"/>
          <w:sz w:val="24"/>
          <w:szCs w:val="24"/>
        </w:rPr>
      </w:pPr>
    </w:p>
    <w:p w14:paraId="3A3BDD3C" w14:textId="77777777" w:rsidR="00583339" w:rsidRPr="005B54C7" w:rsidRDefault="00583339" w:rsidP="005B54C7">
      <w:pPr>
        <w:spacing w:after="0" w:line="360" w:lineRule="auto"/>
        <w:jc w:val="both"/>
        <w:rPr>
          <w:rFonts w:ascii="Times New Roman" w:hAnsi="Times New Roman" w:cs="Times New Roman"/>
          <w:sz w:val="24"/>
          <w:szCs w:val="24"/>
        </w:rPr>
      </w:pPr>
    </w:p>
    <w:p w14:paraId="7AE5EC83" w14:textId="77777777" w:rsidR="002939A8" w:rsidRDefault="002939A8" w:rsidP="002939A8">
      <w:pPr>
        <w:spacing w:after="0" w:line="360" w:lineRule="auto"/>
        <w:jc w:val="both"/>
        <w:rPr>
          <w:rFonts w:ascii="Times New Roman" w:hAnsi="Times New Roman" w:cs="Times New Roman"/>
          <w:sz w:val="24"/>
          <w:szCs w:val="24"/>
        </w:rPr>
      </w:pPr>
    </w:p>
    <w:p w14:paraId="16010EB3" w14:textId="77777777" w:rsidR="00583339" w:rsidRDefault="00583339" w:rsidP="002939A8">
      <w:pPr>
        <w:spacing w:after="0" w:line="360" w:lineRule="auto"/>
        <w:jc w:val="both"/>
        <w:rPr>
          <w:rFonts w:ascii="Times New Roman" w:hAnsi="Times New Roman" w:cs="Times New Roman"/>
          <w:sz w:val="24"/>
          <w:szCs w:val="24"/>
        </w:rPr>
      </w:pPr>
    </w:p>
    <w:p w14:paraId="69AF2EB1" w14:textId="77777777" w:rsidR="00583339" w:rsidRPr="002939A8" w:rsidRDefault="00583339" w:rsidP="002939A8">
      <w:pPr>
        <w:spacing w:after="0" w:line="360" w:lineRule="auto"/>
        <w:jc w:val="both"/>
        <w:rPr>
          <w:rFonts w:ascii="Times New Roman" w:hAnsi="Times New Roman" w:cs="Times New Roman"/>
          <w:sz w:val="24"/>
          <w:szCs w:val="24"/>
        </w:rPr>
      </w:pPr>
    </w:p>
    <w:p w14:paraId="27C61368" w14:textId="77777777" w:rsidR="00583339" w:rsidRDefault="00583339" w:rsidP="002939A8">
      <w:pPr>
        <w:pStyle w:val="Default"/>
        <w:spacing w:line="360" w:lineRule="auto"/>
        <w:jc w:val="both"/>
        <w:rPr>
          <w:rFonts w:ascii="Times New Roman" w:hAnsi="Times New Roman" w:cs="Times New Roman"/>
        </w:rPr>
      </w:pPr>
    </w:p>
    <w:p w14:paraId="4EE995AB" w14:textId="77777777" w:rsidR="00583339" w:rsidRDefault="00583339" w:rsidP="002939A8">
      <w:pPr>
        <w:pStyle w:val="Default"/>
        <w:spacing w:line="360" w:lineRule="auto"/>
        <w:jc w:val="both"/>
        <w:rPr>
          <w:rFonts w:ascii="Times New Roman" w:hAnsi="Times New Roman" w:cs="Times New Roman"/>
        </w:rPr>
      </w:pPr>
    </w:p>
    <w:p w14:paraId="4251D7FD" w14:textId="77777777" w:rsidR="00583339" w:rsidRDefault="00583339" w:rsidP="002939A8">
      <w:pPr>
        <w:pStyle w:val="Default"/>
        <w:spacing w:line="360" w:lineRule="auto"/>
        <w:jc w:val="both"/>
        <w:rPr>
          <w:rFonts w:ascii="Times New Roman" w:hAnsi="Times New Roman" w:cs="Times New Roman"/>
        </w:rPr>
      </w:pPr>
    </w:p>
    <w:p w14:paraId="62C69C7D" w14:textId="77777777" w:rsidR="00583339" w:rsidRDefault="00583339" w:rsidP="002939A8">
      <w:pPr>
        <w:pStyle w:val="Default"/>
        <w:spacing w:line="360" w:lineRule="auto"/>
        <w:jc w:val="both"/>
        <w:rPr>
          <w:rFonts w:ascii="Times New Roman" w:hAnsi="Times New Roman" w:cs="Times New Roman"/>
        </w:rPr>
      </w:pPr>
    </w:p>
    <w:p w14:paraId="39628CC9" w14:textId="77777777" w:rsidR="00583339" w:rsidRDefault="00583339" w:rsidP="002939A8">
      <w:pPr>
        <w:pStyle w:val="Default"/>
        <w:spacing w:line="360" w:lineRule="auto"/>
        <w:jc w:val="both"/>
        <w:rPr>
          <w:rFonts w:ascii="Times New Roman" w:hAnsi="Times New Roman" w:cs="Times New Roman"/>
        </w:rPr>
      </w:pPr>
    </w:p>
    <w:p w14:paraId="301E0205" w14:textId="77777777" w:rsidR="000D6800" w:rsidRDefault="000D6800" w:rsidP="002939A8">
      <w:pPr>
        <w:pStyle w:val="Default"/>
        <w:spacing w:line="360" w:lineRule="auto"/>
        <w:jc w:val="both"/>
        <w:rPr>
          <w:rFonts w:ascii="Times New Roman" w:hAnsi="Times New Roman" w:cs="Times New Roman"/>
        </w:rPr>
      </w:pPr>
    </w:p>
    <w:p w14:paraId="661C2C91" w14:textId="392DAA57" w:rsidR="00577590" w:rsidRDefault="002939A8" w:rsidP="002939A8">
      <w:pPr>
        <w:pStyle w:val="Default"/>
        <w:spacing w:line="360" w:lineRule="auto"/>
        <w:jc w:val="both"/>
        <w:rPr>
          <w:rFonts w:ascii="Times New Roman" w:hAnsi="Times New Roman" w:cs="Times New Roman"/>
        </w:rPr>
      </w:pPr>
      <w:r w:rsidRPr="002939A8">
        <w:rPr>
          <w:rFonts w:ascii="Times New Roman" w:hAnsi="Times New Roman" w:cs="Times New Roman"/>
        </w:rPr>
        <w:t>Model-based predicted counts and prevalences for each SA1 were derived for 2011 incorporating both fixed and random effects</w:t>
      </w:r>
      <w:r w:rsidR="00583339">
        <w:rPr>
          <w:rFonts w:ascii="Times New Roman" w:hAnsi="Times New Roman" w:cs="Times New Roman"/>
        </w:rPr>
        <w:t xml:space="preserve"> (where this mixed effect modelling produced smoothed or shrunken estimates)</w:t>
      </w:r>
      <w:r w:rsidRPr="002939A8">
        <w:rPr>
          <w:rFonts w:ascii="Times New Roman" w:hAnsi="Times New Roman" w:cs="Times New Roman"/>
        </w:rPr>
        <w:t xml:space="preserve">. In addition, model coefficients and estimated random effects were used with the SA1-level auxiliary variables derived from the 2016 Census to derive predicted prevalence estimates for each outcome for each SA1 in 2019, incorporating the estimated resident population (ERP) for 2019. The predicted counts (number of events) and Census totals (number of 12-17 year olds) in 2011 were aggregated within PHNs to derive the </w:t>
      </w:r>
      <w:r w:rsidRPr="002939A8">
        <w:rPr>
          <w:rFonts w:ascii="Times New Roman" w:hAnsi="Times New Roman" w:cs="Times New Roman"/>
        </w:rPr>
        <w:lastRenderedPageBreak/>
        <w:t xml:space="preserve">model-based predicted PHN-prevalence for each outcome. These were compared to the YMM prevalence estimates to derive benchmark factors (YMM prevalence/PHN estimated prevalence). Benchmarked prevalences were derived for each SA1 for each year of interest by multiplying the benchmark factor by the model-based predicted prevalence. The benchmarked count for each SA1 for each year was derived as the benchmarked-prevalence multiplied by the ERP of 12-17 year olds for 2011 and 2019. </w:t>
      </w:r>
    </w:p>
    <w:p w14:paraId="5C2BBD85" w14:textId="77777777" w:rsidR="00577590" w:rsidRDefault="00577590" w:rsidP="002939A8">
      <w:pPr>
        <w:pStyle w:val="Default"/>
        <w:spacing w:line="360" w:lineRule="auto"/>
        <w:jc w:val="both"/>
        <w:rPr>
          <w:rFonts w:ascii="Times New Roman" w:hAnsi="Times New Roman" w:cs="Times New Roman"/>
        </w:rPr>
      </w:pPr>
    </w:p>
    <w:p w14:paraId="7CED0BDB" w14:textId="4AF61794" w:rsidR="005B54C7" w:rsidRDefault="002939A8" w:rsidP="002939A8">
      <w:pPr>
        <w:pStyle w:val="Default"/>
        <w:spacing w:line="360" w:lineRule="auto"/>
        <w:jc w:val="both"/>
        <w:rPr>
          <w:rFonts w:ascii="Times New Roman" w:hAnsi="Times New Roman" w:cs="Times New Roman"/>
        </w:rPr>
      </w:pPr>
      <w:r w:rsidRPr="002939A8">
        <w:rPr>
          <w:rFonts w:ascii="Times New Roman" w:hAnsi="Times New Roman" w:cs="Times New Roman"/>
        </w:rPr>
        <w:t xml:space="preserve">These </w:t>
      </w:r>
      <w:r w:rsidR="00583339">
        <w:rPr>
          <w:rFonts w:ascii="Times New Roman" w:hAnsi="Times New Roman" w:cs="Times New Roman"/>
        </w:rPr>
        <w:t xml:space="preserve">benchmarked estimates </w:t>
      </w:r>
      <w:r w:rsidRPr="002939A8">
        <w:rPr>
          <w:rFonts w:ascii="Times New Roman" w:hAnsi="Times New Roman" w:cs="Times New Roman"/>
        </w:rPr>
        <w:t>were aggregated over each area unit of interest (SA2, SA3, SA4, PHN, state) to derive the total count (numerator), while the denominator was the total of the relevant ERP (for areas with non-missing predictions). The benchmarked prevalence of each outcome for each level was obtained by dividing the aggregated estimated case count by the aggregated population count. Areas without predictions did not contribute to the numerator or denominator. The distribution of benchmarked SA1-level prevalence SAEs was presented graphically using histograms with 2011 and 2019 estimates overlaid. For each outcome (primary and secondary), case density measures (i.e., cases per square km) were derived as the benchmarked count divided by SA1 area for each outcome and for each year (2011, 2019).</w:t>
      </w:r>
    </w:p>
    <w:p w14:paraId="3C9CC79C" w14:textId="77777777" w:rsidR="00583339" w:rsidRDefault="00583339" w:rsidP="002939A8">
      <w:pPr>
        <w:pStyle w:val="Default"/>
        <w:spacing w:line="360" w:lineRule="auto"/>
        <w:jc w:val="both"/>
        <w:rPr>
          <w:rFonts w:ascii="Times New Roman" w:hAnsi="Times New Roman" w:cs="Times New Roman"/>
        </w:rPr>
      </w:pPr>
    </w:p>
    <w:p w14:paraId="30E58386" w14:textId="7B2D90DC" w:rsidR="002939A8" w:rsidRPr="002939A8" w:rsidRDefault="002939A8" w:rsidP="002939A8">
      <w:pPr>
        <w:pStyle w:val="Heading3"/>
        <w:rPr>
          <w:rFonts w:cs="Times New Roman"/>
        </w:rPr>
      </w:pPr>
      <w:bookmarkStart w:id="10" w:name="_Toc99109199"/>
      <w:bookmarkStart w:id="11" w:name="_Toc107493007"/>
      <w:r w:rsidRPr="002939A8">
        <w:rPr>
          <w:rFonts w:cs="Times New Roman"/>
        </w:rPr>
        <w:t xml:space="preserve">Step </w:t>
      </w:r>
      <w:r w:rsidR="000D6800">
        <w:rPr>
          <w:rFonts w:cs="Times New Roman"/>
        </w:rPr>
        <w:t>2</w:t>
      </w:r>
      <w:r w:rsidRPr="002939A8">
        <w:rPr>
          <w:rFonts w:cs="Times New Roman"/>
        </w:rPr>
        <w:t>: Validation using external suicide dataset (NMD)</w:t>
      </w:r>
      <w:bookmarkEnd w:id="10"/>
      <w:bookmarkEnd w:id="11"/>
    </w:p>
    <w:p w14:paraId="6FF384B1" w14:textId="217FC7D5" w:rsidR="002939A8" w:rsidRPr="002939A8" w:rsidRDefault="002939A8" w:rsidP="002939A8">
      <w:pPr>
        <w:spacing w:after="0" w:line="360" w:lineRule="auto"/>
        <w:jc w:val="both"/>
        <w:rPr>
          <w:rFonts w:ascii="Times New Roman" w:hAnsi="Times New Roman" w:cs="Times New Roman"/>
          <w:sz w:val="24"/>
          <w:szCs w:val="24"/>
        </w:rPr>
      </w:pPr>
      <w:r w:rsidRPr="002939A8">
        <w:rPr>
          <w:rFonts w:ascii="Times New Roman" w:hAnsi="Times New Roman" w:cs="Times New Roman"/>
          <w:sz w:val="24"/>
          <w:szCs w:val="24"/>
        </w:rPr>
        <w:t xml:space="preserve">Suicide death data from the National Mortality Database (NMD) (available for all SA2s in Australia) was incorporated to validate the synthetic self-harm estimates. Associations between SA2-level small area estimates (SAEs) of youth self-harm and crude suicide rates were assessed. Data comprised SA2-level (ASGS: 2016 version) crude annual adult suicide rates (per 100,000 population) averaged over 5-year periods from the NMD. These were averaged to derive SA2-level average annual rates for a 10-year period (2010–2019). Both mean suicide rate and SAE data were square-root transformed to achieve an approximately normal distribution suitable for use in modelling. For SA2s with sufficient data and an estimated minimum of 20 young people (12-17 years), the relationship between crude suicide rates and SA2-level SAEs of youth self-harm prevalence was assessed by inspecting scatter plots, assessing correlations, and fitting linear regression models. Separate models were fitted for 2011 and 2019. See Appendix 2 for further details about this validation step, and its results. </w:t>
      </w:r>
    </w:p>
    <w:p w14:paraId="38714844" w14:textId="6F3C867F" w:rsidR="00500141" w:rsidRDefault="00500141" w:rsidP="00E70E39">
      <w:pPr>
        <w:spacing w:after="0" w:line="360" w:lineRule="auto"/>
        <w:jc w:val="both"/>
        <w:rPr>
          <w:rFonts w:ascii="Times New Roman" w:hAnsi="Times New Roman" w:cs="Times New Roman"/>
          <w:sz w:val="24"/>
          <w:szCs w:val="24"/>
          <w:lang w:val="en-US"/>
        </w:rPr>
      </w:pPr>
    </w:p>
    <w:p w14:paraId="4EA9F9C0" w14:textId="77777777" w:rsidR="006B7FF5" w:rsidRDefault="006B7FF5" w:rsidP="00E70E39">
      <w:pPr>
        <w:spacing w:after="0" w:line="360" w:lineRule="auto"/>
        <w:jc w:val="both"/>
        <w:rPr>
          <w:rFonts w:ascii="Times New Roman" w:hAnsi="Times New Roman" w:cs="Times New Roman"/>
          <w:sz w:val="24"/>
          <w:szCs w:val="24"/>
          <w:lang w:val="en-US"/>
        </w:rPr>
      </w:pPr>
    </w:p>
    <w:p w14:paraId="1B5BD970" w14:textId="77777777" w:rsidR="00EE70AB" w:rsidRDefault="00EE70AB" w:rsidP="00E70E39">
      <w:pPr>
        <w:spacing w:after="0" w:line="360" w:lineRule="auto"/>
        <w:jc w:val="both"/>
        <w:rPr>
          <w:rFonts w:ascii="Times New Roman" w:hAnsi="Times New Roman" w:cs="Times New Roman"/>
          <w:sz w:val="24"/>
          <w:szCs w:val="24"/>
          <w:lang w:val="en-US"/>
        </w:rPr>
      </w:pPr>
    </w:p>
    <w:p w14:paraId="74A6682C" w14:textId="7FEA6C55" w:rsidR="00577590" w:rsidRDefault="00577590" w:rsidP="00E70E39">
      <w:pPr>
        <w:spacing w:after="0" w:line="360" w:lineRule="auto"/>
        <w:jc w:val="both"/>
        <w:rPr>
          <w:rFonts w:ascii="Times New Roman" w:hAnsi="Times New Roman" w:cs="Times New Roman"/>
          <w:sz w:val="24"/>
          <w:szCs w:val="24"/>
          <w:lang w:val="en-US"/>
        </w:rPr>
      </w:pPr>
    </w:p>
    <w:p w14:paraId="11C8A7D3" w14:textId="2DA41BF7" w:rsidR="00646914" w:rsidRPr="002939A8" w:rsidRDefault="00646914" w:rsidP="00E70E39">
      <w:pPr>
        <w:spacing w:after="0" w:line="360" w:lineRule="auto"/>
        <w:jc w:val="both"/>
        <w:rPr>
          <w:rFonts w:ascii="Times New Roman" w:hAnsi="Times New Roman" w:cs="Times New Roman"/>
          <w:b/>
          <w:bCs/>
          <w:sz w:val="24"/>
          <w:szCs w:val="24"/>
          <w:lang w:val="en-US"/>
        </w:rPr>
      </w:pPr>
      <w:r w:rsidRPr="002939A8">
        <w:rPr>
          <w:rFonts w:ascii="Times New Roman" w:hAnsi="Times New Roman" w:cs="Times New Roman"/>
          <w:b/>
          <w:bCs/>
          <w:sz w:val="24"/>
          <w:szCs w:val="24"/>
          <w:lang w:val="en-US"/>
        </w:rPr>
        <w:lastRenderedPageBreak/>
        <w:t>Assumptions</w:t>
      </w:r>
      <w:r>
        <w:rPr>
          <w:rFonts w:ascii="Times New Roman" w:hAnsi="Times New Roman" w:cs="Times New Roman"/>
          <w:b/>
          <w:bCs/>
          <w:sz w:val="24"/>
          <w:szCs w:val="24"/>
          <w:lang w:val="en-US"/>
        </w:rPr>
        <w:t xml:space="preserve"> and Limitations</w:t>
      </w:r>
      <w:r w:rsidRPr="002939A8">
        <w:rPr>
          <w:rFonts w:ascii="Times New Roman" w:hAnsi="Times New Roman" w:cs="Times New Roman"/>
          <w:b/>
          <w:bCs/>
          <w:sz w:val="24"/>
          <w:szCs w:val="24"/>
          <w:lang w:val="en-US"/>
        </w:rPr>
        <w:t xml:space="preserve"> – Small Area Estimation </w:t>
      </w:r>
    </w:p>
    <w:p w14:paraId="4BB9E2FD" w14:textId="77777777" w:rsidR="00E70E39" w:rsidRDefault="00E70E39" w:rsidP="00E70E39">
      <w:pPr>
        <w:spacing w:after="0" w:line="360" w:lineRule="auto"/>
        <w:jc w:val="both"/>
        <w:rPr>
          <w:rFonts w:ascii="Times New Roman" w:hAnsi="Times New Roman" w:cs="Times New Roman"/>
          <w:sz w:val="24"/>
          <w:szCs w:val="24"/>
          <w:lang w:val="en-US"/>
        </w:rPr>
      </w:pPr>
    </w:p>
    <w:p w14:paraId="3C47715B" w14:textId="77777777" w:rsidR="006B7FF5" w:rsidRPr="006B7FF5" w:rsidRDefault="006B7FF5" w:rsidP="006B7FF5">
      <w:pPr>
        <w:pStyle w:val="BodyText"/>
        <w:spacing w:after="0" w:line="360" w:lineRule="auto"/>
        <w:jc w:val="both"/>
        <w:rPr>
          <w:rFonts w:ascii="Times New Roman" w:hAnsi="Times New Roman" w:cs="Times New Roman"/>
          <w:sz w:val="24"/>
          <w:szCs w:val="24"/>
        </w:rPr>
      </w:pPr>
      <w:r w:rsidRPr="006B7FF5">
        <w:rPr>
          <w:rFonts w:ascii="Times New Roman" w:hAnsi="Times New Roman" w:cs="Times New Roman"/>
          <w:sz w:val="24"/>
          <w:szCs w:val="24"/>
        </w:rPr>
        <w:t xml:space="preserve">The major limitation of synthetic estimates is that they are not direct estimates from the survey for individual regions. They are based on a model with a set of assumptions. Where these assumptions are violated, the predictions of the model will not be accurate. It is not possible to test these assumptions with the data that is available. While synthetic estimates are the best available small area data that can be used for service and program planning and delivery, the actual number of cases of self-harm in any small area can vary from the model prediction if there are unique factors of that area that are not included in the model. </w:t>
      </w:r>
    </w:p>
    <w:p w14:paraId="1BD48ED8" w14:textId="77777777" w:rsidR="006B7FF5" w:rsidRPr="006B7FF5" w:rsidRDefault="006B7FF5" w:rsidP="006B7FF5">
      <w:pPr>
        <w:pStyle w:val="BodyText"/>
        <w:spacing w:after="0" w:line="360" w:lineRule="auto"/>
        <w:jc w:val="both"/>
        <w:rPr>
          <w:rFonts w:ascii="Times New Roman" w:hAnsi="Times New Roman" w:cs="Times New Roman"/>
          <w:sz w:val="24"/>
          <w:szCs w:val="24"/>
        </w:rPr>
      </w:pPr>
    </w:p>
    <w:p w14:paraId="4478C5B1" w14:textId="77777777" w:rsidR="006B7FF5" w:rsidRPr="006B7FF5" w:rsidRDefault="006B7FF5" w:rsidP="006B7FF5">
      <w:pPr>
        <w:pStyle w:val="Heading4"/>
        <w:rPr>
          <w:rFonts w:ascii="Times New Roman" w:hAnsi="Times New Roman" w:cs="Times New Roman"/>
          <w:b/>
          <w:bCs/>
          <w:sz w:val="24"/>
          <w:szCs w:val="24"/>
        </w:rPr>
      </w:pPr>
      <w:r w:rsidRPr="006B7FF5">
        <w:rPr>
          <w:rFonts w:ascii="Times New Roman" w:hAnsi="Times New Roman" w:cs="Times New Roman"/>
          <w:b/>
          <w:bCs/>
          <w:sz w:val="24"/>
          <w:szCs w:val="24"/>
        </w:rPr>
        <w:t xml:space="preserve">Key modelling assumptions </w:t>
      </w:r>
    </w:p>
    <w:p w14:paraId="33E06AB3" w14:textId="3EFE9B36" w:rsidR="006B7FF5" w:rsidRPr="006B7FF5" w:rsidRDefault="006B7FF5" w:rsidP="006B7FF5">
      <w:pPr>
        <w:pStyle w:val="BodyText"/>
        <w:spacing w:after="0" w:line="360" w:lineRule="auto"/>
        <w:jc w:val="both"/>
        <w:rPr>
          <w:rFonts w:ascii="Times New Roman" w:hAnsi="Times New Roman" w:cs="Times New Roman"/>
          <w:sz w:val="24"/>
          <w:szCs w:val="24"/>
        </w:rPr>
      </w:pPr>
      <w:r w:rsidRPr="006B7FF5">
        <w:rPr>
          <w:rFonts w:ascii="Times New Roman" w:hAnsi="Times New Roman" w:cs="Times New Roman"/>
          <w:sz w:val="24"/>
          <w:szCs w:val="24"/>
        </w:rPr>
        <w:t xml:space="preserve">Synthetic estimates are based on the assumption that prevalence of self-harm in any small area can be determined based on knowing the socio-demographic characteristics of the area, and that the relationship between socio-demographic characteristics and prevalence of self-harm does not drastically vary between broad geographic areas. There is some basis for making this assumption as the prevalence of self-harm has remained relatively stable across time and between developed countries where measurements have been made (although there is evidence of recent rising trends of self-harm hospitalisations, among Australians aged 15-19 </w:t>
      </w:r>
      <w:r>
        <w:rPr>
          <w:rFonts w:ascii="Times New Roman" w:hAnsi="Times New Roman" w:cs="Times New Roman"/>
          <w:sz w:val="24"/>
          <w:szCs w:val="24"/>
        </w:rPr>
        <w:t>(</w:t>
      </w:r>
      <w:r>
        <w:rPr>
          <w:rFonts w:ascii="Times New Roman" w:hAnsi="Times New Roman" w:cs="Times New Roman"/>
          <w:sz w:val="24"/>
          <w:szCs w:val="24"/>
        </w:rPr>
        <w:fldChar w:fldCharType="begin">
          <w:fldData xml:space="preserve">PEVuZE5vdGU+PENpdGU+PEF1dGhvcj5CYXN0aWFtcGlsbGFpPC9BdXRob3I+PFllYXI+MjAyMTwv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PEVuZE5vdGU+PENpdGU+PEF1dGhvcj5CYXN0aWFtcGlsbGFpPC9BdXRob3I+PFllYXI+MjAyMTwv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Bastiampillai</w:t>
      </w:r>
      <w:r w:rsidRPr="00256DF5">
        <w:rPr>
          <w:rFonts w:ascii="Times New Roman" w:hAnsi="Times New Roman" w:cs="Times New Roman"/>
          <w:i/>
          <w:noProof/>
          <w:sz w:val="24"/>
          <w:szCs w:val="24"/>
        </w:rPr>
        <w:t xml:space="preserve"> et al.</w:t>
      </w:r>
      <w:r>
        <w:rPr>
          <w:rFonts w:ascii="Times New Roman" w:hAnsi="Times New Roman" w:cs="Times New Roman"/>
          <w:noProof/>
          <w:sz w:val="24"/>
          <w:szCs w:val="24"/>
        </w:rPr>
        <w:t>, 2021; Sara</w:t>
      </w:r>
      <w:r w:rsidRPr="00256DF5">
        <w:rPr>
          <w:rFonts w:ascii="Times New Roman" w:hAnsi="Times New Roman" w:cs="Times New Roman"/>
          <w:i/>
          <w:noProof/>
          <w:sz w:val="24"/>
          <w:szCs w:val="24"/>
        </w:rPr>
        <w:t xml:space="preserve"> et al.</w:t>
      </w:r>
      <w:r>
        <w:rPr>
          <w:rFonts w:ascii="Times New Roman" w:hAnsi="Times New Roman" w:cs="Times New Roman"/>
          <w:noProof/>
          <w:sz w:val="24"/>
          <w:szCs w:val="24"/>
        </w:rPr>
        <w:t>, 2022)</w:t>
      </w:r>
      <w:r>
        <w:rPr>
          <w:rFonts w:ascii="Times New Roman" w:hAnsi="Times New Roman" w:cs="Times New Roman"/>
          <w:sz w:val="24"/>
          <w:szCs w:val="24"/>
        </w:rPr>
        <w:fldChar w:fldCharType="end"/>
      </w:r>
      <w:r>
        <w:rPr>
          <w:rFonts w:ascii="Times New Roman" w:hAnsi="Times New Roman" w:cs="Times New Roman"/>
          <w:sz w:val="24"/>
          <w:szCs w:val="24"/>
        </w:rPr>
        <w:t>)</w:t>
      </w:r>
      <w:r w:rsidRPr="006B7FF5">
        <w:rPr>
          <w:rFonts w:ascii="Times New Roman" w:hAnsi="Times New Roman" w:cs="Times New Roman"/>
          <w:sz w:val="24"/>
          <w:szCs w:val="24"/>
        </w:rPr>
        <w:t>. It is not possible to test these assumptions without the availability of detailed small area data on actual numbers of cases. For instance, if a particular community happens to have an effective self-harm or suicide prevention program that is not available elsewhere, or if there is some environment factor in the local environment that is a risk factor for self-harm/suicide, these factors would not be captured by the synthetic estimation approach.</w:t>
      </w:r>
    </w:p>
    <w:p w14:paraId="13DC1B6F" w14:textId="77777777" w:rsidR="006B7FF5" w:rsidRPr="006B7FF5" w:rsidRDefault="006B7FF5" w:rsidP="006B7FF5">
      <w:pPr>
        <w:spacing w:after="0" w:line="360" w:lineRule="auto"/>
        <w:jc w:val="both"/>
        <w:rPr>
          <w:rFonts w:ascii="Times New Roman" w:hAnsi="Times New Roman" w:cs="Times New Roman"/>
          <w:sz w:val="24"/>
          <w:szCs w:val="24"/>
          <w:lang w:val="en-US"/>
        </w:rPr>
      </w:pPr>
    </w:p>
    <w:p w14:paraId="1B73DD43" w14:textId="77777777" w:rsidR="006B7FF5" w:rsidRDefault="006B7FF5" w:rsidP="006B7FF5">
      <w:pPr>
        <w:spacing w:after="0" w:line="360" w:lineRule="auto"/>
        <w:jc w:val="both"/>
        <w:rPr>
          <w:rFonts w:ascii="Times New Roman" w:hAnsi="Times New Roman" w:cs="Times New Roman"/>
          <w:b/>
          <w:bCs/>
          <w:i/>
          <w:iCs/>
          <w:sz w:val="24"/>
          <w:szCs w:val="24"/>
        </w:rPr>
      </w:pPr>
      <w:r w:rsidRPr="006B7FF5">
        <w:rPr>
          <w:rFonts w:ascii="Times New Roman" w:hAnsi="Times New Roman" w:cs="Times New Roman"/>
          <w:b/>
          <w:bCs/>
          <w:i/>
          <w:iCs/>
          <w:sz w:val="24"/>
          <w:szCs w:val="24"/>
        </w:rPr>
        <w:t>Other modelling considerations</w:t>
      </w:r>
    </w:p>
    <w:p w14:paraId="5C8C0132" w14:textId="6510BC26" w:rsidR="006B7FF5" w:rsidRPr="006B7FF5" w:rsidRDefault="006B7FF5" w:rsidP="006B7FF5">
      <w:pPr>
        <w:spacing w:after="0" w:line="360" w:lineRule="auto"/>
        <w:jc w:val="both"/>
        <w:rPr>
          <w:rFonts w:ascii="Times New Roman" w:hAnsi="Times New Roman" w:cs="Times New Roman"/>
          <w:sz w:val="24"/>
          <w:szCs w:val="24"/>
          <w:lang w:val="en-US"/>
        </w:rPr>
      </w:pPr>
      <w:r w:rsidRPr="006B7FF5">
        <w:rPr>
          <w:rFonts w:ascii="Times New Roman" w:hAnsi="Times New Roman" w:cs="Times New Roman"/>
          <w:sz w:val="24"/>
          <w:szCs w:val="24"/>
        </w:rPr>
        <w:t>We assume that the relationships between a</w:t>
      </w:r>
      <w:r w:rsidRPr="006B7FF5" w:rsidDel="00557B31">
        <w:rPr>
          <w:rFonts w:ascii="Times New Roman" w:hAnsi="Times New Roman" w:cs="Times New Roman"/>
          <w:sz w:val="24"/>
          <w:szCs w:val="24"/>
        </w:rPr>
        <w:t xml:space="preserve">uxiliary </w:t>
      </w:r>
      <w:r w:rsidRPr="006B7FF5">
        <w:rPr>
          <w:rFonts w:ascii="Times New Roman" w:hAnsi="Times New Roman" w:cs="Times New Roman"/>
          <w:sz w:val="24"/>
          <w:szCs w:val="24"/>
        </w:rPr>
        <w:t xml:space="preserve">variables (that measure socio-demographic characteristics of the area) and outcomes are consistent across areas and over time. </w:t>
      </w:r>
      <w:r w:rsidRPr="006B7FF5" w:rsidDel="00557B31">
        <w:rPr>
          <w:rFonts w:ascii="Times New Roman" w:hAnsi="Times New Roman" w:cs="Times New Roman"/>
          <w:sz w:val="24"/>
          <w:szCs w:val="24"/>
        </w:rPr>
        <w:t>Model coefficients and estimated random effects were used with the SA1-level auxiliary variables derived from the 2016 Census to derive predicted prevalence estimates for each outcome for each SA1 in 2019, incorporating the estimated res</w:t>
      </w:r>
      <w:r w:rsidRPr="006B7FF5">
        <w:rPr>
          <w:rFonts w:ascii="Times New Roman" w:hAnsi="Times New Roman" w:cs="Times New Roman"/>
          <w:sz w:val="24"/>
          <w:szCs w:val="24"/>
        </w:rPr>
        <w:t xml:space="preserve">ident population (ERP) for 2019. </w:t>
      </w:r>
      <w:r w:rsidRPr="006B7FF5" w:rsidDel="00557B31">
        <w:rPr>
          <w:rFonts w:ascii="Times New Roman" w:hAnsi="Times New Roman" w:cs="Times New Roman"/>
          <w:sz w:val="24"/>
          <w:szCs w:val="24"/>
        </w:rPr>
        <w:t>Area-level predicted probabilities are shrunken (smoothed) towards the overall mean.</w:t>
      </w:r>
      <w:r w:rsidRPr="006B7FF5">
        <w:rPr>
          <w:rFonts w:ascii="Times New Roman" w:hAnsi="Times New Roman" w:cs="Times New Roman"/>
          <w:sz w:val="24"/>
          <w:szCs w:val="24"/>
        </w:rPr>
        <w:t xml:space="preserve"> We assume that estimates can be reliably reflated using a PHN-level benchmarking factor which will ensure that aggregated estimates will match the PHN-level direct prevalence estimates. </w:t>
      </w:r>
      <w:r w:rsidRPr="006B7FF5" w:rsidDel="00557B31">
        <w:rPr>
          <w:rFonts w:ascii="Times New Roman" w:hAnsi="Times New Roman" w:cs="Times New Roman"/>
          <w:sz w:val="24"/>
          <w:szCs w:val="24"/>
        </w:rPr>
        <w:t xml:space="preserve">The predicted counts (number of events) and Census totals (number of 12-17 year olds) in 2011 were </w:t>
      </w:r>
      <w:r w:rsidRPr="006B7FF5" w:rsidDel="00557B31">
        <w:rPr>
          <w:rFonts w:ascii="Times New Roman" w:hAnsi="Times New Roman" w:cs="Times New Roman"/>
          <w:sz w:val="24"/>
          <w:szCs w:val="24"/>
        </w:rPr>
        <w:lastRenderedPageBreak/>
        <w:t>aggregated within PHNs to derive the model-based predicted PHN-prevalence for each outcome. These were compared to the YMM</w:t>
      </w:r>
      <w:r w:rsidRPr="006B7FF5">
        <w:rPr>
          <w:rFonts w:ascii="Times New Roman" w:hAnsi="Times New Roman" w:cs="Times New Roman"/>
          <w:sz w:val="24"/>
          <w:szCs w:val="24"/>
        </w:rPr>
        <w:t xml:space="preserve"> direct</w:t>
      </w:r>
      <w:r w:rsidRPr="006B7FF5" w:rsidDel="00557B31">
        <w:rPr>
          <w:rFonts w:ascii="Times New Roman" w:hAnsi="Times New Roman" w:cs="Times New Roman"/>
          <w:sz w:val="24"/>
          <w:szCs w:val="24"/>
        </w:rPr>
        <w:t xml:space="preserve"> prevalence estimates to derive benchmark factors (YMM prevalence/PHN estimated prevalence). Benchmarked prevalences were derived for each SA1 for each year of interest by multiplying the benchmark factor by the model-based predicted prevalence. The benchmarked count for each SA1 for each year was derived as the benchmarked-prevalence multiplied by the ERP of 12-17 year olds for 2011 and 2019. These were aggregated over each area unit of interest (SA2, SA3, SA4, PHN, state) to derive the total count (numerator), while the denominator was the total of the relevant ERP (for areas with non-missing predictions). The benchmarked prevalence of each outcome for each level was obtained by dividing the aggregated estimated case count by the aggregated population count. Areas without predictions did not contribute to the numerator or denominator</w:t>
      </w:r>
      <w:r w:rsidRPr="006B7FF5">
        <w:rPr>
          <w:rFonts w:ascii="Times New Roman" w:hAnsi="Times New Roman" w:cs="Times New Roman"/>
          <w:sz w:val="24"/>
          <w:szCs w:val="24"/>
        </w:rPr>
        <w:t>.</w:t>
      </w:r>
    </w:p>
    <w:p w14:paraId="374E4A7A" w14:textId="77777777" w:rsidR="006B7FF5" w:rsidRPr="006B7FF5" w:rsidRDefault="006B7FF5" w:rsidP="006B7FF5">
      <w:pPr>
        <w:pStyle w:val="BodyText"/>
        <w:spacing w:after="0" w:line="360" w:lineRule="auto"/>
        <w:jc w:val="both"/>
        <w:rPr>
          <w:rFonts w:ascii="Times New Roman" w:hAnsi="Times New Roman" w:cs="Times New Roman"/>
          <w:sz w:val="24"/>
          <w:szCs w:val="24"/>
        </w:rPr>
      </w:pPr>
    </w:p>
    <w:p w14:paraId="518BF3D3" w14:textId="06C715D1" w:rsidR="006B7FF5" w:rsidRPr="006B7FF5" w:rsidRDefault="00EF17E4" w:rsidP="006B7FF5">
      <w:pPr>
        <w:pStyle w:val="Heading4"/>
        <w:rPr>
          <w:rFonts w:ascii="Times New Roman" w:hAnsi="Times New Roman" w:cs="Times New Roman"/>
          <w:b/>
          <w:bCs/>
          <w:sz w:val="24"/>
          <w:szCs w:val="24"/>
        </w:rPr>
      </w:pPr>
      <w:bookmarkStart w:id="12" w:name="_Toc422996348"/>
      <w:r>
        <w:rPr>
          <w:rFonts w:ascii="Times New Roman" w:hAnsi="Times New Roman" w:cs="Times New Roman"/>
          <w:b/>
          <w:bCs/>
          <w:sz w:val="24"/>
          <w:szCs w:val="24"/>
        </w:rPr>
        <w:t xml:space="preserve">1. </w:t>
      </w:r>
      <w:r w:rsidR="006B7FF5" w:rsidRPr="006B7FF5">
        <w:rPr>
          <w:rFonts w:ascii="Times New Roman" w:hAnsi="Times New Roman" w:cs="Times New Roman"/>
          <w:b/>
          <w:bCs/>
          <w:sz w:val="24"/>
          <w:szCs w:val="24"/>
        </w:rPr>
        <w:t>Region size</w:t>
      </w:r>
      <w:bookmarkEnd w:id="12"/>
    </w:p>
    <w:p w14:paraId="0115C6C3" w14:textId="77777777" w:rsidR="006B7FF5" w:rsidRPr="004D0886" w:rsidRDefault="006B7FF5" w:rsidP="006B7FF5">
      <w:pPr>
        <w:pStyle w:val="BodyText"/>
        <w:spacing w:after="0" w:line="360" w:lineRule="auto"/>
        <w:jc w:val="both"/>
        <w:rPr>
          <w:rFonts w:ascii="Times New Roman" w:hAnsi="Times New Roman" w:cs="Times New Roman"/>
          <w:color w:val="000000"/>
          <w:sz w:val="24"/>
          <w:szCs w:val="24"/>
          <w:shd w:val="clear" w:color="auto" w:fill="FFFFFF"/>
        </w:rPr>
      </w:pPr>
      <w:r w:rsidRPr="004D0886">
        <w:rPr>
          <w:rFonts w:ascii="Times New Roman" w:hAnsi="Times New Roman" w:cs="Times New Roman"/>
          <w:color w:val="000000"/>
          <w:sz w:val="24"/>
          <w:szCs w:val="24"/>
          <w:shd w:val="clear" w:color="auto" w:fill="FFFFFF"/>
        </w:rPr>
        <w:t xml:space="preserve">Statistical Areas Level 1 (SA1s) are geographic areas built from whole Mesh Blocks and are designed to maximise the geographic detail available for Census of Population and Housing data. There are 61,845 SA1 regions covering the whole of Australia without gaps or overlaps, where SA1s generally have a population of 200 to 800 people, and an average population of about 400 people. SA2s are medium-sized general-purpose areas built up from whole SA1s. Their purpose is to represent a community that interacts together socially and economically. There are 2,473 SA2s covering the whole of Australia without gaps or overlaps, generally have a population between 3,000 and 25,000 with an average of about 10,000 people. </w:t>
      </w:r>
    </w:p>
    <w:p w14:paraId="3B76E9E7" w14:textId="77777777" w:rsidR="006B7FF5" w:rsidRPr="004D0886" w:rsidRDefault="006B7FF5" w:rsidP="006B7FF5">
      <w:pPr>
        <w:pStyle w:val="BodyText"/>
        <w:spacing w:after="0" w:line="360" w:lineRule="auto"/>
        <w:jc w:val="both"/>
        <w:rPr>
          <w:rFonts w:ascii="Times New Roman" w:hAnsi="Times New Roman" w:cs="Times New Roman"/>
          <w:color w:val="000000"/>
          <w:sz w:val="24"/>
          <w:szCs w:val="24"/>
          <w:shd w:val="clear" w:color="auto" w:fill="FFFFFF"/>
        </w:rPr>
      </w:pPr>
    </w:p>
    <w:p w14:paraId="5BF80C33" w14:textId="77777777" w:rsidR="006B7FF5" w:rsidRPr="004D0886" w:rsidRDefault="006B7FF5" w:rsidP="006B7FF5">
      <w:pPr>
        <w:pStyle w:val="BodyText"/>
        <w:spacing w:after="0" w:line="360" w:lineRule="auto"/>
        <w:jc w:val="both"/>
        <w:rPr>
          <w:rFonts w:ascii="Times New Roman" w:hAnsi="Times New Roman" w:cs="Times New Roman"/>
          <w:color w:val="000000"/>
          <w:sz w:val="24"/>
          <w:szCs w:val="24"/>
          <w:shd w:val="clear" w:color="auto" w:fill="FFFFFF"/>
        </w:rPr>
      </w:pPr>
      <w:r w:rsidRPr="004D0886">
        <w:rPr>
          <w:rFonts w:ascii="Times New Roman" w:hAnsi="Times New Roman" w:cs="Times New Roman"/>
          <w:sz w:val="24"/>
          <w:szCs w:val="24"/>
        </w:rPr>
        <w:t xml:space="preserve">While SA1s and SA2s have been designed to have approximately similar population sizes, there are some SA1s/SA2s in Australia that have no population and some that have very small populations. The accuracy of synthetic estimates declines as regions become smaller, because there is more individual variation in the Census data. Where there is no population in the SA1 (or SA2) the synthetic estimates of youth self-harm prevalence must be assumed to be zero. For some SA1s/SA2s with very small populations it was not possible to calculate synthetic estimates because there were insufficient numbers to populate Census tabulations for that area (4.4% of total SA1s) or there was incomplete Census information on covariates that were to be incorporated into self-harm predictive modelling (0.65% of total SA1s). </w:t>
      </w:r>
    </w:p>
    <w:p w14:paraId="55F8D831" w14:textId="77777777" w:rsidR="006B7FF5" w:rsidRPr="004D0886" w:rsidRDefault="006B7FF5" w:rsidP="006B7FF5">
      <w:pPr>
        <w:spacing w:after="0" w:line="360" w:lineRule="auto"/>
        <w:jc w:val="both"/>
        <w:rPr>
          <w:rFonts w:ascii="Times New Roman" w:hAnsi="Times New Roman" w:cs="Times New Roman"/>
          <w:b/>
          <w:bCs/>
          <w:sz w:val="24"/>
          <w:szCs w:val="24"/>
        </w:rPr>
      </w:pPr>
      <w:bookmarkStart w:id="13" w:name="_Toc422996349"/>
    </w:p>
    <w:p w14:paraId="468ABD92" w14:textId="1A3A3276" w:rsidR="006B7FF5" w:rsidRPr="006B7FF5" w:rsidRDefault="00EF17E4" w:rsidP="006B7FF5">
      <w:pPr>
        <w:pStyle w:val="Heading4"/>
        <w:rPr>
          <w:rFonts w:ascii="Times New Roman" w:hAnsi="Times New Roman" w:cs="Times New Roman"/>
          <w:b/>
          <w:bCs/>
          <w:sz w:val="24"/>
          <w:szCs w:val="24"/>
        </w:rPr>
      </w:pPr>
      <w:r>
        <w:rPr>
          <w:rFonts w:ascii="Times New Roman" w:hAnsi="Times New Roman" w:cs="Times New Roman"/>
          <w:b/>
          <w:bCs/>
          <w:sz w:val="24"/>
          <w:szCs w:val="24"/>
        </w:rPr>
        <w:lastRenderedPageBreak/>
        <w:t xml:space="preserve">2. </w:t>
      </w:r>
      <w:r w:rsidR="006B7FF5" w:rsidRPr="006B7FF5">
        <w:rPr>
          <w:rFonts w:ascii="Times New Roman" w:hAnsi="Times New Roman" w:cs="Times New Roman"/>
          <w:b/>
          <w:bCs/>
          <w:sz w:val="24"/>
          <w:szCs w:val="24"/>
        </w:rPr>
        <w:t>Cohort ageing</w:t>
      </w:r>
      <w:bookmarkEnd w:id="13"/>
    </w:p>
    <w:p w14:paraId="539767D9" w14:textId="285EBFAD" w:rsidR="006B7FF5" w:rsidRPr="006B7FF5" w:rsidRDefault="006B7FF5" w:rsidP="006B7FF5">
      <w:pPr>
        <w:pStyle w:val="BodyText"/>
        <w:spacing w:after="0" w:line="360" w:lineRule="auto"/>
        <w:jc w:val="both"/>
        <w:rPr>
          <w:rFonts w:ascii="Times New Roman" w:hAnsi="Times New Roman" w:cs="Times New Roman"/>
          <w:sz w:val="24"/>
          <w:szCs w:val="24"/>
        </w:rPr>
      </w:pPr>
      <w:r w:rsidRPr="006B7FF5">
        <w:rPr>
          <w:rFonts w:ascii="Times New Roman" w:hAnsi="Times New Roman" w:cs="Times New Roman"/>
          <w:sz w:val="24"/>
          <w:szCs w:val="24"/>
        </w:rPr>
        <w:t xml:space="preserve">These small area estimates have been prepared using data from the </w:t>
      </w:r>
      <w:r w:rsidRPr="006B7FF5">
        <w:rPr>
          <w:rFonts w:ascii="Times New Roman" w:hAnsi="Times New Roman" w:cs="Times New Roman"/>
          <w:iCs/>
          <w:sz w:val="24"/>
          <w:szCs w:val="24"/>
        </w:rPr>
        <w:t xml:space="preserve">YMM survey, </w:t>
      </w:r>
      <w:r w:rsidRPr="006B7FF5">
        <w:rPr>
          <w:rFonts w:ascii="Times New Roman" w:hAnsi="Times New Roman" w:cs="Times New Roman"/>
          <w:sz w:val="24"/>
          <w:szCs w:val="24"/>
        </w:rPr>
        <w:t xml:space="preserve">which was collected between May 2013 and April 2014, and applied to small area socio-demographic data taken from the 2016 Census and updated to June 2019 using Estimated Resident Population (ERP) data, supplied by the ABS. </w:t>
      </w:r>
    </w:p>
    <w:p w14:paraId="7277D98E" w14:textId="77777777" w:rsidR="006B7FF5" w:rsidRPr="006B7FF5" w:rsidRDefault="006B7FF5" w:rsidP="006B7FF5">
      <w:pPr>
        <w:pStyle w:val="BodyText"/>
        <w:spacing w:after="0" w:line="360" w:lineRule="auto"/>
        <w:jc w:val="both"/>
        <w:rPr>
          <w:rFonts w:ascii="Times New Roman" w:hAnsi="Times New Roman" w:cs="Times New Roman"/>
          <w:sz w:val="24"/>
          <w:szCs w:val="24"/>
        </w:rPr>
      </w:pPr>
    </w:p>
    <w:p w14:paraId="7AE201BC" w14:textId="77777777" w:rsidR="006B7FF5" w:rsidRPr="006B7FF5" w:rsidRDefault="006B7FF5" w:rsidP="006B7FF5">
      <w:pPr>
        <w:pStyle w:val="BodyText"/>
        <w:spacing w:after="0" w:line="360" w:lineRule="auto"/>
        <w:jc w:val="both"/>
        <w:rPr>
          <w:rFonts w:ascii="Times New Roman" w:hAnsi="Times New Roman" w:cs="Times New Roman"/>
          <w:sz w:val="24"/>
          <w:szCs w:val="24"/>
        </w:rPr>
      </w:pPr>
      <w:r w:rsidRPr="006B7FF5">
        <w:rPr>
          <w:rFonts w:ascii="Times New Roman" w:hAnsi="Times New Roman" w:cs="Times New Roman"/>
          <w:sz w:val="24"/>
          <w:szCs w:val="24"/>
        </w:rPr>
        <w:t>Children who were aged 12-17 years in 2016 would be aged 18-23 years in 2022. Hence none of the adolescents in the target age range (of 12-17 years) in the 2016 Census would still be in the target age range now. With birth rates remaining relatively stable over this period, the numbers of 12-17 year-olds in 2016 compared with 2022 display steady population growth at broad geographic levels. However, at a small area level, children who were 12 years old in 2016 and who would be 18 years old in 2022 may be living in different geographic locations, compared with children who are 12 years of age in 2022. In addition, there is no information to say whether the 12-17 year-olds living in a small geographic area in 2016 share characteristics with the 12-17 year-olds who are living in that area in 2022. For example, contemporary factors that may influence youth mental health and self-harm could not be accounted for, including recent changes in technology use, increasing effects of climate change (and other recent disasters e.g., COVID-19), and changes to the service landscape (e.g., increased number of headspace services).These cohort effects can have a significant impact on the accuracy of small area estimates that are prepared for specific age groups.</w:t>
      </w:r>
    </w:p>
    <w:p w14:paraId="4B6991BE" w14:textId="77777777" w:rsidR="006B7FF5" w:rsidRPr="006B7FF5" w:rsidRDefault="006B7FF5" w:rsidP="006B7FF5">
      <w:pPr>
        <w:pStyle w:val="BodyText"/>
        <w:spacing w:after="0" w:line="360" w:lineRule="auto"/>
        <w:jc w:val="both"/>
        <w:rPr>
          <w:rFonts w:ascii="Times New Roman" w:hAnsi="Times New Roman" w:cs="Times New Roman"/>
          <w:sz w:val="24"/>
          <w:szCs w:val="24"/>
        </w:rPr>
      </w:pPr>
    </w:p>
    <w:p w14:paraId="432DC30A" w14:textId="4E8FC68D" w:rsidR="006B7FF5" w:rsidRPr="006B7FF5" w:rsidRDefault="006B7FF5" w:rsidP="006B7FF5">
      <w:pPr>
        <w:pStyle w:val="BodyText"/>
        <w:spacing w:after="0" w:line="360" w:lineRule="auto"/>
        <w:jc w:val="both"/>
        <w:rPr>
          <w:rFonts w:ascii="Times New Roman" w:hAnsi="Times New Roman" w:cs="Times New Roman"/>
          <w:sz w:val="24"/>
          <w:szCs w:val="24"/>
        </w:rPr>
      </w:pPr>
      <w:r w:rsidRPr="006B7FF5">
        <w:rPr>
          <w:rFonts w:ascii="Times New Roman" w:hAnsi="Times New Roman" w:cs="Times New Roman"/>
          <w:sz w:val="24"/>
          <w:szCs w:val="24"/>
        </w:rPr>
        <w:t xml:space="preserve">The ABS provided two Estimated Resident Population figures as at 30 June 2019 — for 4-11 year-olds and for 12-17 year-olds. These ERP figures were used to calculate population growth for small areas between 2016 and 2019. However, no information is available as to whether there have been changes in the distribution of socio-demographic characteristics since 2016, and no information is yet available about population changes between 2016 and 2022. Such information could not be incorporated into the current modelling. </w:t>
      </w:r>
    </w:p>
    <w:p w14:paraId="171130E1" w14:textId="77777777" w:rsidR="006B7FF5" w:rsidRPr="00961F3A" w:rsidRDefault="006B7FF5" w:rsidP="00E70E39">
      <w:pPr>
        <w:spacing w:after="0" w:line="360" w:lineRule="auto"/>
        <w:jc w:val="both"/>
        <w:rPr>
          <w:rFonts w:ascii="Times New Roman" w:hAnsi="Times New Roman" w:cs="Times New Roman"/>
        </w:rPr>
      </w:pPr>
    </w:p>
    <w:p w14:paraId="5A147814" w14:textId="77777777" w:rsidR="00EF17E4" w:rsidRDefault="00EF17E4" w:rsidP="003E6797">
      <w:pPr>
        <w:rPr>
          <w:rFonts w:ascii="Times New Roman" w:hAnsi="Times New Roman" w:cs="Times New Roman"/>
          <w:sz w:val="24"/>
          <w:szCs w:val="24"/>
        </w:rPr>
      </w:pPr>
      <w:r>
        <w:rPr>
          <w:rFonts w:ascii="Times New Roman" w:hAnsi="Times New Roman" w:cs="Times New Roman"/>
          <w:sz w:val="24"/>
          <w:szCs w:val="24"/>
        </w:rPr>
        <w:br w:type="page"/>
      </w:r>
    </w:p>
    <w:p w14:paraId="030371E8" w14:textId="25665628" w:rsidR="00CF5DF8" w:rsidRPr="00500141" w:rsidRDefault="00646914" w:rsidP="003E6797">
      <w:pPr>
        <w:rPr>
          <w:rFonts w:ascii="Times New Roman" w:hAnsi="Times New Roman" w:cs="Times New Roman"/>
          <w:b/>
          <w:bCs/>
          <w:sz w:val="24"/>
          <w:szCs w:val="24"/>
        </w:rPr>
      </w:pPr>
      <w:r w:rsidRPr="00500141">
        <w:rPr>
          <w:rFonts w:ascii="Times New Roman" w:hAnsi="Times New Roman" w:cs="Times New Roman"/>
          <w:b/>
          <w:bCs/>
          <w:sz w:val="24"/>
          <w:szCs w:val="24"/>
        </w:rPr>
        <w:lastRenderedPageBreak/>
        <w:t>Additional Information</w:t>
      </w:r>
      <w:r>
        <w:rPr>
          <w:rFonts w:ascii="Times New Roman" w:hAnsi="Times New Roman" w:cs="Times New Roman"/>
          <w:b/>
          <w:bCs/>
          <w:sz w:val="24"/>
          <w:szCs w:val="24"/>
          <w:lang w:val="en-US"/>
        </w:rPr>
        <w:t xml:space="preserve"> </w:t>
      </w:r>
      <w:r w:rsidRPr="0079763C">
        <w:rPr>
          <w:rFonts w:ascii="Times New Roman" w:hAnsi="Times New Roman" w:cs="Times New Roman"/>
          <w:b/>
          <w:bCs/>
          <w:sz w:val="24"/>
          <w:szCs w:val="24"/>
          <w:lang w:val="en-US"/>
        </w:rPr>
        <w:t>–</w:t>
      </w:r>
      <w:r w:rsidRPr="00500141">
        <w:rPr>
          <w:rFonts w:ascii="Times New Roman" w:hAnsi="Times New Roman" w:cs="Times New Roman"/>
          <w:b/>
          <w:bCs/>
          <w:sz w:val="24"/>
          <w:szCs w:val="24"/>
        </w:rPr>
        <w:t xml:space="preserve"> </w:t>
      </w:r>
      <w:r w:rsidR="00CF5DF8" w:rsidRPr="00500141">
        <w:rPr>
          <w:rFonts w:ascii="Times New Roman" w:hAnsi="Times New Roman" w:cs="Times New Roman"/>
          <w:b/>
          <w:bCs/>
          <w:sz w:val="24"/>
          <w:szCs w:val="24"/>
        </w:rPr>
        <w:t xml:space="preserve">Risk and Protective Factors </w:t>
      </w:r>
      <w:r w:rsidR="007F0421" w:rsidRPr="00500141">
        <w:rPr>
          <w:rFonts w:ascii="Times New Roman" w:hAnsi="Times New Roman" w:cs="Times New Roman"/>
          <w:b/>
          <w:bCs/>
          <w:sz w:val="24"/>
          <w:szCs w:val="24"/>
        </w:rPr>
        <w:t xml:space="preserve">of Interest </w:t>
      </w:r>
    </w:p>
    <w:p w14:paraId="2C5C7A39" w14:textId="2495335D" w:rsidR="00CF5DF8" w:rsidRPr="00CF5DF8" w:rsidRDefault="00CF5DF8" w:rsidP="00CF5DF8">
      <w:pPr>
        <w:tabs>
          <w:tab w:val="left" w:pos="3769"/>
        </w:tabs>
        <w:spacing w:after="0" w:line="360" w:lineRule="auto"/>
        <w:jc w:val="both"/>
        <w:rPr>
          <w:rFonts w:ascii="Times New Roman" w:hAnsi="Times New Roman" w:cs="Times New Roman"/>
          <w:sz w:val="24"/>
          <w:szCs w:val="24"/>
        </w:rPr>
      </w:pPr>
      <w:r w:rsidRPr="00CF5DF8">
        <w:rPr>
          <w:rFonts w:ascii="Times New Roman" w:hAnsi="Times New Roman" w:cs="Times New Roman"/>
          <w:sz w:val="24"/>
          <w:szCs w:val="24"/>
        </w:rPr>
        <w:t xml:space="preserve">Variables of interest as predictors of self-harm were identified a priori, based on a review of relevant literature (Hawton, Saunders, O’Connor 2012; Cantor &amp; Neulinger, 2000; Hill et al., 2020; Too et al., 2017; Inder et al., 2014; Torok et al., 2017) and expert knowledge. </w:t>
      </w:r>
    </w:p>
    <w:p w14:paraId="2E04F159" w14:textId="77777777" w:rsidR="00CF5DF8" w:rsidRPr="00CF5DF8" w:rsidRDefault="00CF5DF8" w:rsidP="00CF5DF8">
      <w:pPr>
        <w:tabs>
          <w:tab w:val="left" w:pos="3769"/>
        </w:tabs>
        <w:spacing w:after="0" w:line="360" w:lineRule="auto"/>
        <w:jc w:val="both"/>
        <w:rPr>
          <w:rFonts w:ascii="Times New Roman" w:hAnsi="Times New Roman" w:cs="Times New Roman"/>
          <w:sz w:val="24"/>
          <w:szCs w:val="24"/>
        </w:rPr>
      </w:pPr>
    </w:p>
    <w:p w14:paraId="5ABE98A1" w14:textId="77777777" w:rsidR="00CF5DF8" w:rsidRPr="00CF5DF8" w:rsidRDefault="00CF5DF8" w:rsidP="00CF5DF8">
      <w:pPr>
        <w:tabs>
          <w:tab w:val="left" w:pos="3769"/>
        </w:tabs>
        <w:spacing w:line="360" w:lineRule="auto"/>
        <w:jc w:val="both"/>
        <w:rPr>
          <w:rFonts w:ascii="Times New Roman" w:hAnsi="Times New Roman" w:cs="Times New Roman"/>
          <w:sz w:val="24"/>
          <w:szCs w:val="24"/>
        </w:rPr>
      </w:pPr>
      <w:r w:rsidRPr="00CF5DF8">
        <w:rPr>
          <w:rFonts w:ascii="Times New Roman" w:hAnsi="Times New Roman" w:cs="Times New Roman"/>
          <w:sz w:val="24"/>
          <w:szCs w:val="24"/>
        </w:rPr>
        <w:t xml:space="preserve">Variables of interest as predictors of self-harm included: </w:t>
      </w:r>
    </w:p>
    <w:p w14:paraId="5CF2516C" w14:textId="07BBB566" w:rsidR="00CF5DF8" w:rsidRPr="00CF5DF8" w:rsidRDefault="00CF5DF8" w:rsidP="00CF5DF8">
      <w:pPr>
        <w:spacing w:after="0"/>
        <w:rPr>
          <w:rFonts w:ascii="Times New Roman" w:hAnsi="Times New Roman" w:cs="Times New Roman"/>
          <w:b/>
          <w:bCs/>
          <w:sz w:val="24"/>
          <w:szCs w:val="24"/>
          <w:u w:val="single"/>
        </w:rPr>
      </w:pPr>
      <w:r w:rsidRPr="00CF5DF8">
        <w:rPr>
          <w:rFonts w:ascii="Times New Roman" w:hAnsi="Times New Roman" w:cs="Times New Roman"/>
          <w:b/>
          <w:bCs/>
          <w:sz w:val="24"/>
          <w:szCs w:val="24"/>
          <w:u w:val="single"/>
        </w:rPr>
        <w:t>YMM data</w:t>
      </w:r>
    </w:p>
    <w:p w14:paraId="572A7C84" w14:textId="77777777" w:rsidR="00CF5DF8" w:rsidRPr="00CF5DF8" w:rsidRDefault="00CF5DF8" w:rsidP="00CF5DF8">
      <w:pPr>
        <w:spacing w:after="0"/>
        <w:ind w:left="720"/>
        <w:rPr>
          <w:rFonts w:ascii="Times New Roman" w:hAnsi="Times New Roman" w:cs="Times New Roman"/>
          <w:sz w:val="24"/>
          <w:szCs w:val="24"/>
        </w:rPr>
      </w:pPr>
      <w:r w:rsidRPr="00CF5DF8">
        <w:rPr>
          <w:rFonts w:ascii="Times New Roman" w:hAnsi="Times New Roman" w:cs="Times New Roman"/>
          <w:sz w:val="24"/>
          <w:szCs w:val="24"/>
        </w:rPr>
        <w:t>Person-level variables:</w:t>
      </w:r>
    </w:p>
    <w:p w14:paraId="13F7BD75" w14:textId="77777777" w:rsidR="00CF5DF8" w:rsidRPr="00CF5DF8" w:rsidRDefault="00CF5DF8" w:rsidP="00CF5DF8">
      <w:pPr>
        <w:pStyle w:val="ListParagraph"/>
        <w:numPr>
          <w:ilvl w:val="2"/>
          <w:numId w:val="4"/>
        </w:numPr>
        <w:spacing w:after="0" w:line="240" w:lineRule="auto"/>
        <w:ind w:left="1620"/>
        <w:rPr>
          <w:rFonts w:ascii="Times New Roman" w:hAnsi="Times New Roman" w:cs="Times New Roman"/>
          <w:sz w:val="24"/>
          <w:szCs w:val="24"/>
        </w:rPr>
      </w:pPr>
      <w:r w:rsidRPr="00CF5DF8">
        <w:rPr>
          <w:rFonts w:ascii="Times New Roman" w:hAnsi="Times New Roman" w:cs="Times New Roman"/>
          <w:sz w:val="24"/>
          <w:szCs w:val="24"/>
        </w:rPr>
        <w:t>Demographics: age, sex, Aboriginal and/or Torres Strait Islander Status, country of birth</w:t>
      </w:r>
    </w:p>
    <w:p w14:paraId="222BDB64" w14:textId="77777777" w:rsidR="00CF5DF8" w:rsidRPr="00CF5DF8" w:rsidRDefault="00CF5DF8" w:rsidP="00CF5DF8">
      <w:pPr>
        <w:pStyle w:val="ListParagraph"/>
        <w:numPr>
          <w:ilvl w:val="2"/>
          <w:numId w:val="4"/>
        </w:numPr>
        <w:spacing w:after="0" w:line="240" w:lineRule="auto"/>
        <w:ind w:left="1620"/>
        <w:rPr>
          <w:rFonts w:ascii="Times New Roman" w:hAnsi="Times New Roman" w:cs="Times New Roman"/>
          <w:sz w:val="24"/>
          <w:szCs w:val="24"/>
        </w:rPr>
      </w:pPr>
      <w:r w:rsidRPr="00CF5DF8">
        <w:rPr>
          <w:rFonts w:ascii="Times New Roman" w:hAnsi="Times New Roman" w:cs="Times New Roman"/>
          <w:sz w:val="24"/>
          <w:szCs w:val="24"/>
        </w:rPr>
        <w:t>Psychological assessment screens:</w:t>
      </w:r>
    </w:p>
    <w:p w14:paraId="078C536A" w14:textId="77777777" w:rsidR="00CF5DF8" w:rsidRPr="00CF5DF8" w:rsidRDefault="00CF5DF8" w:rsidP="00CF5DF8">
      <w:pPr>
        <w:pStyle w:val="ListParagraph"/>
        <w:numPr>
          <w:ilvl w:val="1"/>
          <w:numId w:val="5"/>
        </w:numPr>
        <w:spacing w:after="0" w:line="240" w:lineRule="auto"/>
        <w:ind w:left="2160"/>
        <w:rPr>
          <w:rFonts w:ascii="Times New Roman" w:hAnsi="Times New Roman" w:cs="Times New Roman"/>
          <w:sz w:val="24"/>
          <w:szCs w:val="24"/>
        </w:rPr>
      </w:pPr>
      <w:r w:rsidRPr="00CF5DF8">
        <w:rPr>
          <w:rFonts w:ascii="Times New Roman" w:hAnsi="Times New Roman" w:cs="Times New Roman"/>
          <w:sz w:val="24"/>
          <w:szCs w:val="24"/>
        </w:rPr>
        <w:t xml:space="preserve">Kessler-10-item psychological distress scale (K-10) </w:t>
      </w:r>
    </w:p>
    <w:p w14:paraId="2D68B2F2" w14:textId="77777777" w:rsidR="00CF5DF8" w:rsidRPr="00CF5DF8" w:rsidRDefault="00CF5DF8" w:rsidP="00CF5DF8">
      <w:pPr>
        <w:pStyle w:val="ListParagraph"/>
        <w:numPr>
          <w:ilvl w:val="1"/>
          <w:numId w:val="5"/>
        </w:numPr>
        <w:spacing w:after="0" w:line="240" w:lineRule="auto"/>
        <w:ind w:left="2160" w:right="-46"/>
        <w:rPr>
          <w:rFonts w:ascii="Times New Roman" w:hAnsi="Times New Roman" w:cs="Times New Roman"/>
          <w:sz w:val="24"/>
          <w:szCs w:val="24"/>
        </w:rPr>
      </w:pPr>
      <w:r w:rsidRPr="00CF5DF8">
        <w:rPr>
          <w:rFonts w:ascii="Times New Roman" w:hAnsi="Times New Roman" w:cs="Times New Roman"/>
          <w:sz w:val="24"/>
          <w:szCs w:val="24"/>
        </w:rPr>
        <w:t xml:space="preserve">Diagnostic Interview Schedule for Children (DISC-IV) major depression (youth-reported and parent-reported, past 12 months). ‘Parent reported’ is the parents’ assessment of their child’s mental health. </w:t>
      </w:r>
    </w:p>
    <w:p w14:paraId="24A5B28D" w14:textId="77777777" w:rsidR="00CF5DF8" w:rsidRPr="00CF5DF8" w:rsidRDefault="00CF5DF8" w:rsidP="00CF5DF8">
      <w:pPr>
        <w:pStyle w:val="ListParagraph"/>
        <w:numPr>
          <w:ilvl w:val="1"/>
          <w:numId w:val="5"/>
        </w:numPr>
        <w:spacing w:after="0" w:line="240" w:lineRule="auto"/>
        <w:ind w:left="2160"/>
        <w:rPr>
          <w:rFonts w:ascii="Times New Roman" w:hAnsi="Times New Roman" w:cs="Times New Roman"/>
          <w:sz w:val="24"/>
          <w:szCs w:val="24"/>
        </w:rPr>
      </w:pPr>
      <w:r w:rsidRPr="00CF5DF8">
        <w:rPr>
          <w:rFonts w:ascii="Times New Roman" w:hAnsi="Times New Roman" w:cs="Times New Roman"/>
          <w:sz w:val="24"/>
          <w:szCs w:val="24"/>
        </w:rPr>
        <w:t>Self-esteem – Adolescent Self-Esteem Questionnaire (ASQ)</w:t>
      </w:r>
    </w:p>
    <w:p w14:paraId="03BF8D63" w14:textId="77777777" w:rsidR="00CF5DF8" w:rsidRPr="00CF5DF8" w:rsidRDefault="00CF5DF8" w:rsidP="00CF5DF8">
      <w:pPr>
        <w:pStyle w:val="ListParagraph"/>
        <w:numPr>
          <w:ilvl w:val="1"/>
          <w:numId w:val="5"/>
        </w:numPr>
        <w:spacing w:after="0" w:line="240" w:lineRule="auto"/>
        <w:ind w:left="2160"/>
        <w:rPr>
          <w:rFonts w:ascii="Times New Roman" w:hAnsi="Times New Roman" w:cs="Times New Roman"/>
          <w:sz w:val="24"/>
          <w:szCs w:val="24"/>
        </w:rPr>
      </w:pPr>
      <w:r w:rsidRPr="00CF5DF8">
        <w:rPr>
          <w:rFonts w:ascii="Times New Roman" w:hAnsi="Times New Roman" w:cs="Times New Roman"/>
          <w:sz w:val="24"/>
          <w:szCs w:val="24"/>
        </w:rPr>
        <w:t xml:space="preserve">Bullied or cyber bullied (past 12 months) </w:t>
      </w:r>
    </w:p>
    <w:p w14:paraId="669FD159" w14:textId="77777777" w:rsidR="00CF5DF8" w:rsidRPr="00CF5DF8" w:rsidRDefault="00CF5DF8" w:rsidP="00CF5DF8">
      <w:pPr>
        <w:pStyle w:val="ListParagraph"/>
        <w:numPr>
          <w:ilvl w:val="1"/>
          <w:numId w:val="5"/>
        </w:numPr>
        <w:spacing w:after="0" w:line="240" w:lineRule="auto"/>
        <w:ind w:left="2160"/>
        <w:rPr>
          <w:rFonts w:ascii="Times New Roman" w:hAnsi="Times New Roman" w:cs="Times New Roman"/>
          <w:sz w:val="24"/>
          <w:szCs w:val="24"/>
        </w:rPr>
      </w:pPr>
      <w:r w:rsidRPr="00CF5DF8">
        <w:rPr>
          <w:rFonts w:ascii="Times New Roman" w:hAnsi="Times New Roman" w:cs="Times New Roman"/>
          <w:sz w:val="24"/>
          <w:szCs w:val="24"/>
        </w:rPr>
        <w:t>Psychosis screen (past 12 months) – items from the Diagnostic Interview Schedule for Children (DISC-IV)</w:t>
      </w:r>
    </w:p>
    <w:p w14:paraId="1C2F40FD" w14:textId="77777777" w:rsidR="00CF5DF8" w:rsidRPr="00CF5DF8" w:rsidRDefault="00CF5DF8" w:rsidP="00CF5DF8">
      <w:pPr>
        <w:pStyle w:val="ListParagraph"/>
        <w:numPr>
          <w:ilvl w:val="1"/>
          <w:numId w:val="5"/>
        </w:numPr>
        <w:spacing w:after="0" w:line="240" w:lineRule="auto"/>
        <w:ind w:left="2160"/>
        <w:rPr>
          <w:rFonts w:ascii="Times New Roman" w:hAnsi="Times New Roman" w:cs="Times New Roman"/>
          <w:sz w:val="24"/>
          <w:szCs w:val="24"/>
        </w:rPr>
      </w:pPr>
      <w:r w:rsidRPr="00CF5DF8">
        <w:rPr>
          <w:rFonts w:ascii="Times New Roman" w:hAnsi="Times New Roman" w:cs="Times New Roman"/>
          <w:sz w:val="24"/>
          <w:szCs w:val="24"/>
        </w:rPr>
        <w:t>Disordered eating (past 12 months)</w:t>
      </w:r>
    </w:p>
    <w:p w14:paraId="5BDCF4D6" w14:textId="77777777" w:rsidR="00CF5DF8" w:rsidRPr="00CF5DF8" w:rsidRDefault="00CF5DF8" w:rsidP="00CF5DF8">
      <w:pPr>
        <w:pStyle w:val="ListParagraph"/>
        <w:numPr>
          <w:ilvl w:val="1"/>
          <w:numId w:val="5"/>
        </w:numPr>
        <w:spacing w:after="0" w:line="240" w:lineRule="auto"/>
        <w:ind w:left="2160"/>
        <w:rPr>
          <w:rFonts w:ascii="Times New Roman" w:hAnsi="Times New Roman" w:cs="Times New Roman"/>
          <w:sz w:val="24"/>
          <w:szCs w:val="24"/>
        </w:rPr>
      </w:pPr>
      <w:r w:rsidRPr="00CF5DF8">
        <w:rPr>
          <w:rFonts w:ascii="Times New Roman" w:hAnsi="Times New Roman" w:cs="Times New Roman"/>
          <w:sz w:val="24"/>
          <w:szCs w:val="24"/>
        </w:rPr>
        <w:t>Sleep (usual hours per night)</w:t>
      </w:r>
    </w:p>
    <w:p w14:paraId="46A9A828" w14:textId="77777777" w:rsidR="00CF5DF8" w:rsidRPr="00CF5DF8" w:rsidRDefault="00CF5DF8" w:rsidP="00CF5DF8">
      <w:pPr>
        <w:pStyle w:val="ListParagraph"/>
        <w:numPr>
          <w:ilvl w:val="2"/>
          <w:numId w:val="4"/>
        </w:numPr>
        <w:spacing w:after="0" w:line="240" w:lineRule="auto"/>
        <w:ind w:left="1620"/>
        <w:rPr>
          <w:rFonts w:ascii="Times New Roman" w:hAnsi="Times New Roman" w:cs="Times New Roman"/>
          <w:sz w:val="24"/>
          <w:szCs w:val="24"/>
        </w:rPr>
      </w:pPr>
      <w:r w:rsidRPr="00CF5DF8">
        <w:rPr>
          <w:rFonts w:ascii="Times New Roman" w:hAnsi="Times New Roman" w:cs="Times New Roman"/>
          <w:sz w:val="24"/>
          <w:szCs w:val="24"/>
        </w:rPr>
        <w:t xml:space="preserve">Youth risk behaviour (past-month alcohol use, lifetime illicit substance use) </w:t>
      </w:r>
    </w:p>
    <w:p w14:paraId="75A4EE61" w14:textId="77777777" w:rsidR="00CF5DF8" w:rsidRPr="00CF5DF8" w:rsidRDefault="00CF5DF8" w:rsidP="00CF5DF8">
      <w:pPr>
        <w:pStyle w:val="ListParagraph"/>
        <w:numPr>
          <w:ilvl w:val="2"/>
          <w:numId w:val="4"/>
        </w:numPr>
        <w:spacing w:after="0" w:line="240" w:lineRule="auto"/>
        <w:ind w:left="1620"/>
        <w:rPr>
          <w:rFonts w:ascii="Times New Roman" w:hAnsi="Times New Roman" w:cs="Times New Roman"/>
          <w:sz w:val="24"/>
          <w:szCs w:val="24"/>
        </w:rPr>
      </w:pPr>
      <w:r w:rsidRPr="00CF5DF8">
        <w:rPr>
          <w:rFonts w:ascii="Times New Roman" w:hAnsi="Times New Roman" w:cs="Times New Roman"/>
          <w:sz w:val="24"/>
          <w:szCs w:val="24"/>
        </w:rPr>
        <w:t xml:space="preserve">Education </w:t>
      </w:r>
    </w:p>
    <w:p w14:paraId="5359F600" w14:textId="77777777" w:rsidR="00CF5DF8" w:rsidRPr="00CF5DF8" w:rsidRDefault="00CF5DF8" w:rsidP="00CF5DF8">
      <w:pPr>
        <w:pStyle w:val="ListParagraph"/>
        <w:numPr>
          <w:ilvl w:val="2"/>
          <w:numId w:val="4"/>
        </w:numPr>
        <w:spacing w:after="0" w:line="240" w:lineRule="auto"/>
        <w:ind w:left="1620"/>
        <w:rPr>
          <w:rFonts w:ascii="Times New Roman" w:hAnsi="Times New Roman" w:cs="Times New Roman"/>
          <w:sz w:val="24"/>
          <w:szCs w:val="24"/>
        </w:rPr>
      </w:pPr>
      <w:r w:rsidRPr="00CF5DF8">
        <w:rPr>
          <w:rFonts w:ascii="Times New Roman" w:hAnsi="Times New Roman" w:cs="Times New Roman"/>
          <w:sz w:val="24"/>
          <w:szCs w:val="24"/>
        </w:rPr>
        <w:t>Family information</w:t>
      </w:r>
    </w:p>
    <w:p w14:paraId="3D3F3418" w14:textId="77777777" w:rsidR="00CF5DF8" w:rsidRPr="00CF5DF8" w:rsidRDefault="00CF5DF8" w:rsidP="00CF5DF8">
      <w:pPr>
        <w:pStyle w:val="ListParagraph"/>
        <w:numPr>
          <w:ilvl w:val="1"/>
          <w:numId w:val="16"/>
        </w:numPr>
        <w:spacing w:after="0" w:line="240" w:lineRule="auto"/>
        <w:ind w:left="2160"/>
        <w:rPr>
          <w:rFonts w:ascii="Times New Roman" w:hAnsi="Times New Roman" w:cs="Times New Roman"/>
          <w:sz w:val="24"/>
          <w:szCs w:val="24"/>
        </w:rPr>
      </w:pPr>
      <w:r w:rsidRPr="00CF5DF8">
        <w:rPr>
          <w:rFonts w:ascii="Times New Roman" w:hAnsi="Times New Roman" w:cs="Times New Roman"/>
          <w:sz w:val="24"/>
          <w:szCs w:val="24"/>
        </w:rPr>
        <w:t>Country of birth</w:t>
      </w:r>
    </w:p>
    <w:p w14:paraId="3CBE4B3E" w14:textId="77777777" w:rsidR="00CF5DF8" w:rsidRPr="00CF5DF8" w:rsidRDefault="00CF5DF8" w:rsidP="00CF5DF8">
      <w:pPr>
        <w:pStyle w:val="ListParagraph"/>
        <w:numPr>
          <w:ilvl w:val="1"/>
          <w:numId w:val="16"/>
        </w:numPr>
        <w:spacing w:after="0" w:line="240" w:lineRule="auto"/>
        <w:ind w:left="2160"/>
        <w:rPr>
          <w:rFonts w:ascii="Times New Roman" w:hAnsi="Times New Roman" w:cs="Times New Roman"/>
          <w:sz w:val="24"/>
          <w:szCs w:val="24"/>
        </w:rPr>
      </w:pPr>
      <w:r w:rsidRPr="00CF5DF8">
        <w:rPr>
          <w:rFonts w:ascii="Times New Roman" w:hAnsi="Times New Roman" w:cs="Times New Roman"/>
          <w:sz w:val="24"/>
          <w:szCs w:val="24"/>
        </w:rPr>
        <w:t xml:space="preserve">Education, income, employment, housing tenure </w:t>
      </w:r>
    </w:p>
    <w:p w14:paraId="6B597126" w14:textId="77777777" w:rsidR="00CF5DF8" w:rsidRPr="00CF5DF8" w:rsidRDefault="00CF5DF8" w:rsidP="00CF5DF8">
      <w:pPr>
        <w:pStyle w:val="ListParagraph"/>
        <w:numPr>
          <w:ilvl w:val="1"/>
          <w:numId w:val="16"/>
        </w:numPr>
        <w:spacing w:after="0" w:line="240" w:lineRule="auto"/>
        <w:ind w:left="2160"/>
        <w:rPr>
          <w:rFonts w:ascii="Times New Roman" w:hAnsi="Times New Roman" w:cs="Times New Roman"/>
          <w:sz w:val="24"/>
          <w:szCs w:val="24"/>
        </w:rPr>
      </w:pPr>
      <w:r w:rsidRPr="00CF5DF8">
        <w:rPr>
          <w:rFonts w:ascii="Times New Roman" w:hAnsi="Times New Roman" w:cs="Times New Roman"/>
          <w:sz w:val="24"/>
          <w:szCs w:val="24"/>
        </w:rPr>
        <w:t>Family functioning: partner, family blending, support (McMaster Family Assessment Device (FAD))</w:t>
      </w:r>
    </w:p>
    <w:p w14:paraId="6156A0A9" w14:textId="77777777" w:rsidR="00CF5DF8" w:rsidRPr="00CF5DF8" w:rsidRDefault="00CF5DF8" w:rsidP="00CF5DF8">
      <w:pPr>
        <w:pStyle w:val="ListParagraph"/>
        <w:numPr>
          <w:ilvl w:val="1"/>
          <w:numId w:val="16"/>
        </w:numPr>
        <w:spacing w:after="0" w:line="240" w:lineRule="auto"/>
        <w:ind w:left="2160"/>
        <w:rPr>
          <w:rFonts w:ascii="Times New Roman" w:hAnsi="Times New Roman" w:cs="Times New Roman"/>
          <w:sz w:val="24"/>
          <w:szCs w:val="24"/>
        </w:rPr>
      </w:pPr>
      <w:r w:rsidRPr="00CF5DF8">
        <w:rPr>
          <w:rFonts w:ascii="Times New Roman" w:hAnsi="Times New Roman" w:cs="Times New Roman"/>
          <w:sz w:val="24"/>
          <w:szCs w:val="24"/>
        </w:rPr>
        <w:t>Family connectedness (self-rated as always, mostly, sometimes, hardly ever/never)</w:t>
      </w:r>
    </w:p>
    <w:p w14:paraId="535E55C6" w14:textId="77777777" w:rsidR="00CF5DF8" w:rsidRPr="00CF5DF8" w:rsidRDefault="00CF5DF8" w:rsidP="00CF5DF8">
      <w:pPr>
        <w:spacing w:after="0"/>
        <w:ind w:left="720"/>
        <w:rPr>
          <w:rFonts w:ascii="Times New Roman" w:hAnsi="Times New Roman" w:cs="Times New Roman"/>
          <w:sz w:val="24"/>
          <w:szCs w:val="24"/>
        </w:rPr>
      </w:pPr>
      <w:r w:rsidRPr="00CF5DF8">
        <w:rPr>
          <w:rFonts w:ascii="Times New Roman" w:hAnsi="Times New Roman" w:cs="Times New Roman"/>
          <w:sz w:val="24"/>
          <w:szCs w:val="24"/>
        </w:rPr>
        <w:t>Area-level variables:</w:t>
      </w:r>
    </w:p>
    <w:p w14:paraId="650D79B9" w14:textId="77777777" w:rsidR="00CF5DF8" w:rsidRPr="00CF5DF8" w:rsidRDefault="00CF5DF8" w:rsidP="00CF5DF8">
      <w:pPr>
        <w:pStyle w:val="ListParagraph"/>
        <w:numPr>
          <w:ilvl w:val="1"/>
          <w:numId w:val="16"/>
        </w:numPr>
        <w:spacing w:after="0" w:line="240" w:lineRule="auto"/>
        <w:ind w:left="2160"/>
        <w:rPr>
          <w:rFonts w:ascii="Times New Roman" w:hAnsi="Times New Roman" w:cs="Times New Roman"/>
          <w:sz w:val="24"/>
          <w:szCs w:val="24"/>
        </w:rPr>
      </w:pPr>
      <w:r w:rsidRPr="00CF5DF8">
        <w:rPr>
          <w:rFonts w:ascii="Times New Roman" w:hAnsi="Times New Roman" w:cs="Times New Roman"/>
          <w:sz w:val="24"/>
          <w:szCs w:val="24"/>
        </w:rPr>
        <w:t xml:space="preserve">Green space access and quality </w:t>
      </w:r>
    </w:p>
    <w:p w14:paraId="5103A485" w14:textId="77777777" w:rsidR="00CF5DF8" w:rsidRPr="00CF5DF8" w:rsidRDefault="00CF5DF8" w:rsidP="00CF5DF8">
      <w:pPr>
        <w:pStyle w:val="ListParagraph"/>
        <w:numPr>
          <w:ilvl w:val="1"/>
          <w:numId w:val="16"/>
        </w:numPr>
        <w:spacing w:after="0" w:line="240" w:lineRule="auto"/>
        <w:ind w:left="2160"/>
        <w:rPr>
          <w:rFonts w:ascii="Times New Roman" w:hAnsi="Times New Roman" w:cs="Times New Roman"/>
          <w:sz w:val="24"/>
          <w:szCs w:val="24"/>
        </w:rPr>
      </w:pPr>
      <w:r w:rsidRPr="00CF5DF8">
        <w:rPr>
          <w:rFonts w:ascii="Times New Roman" w:hAnsi="Times New Roman" w:cs="Times New Roman"/>
          <w:sz w:val="24"/>
          <w:szCs w:val="24"/>
        </w:rPr>
        <w:t xml:space="preserve">Condition of the home </w:t>
      </w:r>
    </w:p>
    <w:p w14:paraId="13CB54E4" w14:textId="77777777" w:rsidR="00CF5DF8" w:rsidRPr="00CF5DF8" w:rsidRDefault="00CF5DF8" w:rsidP="00CF5DF8">
      <w:pPr>
        <w:pStyle w:val="ListParagraph"/>
        <w:numPr>
          <w:ilvl w:val="1"/>
          <w:numId w:val="16"/>
        </w:numPr>
        <w:spacing w:after="0" w:line="240" w:lineRule="auto"/>
        <w:ind w:left="2160"/>
        <w:rPr>
          <w:rFonts w:ascii="Times New Roman" w:hAnsi="Times New Roman" w:cs="Times New Roman"/>
          <w:sz w:val="24"/>
          <w:szCs w:val="24"/>
        </w:rPr>
      </w:pPr>
      <w:r w:rsidRPr="00CF5DF8">
        <w:rPr>
          <w:rFonts w:ascii="Times New Roman" w:hAnsi="Times New Roman" w:cs="Times New Roman"/>
          <w:sz w:val="24"/>
          <w:szCs w:val="24"/>
        </w:rPr>
        <w:t xml:space="preserve">School </w:t>
      </w:r>
      <w:r w:rsidRPr="00CF5DF8">
        <w:rPr>
          <w:rFonts w:ascii="Times New Roman" w:hAnsi="Times New Roman" w:cs="Times New Roman"/>
          <w:sz w:val="24"/>
          <w:szCs w:val="24"/>
          <w:shd w:val="clear" w:color="auto" w:fill="FFFFFF"/>
        </w:rPr>
        <w:t>Index of Community Socio-Educational Advantage (</w:t>
      </w:r>
      <w:r w:rsidRPr="00CF5DF8">
        <w:rPr>
          <w:rFonts w:ascii="Times New Roman" w:hAnsi="Times New Roman" w:cs="Times New Roman"/>
          <w:sz w:val="24"/>
          <w:szCs w:val="24"/>
        </w:rPr>
        <w:t>ICSEA)</w:t>
      </w:r>
    </w:p>
    <w:p w14:paraId="7A8468BF" w14:textId="5AD1751F" w:rsidR="00CF5DF8" w:rsidRPr="00CF5DF8" w:rsidRDefault="00CF5DF8" w:rsidP="00CF5DF8">
      <w:pPr>
        <w:pStyle w:val="ListParagraph"/>
        <w:numPr>
          <w:ilvl w:val="1"/>
          <w:numId w:val="16"/>
        </w:numPr>
        <w:spacing w:after="0" w:line="240" w:lineRule="auto"/>
        <w:ind w:left="2160"/>
        <w:rPr>
          <w:rFonts w:ascii="Times New Roman" w:hAnsi="Times New Roman" w:cs="Times New Roman"/>
          <w:sz w:val="24"/>
          <w:szCs w:val="24"/>
        </w:rPr>
      </w:pPr>
      <w:r w:rsidRPr="00CF5DF8">
        <w:rPr>
          <w:rFonts w:ascii="Times New Roman" w:hAnsi="Times New Roman" w:cs="Times New Roman"/>
          <w:sz w:val="24"/>
          <w:szCs w:val="24"/>
        </w:rPr>
        <w:t xml:space="preserve">Synthetic SA1-level small area estimate (SAE) of prevalence of internalising disorders e.g., major depression and anxiety disorders. See Appendix </w:t>
      </w:r>
      <w:r w:rsidR="000974D8">
        <w:rPr>
          <w:rFonts w:ascii="Times New Roman" w:hAnsi="Times New Roman" w:cs="Times New Roman"/>
          <w:sz w:val="24"/>
          <w:szCs w:val="24"/>
        </w:rPr>
        <w:t>4</w:t>
      </w:r>
      <w:r w:rsidRPr="00CF5DF8">
        <w:rPr>
          <w:rFonts w:ascii="Times New Roman" w:hAnsi="Times New Roman" w:cs="Times New Roman"/>
          <w:sz w:val="24"/>
          <w:szCs w:val="24"/>
        </w:rPr>
        <w:t xml:space="preserve"> for summary of small area estimation of internalising disorder prevalence (among Australians aged 12-17) at SA1-level.</w:t>
      </w:r>
    </w:p>
    <w:p w14:paraId="44B350E3" w14:textId="77777777" w:rsidR="00CF5DF8" w:rsidRDefault="00CF5DF8" w:rsidP="00CF5DF8">
      <w:pPr>
        <w:pStyle w:val="ListParagraph"/>
        <w:numPr>
          <w:ilvl w:val="1"/>
          <w:numId w:val="16"/>
        </w:numPr>
        <w:spacing w:after="0" w:line="240" w:lineRule="auto"/>
        <w:ind w:left="2160"/>
        <w:rPr>
          <w:rFonts w:ascii="Times New Roman" w:hAnsi="Times New Roman" w:cs="Times New Roman"/>
          <w:sz w:val="24"/>
          <w:szCs w:val="24"/>
        </w:rPr>
      </w:pPr>
      <w:r w:rsidRPr="00CF5DF8">
        <w:rPr>
          <w:rFonts w:ascii="Times New Roman" w:hAnsi="Times New Roman" w:cs="Times New Roman"/>
          <w:sz w:val="24"/>
          <w:szCs w:val="24"/>
        </w:rPr>
        <w:t>Aggregated data from person-level data</w:t>
      </w:r>
    </w:p>
    <w:p w14:paraId="6B82503B" w14:textId="77777777" w:rsidR="00CF5DF8" w:rsidRPr="00CF5DF8" w:rsidRDefault="00CF5DF8" w:rsidP="00CF5DF8">
      <w:pPr>
        <w:pStyle w:val="ListParagraph"/>
        <w:spacing w:after="0" w:line="240" w:lineRule="auto"/>
        <w:ind w:left="2160"/>
        <w:rPr>
          <w:rFonts w:ascii="Times New Roman" w:hAnsi="Times New Roman" w:cs="Times New Roman"/>
          <w:sz w:val="24"/>
          <w:szCs w:val="24"/>
        </w:rPr>
      </w:pPr>
    </w:p>
    <w:p w14:paraId="2E32E4B7" w14:textId="77777777" w:rsidR="00CF5DF8" w:rsidRPr="00CF5DF8" w:rsidRDefault="00CF5DF8" w:rsidP="00CF5DF8">
      <w:pPr>
        <w:spacing w:after="0"/>
        <w:rPr>
          <w:rFonts w:ascii="Times New Roman" w:hAnsi="Times New Roman" w:cs="Times New Roman"/>
          <w:sz w:val="24"/>
          <w:szCs w:val="24"/>
        </w:rPr>
      </w:pPr>
    </w:p>
    <w:p w14:paraId="717D088F" w14:textId="77777777" w:rsidR="00CF5DF8" w:rsidRPr="00CF5DF8" w:rsidRDefault="00CF5DF8" w:rsidP="00CF5DF8">
      <w:pPr>
        <w:spacing w:after="0"/>
        <w:rPr>
          <w:rFonts w:ascii="Times New Roman" w:hAnsi="Times New Roman" w:cs="Times New Roman"/>
          <w:b/>
          <w:bCs/>
          <w:sz w:val="24"/>
          <w:szCs w:val="24"/>
          <w:u w:val="single"/>
        </w:rPr>
      </w:pPr>
      <w:r w:rsidRPr="00CF5DF8">
        <w:rPr>
          <w:rFonts w:ascii="Times New Roman" w:hAnsi="Times New Roman" w:cs="Times New Roman"/>
          <w:b/>
          <w:bCs/>
          <w:sz w:val="24"/>
          <w:szCs w:val="24"/>
          <w:u w:val="single"/>
        </w:rPr>
        <w:t>Auxiliary data (aggregated at SA1-level)</w:t>
      </w:r>
    </w:p>
    <w:p w14:paraId="64BE4C1C" w14:textId="0A665CF1" w:rsidR="00CF5DF8" w:rsidRPr="00CF5DF8" w:rsidRDefault="00CF5DF8" w:rsidP="00CF5DF8">
      <w:pPr>
        <w:spacing w:after="0"/>
        <w:ind w:left="720"/>
        <w:rPr>
          <w:rFonts w:ascii="Times New Roman" w:hAnsi="Times New Roman" w:cs="Times New Roman"/>
          <w:sz w:val="24"/>
          <w:szCs w:val="24"/>
        </w:rPr>
      </w:pPr>
      <w:r w:rsidRPr="00CF5DF8">
        <w:rPr>
          <w:rFonts w:ascii="Times New Roman" w:hAnsi="Times New Roman" w:cs="Times New Roman"/>
          <w:sz w:val="24"/>
          <w:szCs w:val="24"/>
        </w:rPr>
        <w:t>ABS Census data (2011, 2016)</w:t>
      </w:r>
      <w:r>
        <w:rPr>
          <w:rFonts w:ascii="Times New Roman" w:hAnsi="Times New Roman" w:cs="Times New Roman"/>
          <w:sz w:val="24"/>
          <w:szCs w:val="24"/>
        </w:rPr>
        <w:t>:</w:t>
      </w:r>
    </w:p>
    <w:p w14:paraId="737AB93E" w14:textId="77777777" w:rsidR="00CF5DF8" w:rsidRPr="00CF5DF8" w:rsidRDefault="00CF5DF8" w:rsidP="00CF5DF8">
      <w:pPr>
        <w:pStyle w:val="ListParagraph"/>
        <w:numPr>
          <w:ilvl w:val="1"/>
          <w:numId w:val="16"/>
        </w:numPr>
        <w:spacing w:after="0" w:line="240" w:lineRule="auto"/>
        <w:rPr>
          <w:rFonts w:ascii="Times New Roman" w:hAnsi="Times New Roman" w:cs="Times New Roman"/>
          <w:sz w:val="24"/>
          <w:szCs w:val="24"/>
        </w:rPr>
      </w:pPr>
      <w:r w:rsidRPr="00CF5DF8">
        <w:rPr>
          <w:rFonts w:ascii="Times New Roman" w:hAnsi="Times New Roman" w:cs="Times New Roman"/>
          <w:sz w:val="24"/>
          <w:szCs w:val="24"/>
        </w:rPr>
        <w:t>Country of birth</w:t>
      </w:r>
    </w:p>
    <w:p w14:paraId="46216F04" w14:textId="77777777" w:rsidR="00CF5DF8" w:rsidRPr="00CF5DF8" w:rsidRDefault="00CF5DF8" w:rsidP="00CF5DF8">
      <w:pPr>
        <w:pStyle w:val="ListParagraph"/>
        <w:numPr>
          <w:ilvl w:val="1"/>
          <w:numId w:val="16"/>
        </w:numPr>
        <w:spacing w:after="0" w:line="240" w:lineRule="auto"/>
        <w:rPr>
          <w:rFonts w:ascii="Times New Roman" w:hAnsi="Times New Roman" w:cs="Times New Roman"/>
          <w:sz w:val="24"/>
          <w:szCs w:val="24"/>
        </w:rPr>
      </w:pPr>
      <w:r w:rsidRPr="00CF5DF8">
        <w:rPr>
          <w:rFonts w:ascii="Times New Roman" w:hAnsi="Times New Roman" w:cs="Times New Roman"/>
          <w:sz w:val="24"/>
          <w:szCs w:val="24"/>
        </w:rPr>
        <w:t>Aboriginal and/or Torres Strait Islander Status</w:t>
      </w:r>
    </w:p>
    <w:p w14:paraId="0BACD116" w14:textId="77777777" w:rsidR="00CF5DF8" w:rsidRPr="00CF5DF8" w:rsidRDefault="00CF5DF8" w:rsidP="00CF5DF8">
      <w:pPr>
        <w:pStyle w:val="ListParagraph"/>
        <w:numPr>
          <w:ilvl w:val="1"/>
          <w:numId w:val="16"/>
        </w:numPr>
        <w:spacing w:after="0" w:line="240" w:lineRule="auto"/>
        <w:rPr>
          <w:rFonts w:ascii="Times New Roman" w:hAnsi="Times New Roman" w:cs="Times New Roman"/>
          <w:sz w:val="24"/>
          <w:szCs w:val="24"/>
        </w:rPr>
      </w:pPr>
      <w:r w:rsidRPr="00CF5DF8">
        <w:rPr>
          <w:rFonts w:ascii="Times New Roman" w:hAnsi="Times New Roman" w:cs="Times New Roman"/>
          <w:sz w:val="24"/>
          <w:szCs w:val="24"/>
        </w:rPr>
        <w:lastRenderedPageBreak/>
        <w:t>Parent country of birth</w:t>
      </w:r>
    </w:p>
    <w:p w14:paraId="7FDDEA4B" w14:textId="77777777" w:rsidR="00CF5DF8" w:rsidRPr="00CF5DF8" w:rsidRDefault="00CF5DF8" w:rsidP="00CF5DF8">
      <w:pPr>
        <w:pStyle w:val="ListParagraph"/>
        <w:numPr>
          <w:ilvl w:val="1"/>
          <w:numId w:val="16"/>
        </w:numPr>
        <w:spacing w:after="0" w:line="240" w:lineRule="auto"/>
        <w:rPr>
          <w:rFonts w:ascii="Times New Roman" w:hAnsi="Times New Roman" w:cs="Times New Roman"/>
          <w:sz w:val="24"/>
          <w:szCs w:val="24"/>
        </w:rPr>
      </w:pPr>
      <w:r w:rsidRPr="00CF5DF8">
        <w:rPr>
          <w:rFonts w:ascii="Times New Roman" w:hAnsi="Times New Roman" w:cs="Times New Roman"/>
          <w:sz w:val="24"/>
          <w:szCs w:val="24"/>
        </w:rPr>
        <w:t>Income</w:t>
      </w:r>
    </w:p>
    <w:p w14:paraId="7F722D03" w14:textId="77777777" w:rsidR="00CF5DF8" w:rsidRPr="00CF5DF8" w:rsidRDefault="00CF5DF8" w:rsidP="00CF5DF8">
      <w:pPr>
        <w:pStyle w:val="ListParagraph"/>
        <w:numPr>
          <w:ilvl w:val="1"/>
          <w:numId w:val="16"/>
        </w:numPr>
        <w:spacing w:after="0" w:line="240" w:lineRule="auto"/>
        <w:rPr>
          <w:rFonts w:ascii="Times New Roman" w:hAnsi="Times New Roman" w:cs="Times New Roman"/>
          <w:sz w:val="24"/>
          <w:szCs w:val="24"/>
        </w:rPr>
      </w:pPr>
      <w:r w:rsidRPr="00CF5DF8">
        <w:rPr>
          <w:rFonts w:ascii="Times New Roman" w:hAnsi="Times New Roman" w:cs="Times New Roman"/>
          <w:sz w:val="24"/>
          <w:szCs w:val="24"/>
        </w:rPr>
        <w:t>Employment</w:t>
      </w:r>
    </w:p>
    <w:p w14:paraId="5A35D056" w14:textId="77777777" w:rsidR="00CF5DF8" w:rsidRPr="00CF5DF8" w:rsidRDefault="00CF5DF8" w:rsidP="00CF5DF8">
      <w:pPr>
        <w:pStyle w:val="ListParagraph"/>
        <w:numPr>
          <w:ilvl w:val="1"/>
          <w:numId w:val="16"/>
        </w:numPr>
        <w:spacing w:after="0" w:line="240" w:lineRule="auto"/>
        <w:rPr>
          <w:rFonts w:ascii="Times New Roman" w:hAnsi="Times New Roman" w:cs="Times New Roman"/>
          <w:sz w:val="24"/>
          <w:szCs w:val="24"/>
        </w:rPr>
      </w:pPr>
      <w:r w:rsidRPr="00CF5DF8">
        <w:rPr>
          <w:rFonts w:ascii="Times New Roman" w:hAnsi="Times New Roman" w:cs="Times New Roman"/>
          <w:sz w:val="24"/>
          <w:szCs w:val="24"/>
        </w:rPr>
        <w:t>Education</w:t>
      </w:r>
    </w:p>
    <w:p w14:paraId="5D866402" w14:textId="77777777" w:rsidR="00CF5DF8" w:rsidRPr="00CF5DF8" w:rsidRDefault="00CF5DF8" w:rsidP="00CF5DF8">
      <w:pPr>
        <w:pStyle w:val="ListParagraph"/>
        <w:numPr>
          <w:ilvl w:val="1"/>
          <w:numId w:val="16"/>
        </w:numPr>
        <w:spacing w:after="0" w:line="240" w:lineRule="auto"/>
        <w:rPr>
          <w:rFonts w:ascii="Times New Roman" w:hAnsi="Times New Roman" w:cs="Times New Roman"/>
          <w:sz w:val="24"/>
          <w:szCs w:val="24"/>
        </w:rPr>
      </w:pPr>
      <w:r w:rsidRPr="00CF5DF8">
        <w:rPr>
          <w:rFonts w:ascii="Times New Roman" w:hAnsi="Times New Roman" w:cs="Times New Roman"/>
          <w:sz w:val="24"/>
          <w:szCs w:val="24"/>
        </w:rPr>
        <w:t>Housing tenure (owned outright, owned with mortgage, rental – non-government, rental – state, other)</w:t>
      </w:r>
    </w:p>
    <w:p w14:paraId="07B788BB" w14:textId="22B345E1" w:rsidR="00CF5DF8" w:rsidRPr="00CF5DF8" w:rsidRDefault="00CF5DF8" w:rsidP="00CF5DF8">
      <w:pPr>
        <w:pStyle w:val="ListParagraph"/>
        <w:spacing w:after="0"/>
        <w:rPr>
          <w:rFonts w:ascii="Times New Roman" w:hAnsi="Times New Roman" w:cs="Times New Roman"/>
          <w:sz w:val="24"/>
          <w:szCs w:val="24"/>
        </w:rPr>
      </w:pPr>
      <w:r w:rsidRPr="00CF5DF8">
        <w:rPr>
          <w:rFonts w:ascii="Times New Roman" w:hAnsi="Times New Roman" w:cs="Times New Roman"/>
          <w:sz w:val="24"/>
          <w:szCs w:val="24"/>
        </w:rPr>
        <w:t>Socio-Economic Indexes for Areas (SEIFA) (ABS Census data; 2011, 2016):</w:t>
      </w:r>
    </w:p>
    <w:p w14:paraId="270525E8" w14:textId="77777777" w:rsidR="00CF5DF8" w:rsidRPr="00CF5DF8" w:rsidRDefault="00CF5DF8" w:rsidP="00CF5DF8">
      <w:pPr>
        <w:pStyle w:val="ListParagraph"/>
        <w:numPr>
          <w:ilvl w:val="1"/>
          <w:numId w:val="16"/>
        </w:numPr>
        <w:spacing w:after="0" w:line="240" w:lineRule="auto"/>
        <w:rPr>
          <w:rFonts w:ascii="Times New Roman" w:hAnsi="Times New Roman" w:cs="Times New Roman"/>
          <w:sz w:val="24"/>
          <w:szCs w:val="24"/>
        </w:rPr>
      </w:pPr>
      <w:r w:rsidRPr="00CF5DF8">
        <w:rPr>
          <w:rFonts w:ascii="Times New Roman" w:hAnsi="Times New Roman" w:cs="Times New Roman"/>
          <w:sz w:val="24"/>
          <w:szCs w:val="24"/>
          <w:shd w:val="clear" w:color="auto" w:fill="FFFFFF"/>
        </w:rPr>
        <w:t>Index of Relative Socio-economic Disadvantage (IRSD)</w:t>
      </w:r>
    </w:p>
    <w:p w14:paraId="0B8C030F" w14:textId="77777777" w:rsidR="00CF5DF8" w:rsidRPr="00CF5DF8" w:rsidRDefault="00CF5DF8" w:rsidP="00CF5DF8">
      <w:pPr>
        <w:pStyle w:val="ListParagraph"/>
        <w:numPr>
          <w:ilvl w:val="1"/>
          <w:numId w:val="16"/>
        </w:numPr>
        <w:spacing w:after="0" w:line="240" w:lineRule="auto"/>
        <w:rPr>
          <w:rFonts w:ascii="Times New Roman" w:hAnsi="Times New Roman" w:cs="Times New Roman"/>
          <w:sz w:val="24"/>
          <w:szCs w:val="24"/>
        </w:rPr>
      </w:pPr>
      <w:r w:rsidRPr="00CF5DF8">
        <w:rPr>
          <w:rFonts w:ascii="Times New Roman" w:hAnsi="Times New Roman" w:cs="Times New Roman"/>
          <w:sz w:val="24"/>
          <w:szCs w:val="24"/>
          <w:shd w:val="clear" w:color="auto" w:fill="FFFFFF"/>
        </w:rPr>
        <w:t>Index of Relative Socio-economic Advantage and Disadvantage (IRSAD)</w:t>
      </w:r>
    </w:p>
    <w:p w14:paraId="155E1EC2" w14:textId="77777777" w:rsidR="00CF5DF8" w:rsidRPr="00CF5DF8" w:rsidRDefault="00CF5DF8" w:rsidP="00CF5DF8">
      <w:pPr>
        <w:pStyle w:val="ListParagraph"/>
        <w:numPr>
          <w:ilvl w:val="1"/>
          <w:numId w:val="16"/>
        </w:numPr>
        <w:spacing w:after="0" w:line="240" w:lineRule="auto"/>
        <w:rPr>
          <w:rFonts w:ascii="Times New Roman" w:hAnsi="Times New Roman" w:cs="Times New Roman"/>
          <w:sz w:val="24"/>
          <w:szCs w:val="24"/>
        </w:rPr>
      </w:pPr>
      <w:r w:rsidRPr="00CF5DF8">
        <w:rPr>
          <w:rFonts w:ascii="Times New Roman" w:hAnsi="Times New Roman" w:cs="Times New Roman"/>
          <w:sz w:val="24"/>
          <w:szCs w:val="24"/>
        </w:rPr>
        <w:t>Index of Economic Resources (IER)</w:t>
      </w:r>
    </w:p>
    <w:p w14:paraId="56CEB6D1" w14:textId="77777777" w:rsidR="00CF5DF8" w:rsidRPr="00CF5DF8" w:rsidRDefault="00CF5DF8" w:rsidP="00CF5DF8">
      <w:pPr>
        <w:pStyle w:val="ListParagraph"/>
        <w:numPr>
          <w:ilvl w:val="1"/>
          <w:numId w:val="16"/>
        </w:numPr>
        <w:spacing w:after="0" w:line="240" w:lineRule="auto"/>
        <w:rPr>
          <w:rFonts w:ascii="Times New Roman" w:hAnsi="Times New Roman" w:cs="Times New Roman"/>
          <w:sz w:val="24"/>
          <w:szCs w:val="24"/>
        </w:rPr>
      </w:pPr>
      <w:r w:rsidRPr="00CF5DF8">
        <w:rPr>
          <w:rFonts w:ascii="Times New Roman" w:hAnsi="Times New Roman" w:cs="Times New Roman"/>
          <w:sz w:val="24"/>
          <w:szCs w:val="24"/>
        </w:rPr>
        <w:t>Index of Education and Occupation (IEO)</w:t>
      </w:r>
    </w:p>
    <w:p w14:paraId="7FE148C3" w14:textId="77777777" w:rsidR="00CF5DF8" w:rsidRDefault="00CF5DF8" w:rsidP="00CF5DF8">
      <w:pPr>
        <w:pStyle w:val="ListParagraph"/>
        <w:spacing w:after="0"/>
        <w:ind w:right="-138"/>
        <w:rPr>
          <w:rFonts w:ascii="Times New Roman" w:hAnsi="Times New Roman" w:cs="Times New Roman"/>
          <w:sz w:val="24"/>
          <w:szCs w:val="24"/>
        </w:rPr>
      </w:pPr>
      <w:r w:rsidRPr="00CF5DF8">
        <w:rPr>
          <w:rFonts w:ascii="Times New Roman" w:hAnsi="Times New Roman" w:cs="Times New Roman"/>
          <w:sz w:val="24"/>
          <w:szCs w:val="24"/>
        </w:rPr>
        <w:t>ARIA remoteness index (major cities, inner regional, outer regional, remote, very remote). ARIA stands for Accessibility and Remoteness Index of Australia.</w:t>
      </w:r>
    </w:p>
    <w:p w14:paraId="0B3772BC" w14:textId="77777777" w:rsidR="00CF5DF8" w:rsidRDefault="00CF5DF8" w:rsidP="00CF5DF8">
      <w:pPr>
        <w:pStyle w:val="ListParagraph"/>
        <w:spacing w:after="0"/>
        <w:ind w:right="-138"/>
        <w:rPr>
          <w:rFonts w:ascii="Times New Roman" w:hAnsi="Times New Roman" w:cs="Times New Roman"/>
          <w:sz w:val="24"/>
          <w:szCs w:val="24"/>
        </w:rPr>
      </w:pPr>
    </w:p>
    <w:p w14:paraId="1122B0C7" w14:textId="77777777" w:rsidR="00CF5DF8" w:rsidRDefault="00CF5DF8" w:rsidP="00CF5DF8">
      <w:pPr>
        <w:spacing w:after="0" w:line="360" w:lineRule="auto"/>
        <w:jc w:val="both"/>
        <w:rPr>
          <w:rFonts w:ascii="Times New Roman" w:hAnsi="Times New Roman" w:cs="Times New Roman"/>
          <w:sz w:val="24"/>
          <w:szCs w:val="24"/>
        </w:rPr>
      </w:pPr>
    </w:p>
    <w:p w14:paraId="064E1AD8" w14:textId="4D7058CA" w:rsidR="00CF5DF8" w:rsidRDefault="00CF5DF8" w:rsidP="00CF5DF8">
      <w:pPr>
        <w:spacing w:after="0" w:line="360" w:lineRule="auto"/>
        <w:jc w:val="both"/>
        <w:rPr>
          <w:rFonts w:ascii="Times New Roman" w:hAnsi="Times New Roman" w:cs="Times New Roman"/>
          <w:sz w:val="24"/>
          <w:szCs w:val="24"/>
        </w:rPr>
      </w:pPr>
      <w:r w:rsidRPr="00CF5DF8">
        <w:rPr>
          <w:rFonts w:ascii="Times New Roman" w:hAnsi="Times New Roman" w:cs="Times New Roman"/>
          <w:sz w:val="24"/>
          <w:szCs w:val="24"/>
        </w:rPr>
        <w:t xml:space="preserve">The quality of candidate variables for use in modelling was assessed by inspecting cross tabulations of variables by self-harm status and assessing the distribution (number (%)) of observations per cell and level of missingness. Where sparse distributions were observed, and categories were considered similar, some categories were collapsed to derive a version of the variable more suited for inclusion in modelling. Auxiliary variables were derived from six ABS domains. For each domain, proportions were derived from the count and total reported for that domain. The distributions of these variables were summarised overall (i.e., across all SA1s with data), and by self-harm status in the YMM dataset. Most had skewed distributions; summary statistics were presented as medians (interquartile range (IQR)) with means provided for comparison. Differences in distributions by self-harm status in YMM dataset were tested using Wilcoxon’s rank sum test. </w:t>
      </w:r>
    </w:p>
    <w:p w14:paraId="23117069" w14:textId="77777777" w:rsidR="00CF5DF8" w:rsidRDefault="00CF5DF8" w:rsidP="00CF5DF8">
      <w:pPr>
        <w:spacing w:after="0" w:line="360" w:lineRule="auto"/>
        <w:jc w:val="both"/>
        <w:rPr>
          <w:rFonts w:ascii="Times New Roman" w:hAnsi="Times New Roman" w:cs="Times New Roman"/>
          <w:sz w:val="24"/>
          <w:szCs w:val="24"/>
        </w:rPr>
      </w:pPr>
    </w:p>
    <w:p w14:paraId="2A0E6A68" w14:textId="7AF6DB12" w:rsidR="00F83513" w:rsidRPr="00F83513" w:rsidRDefault="00F83513" w:rsidP="00F83513">
      <w:pPr>
        <w:spacing w:after="0" w:line="360" w:lineRule="auto"/>
        <w:jc w:val="both"/>
        <w:rPr>
          <w:rFonts w:ascii="Times New Roman" w:hAnsi="Times New Roman" w:cs="Times New Roman"/>
          <w:sz w:val="24"/>
          <w:szCs w:val="24"/>
        </w:rPr>
      </w:pPr>
      <w:r w:rsidRPr="00F83513">
        <w:rPr>
          <w:rFonts w:ascii="Times New Roman" w:hAnsi="Times New Roman" w:cs="Times New Roman"/>
          <w:sz w:val="24"/>
          <w:szCs w:val="24"/>
        </w:rPr>
        <w:t>For proportions with adequate distributions, categorical variables were derived based on rounded approximate quartiles of the distribution. For sex, areas with the highest quartile of “proportion male” were compared to all other areas (lower three quartiles). The cut-point that corresponded to this dichotomisation was 57%. Cut-points based on approximate quartiles were sometimes rounded to more interpretable cut-points e.g., 10% or 30%. Some categories of SA1-level variables were collapsed based on expert opinion and literature review. For example, the middle three quintiles of the SEIFA decile indices were collapsed to facilitate comparison with the highest and lowest quintile.</w:t>
      </w:r>
    </w:p>
    <w:p w14:paraId="7D8A1CA5" w14:textId="3A38A3A4" w:rsidR="008265FE" w:rsidRPr="00F83513" w:rsidRDefault="00CF5DF8" w:rsidP="00CF5DF8">
      <w:pPr>
        <w:spacing w:after="0" w:line="360" w:lineRule="auto"/>
        <w:jc w:val="both"/>
        <w:rPr>
          <w:rFonts w:ascii="Times New Roman" w:hAnsi="Times New Roman" w:cs="Times New Roman"/>
          <w:sz w:val="24"/>
          <w:szCs w:val="24"/>
        </w:rPr>
      </w:pPr>
      <w:r w:rsidRPr="00F83513">
        <w:rPr>
          <w:rFonts w:ascii="Times New Roman" w:hAnsi="Times New Roman" w:cs="Times New Roman"/>
          <w:sz w:val="24"/>
          <w:szCs w:val="24"/>
        </w:rPr>
        <w:br w:type="page"/>
      </w:r>
    </w:p>
    <w:p w14:paraId="0EAC3319" w14:textId="62040D61" w:rsidR="008265FE" w:rsidRPr="00404E6A" w:rsidRDefault="008265FE" w:rsidP="008265FE">
      <w:pPr>
        <w:pStyle w:val="Heading2"/>
      </w:pPr>
      <w:r>
        <w:lastRenderedPageBreak/>
        <w:t xml:space="preserve">Appendix 2. External Validation of Synthetic Self-Harm Prevalence Estimates </w:t>
      </w:r>
    </w:p>
    <w:p w14:paraId="7F30F85C" w14:textId="77777777" w:rsidR="008265FE" w:rsidRPr="00F52F8D" w:rsidRDefault="008265FE" w:rsidP="008265FE">
      <w:pPr>
        <w:spacing w:after="0" w:line="360" w:lineRule="auto"/>
        <w:jc w:val="both"/>
        <w:rPr>
          <w:rFonts w:ascii="Times New Roman" w:hAnsi="Times New Roman" w:cs="Times New Roman"/>
          <w:sz w:val="24"/>
          <w:szCs w:val="24"/>
        </w:rPr>
      </w:pPr>
      <w:r w:rsidRPr="00F52F8D">
        <w:rPr>
          <w:rFonts w:ascii="Times New Roman" w:hAnsi="Times New Roman" w:cs="Times New Roman"/>
          <w:sz w:val="24"/>
          <w:szCs w:val="24"/>
        </w:rPr>
        <w:t xml:space="preserve">The synthetic self-harm prevalence estimates derived from the final model were aggregated to </w:t>
      </w:r>
      <w:r>
        <w:rPr>
          <w:rFonts w:ascii="Times New Roman" w:hAnsi="Times New Roman" w:cs="Times New Roman"/>
          <w:sz w:val="24"/>
          <w:szCs w:val="24"/>
        </w:rPr>
        <w:t>Statistical Area Level 2 (</w:t>
      </w:r>
      <w:r w:rsidRPr="00F52F8D">
        <w:rPr>
          <w:rFonts w:ascii="Times New Roman" w:hAnsi="Times New Roman" w:cs="Times New Roman"/>
          <w:sz w:val="24"/>
          <w:szCs w:val="24"/>
        </w:rPr>
        <w:t>SA2-level</w:t>
      </w:r>
      <w:r>
        <w:rPr>
          <w:rFonts w:ascii="Times New Roman" w:hAnsi="Times New Roman" w:cs="Times New Roman"/>
          <w:sz w:val="24"/>
          <w:szCs w:val="24"/>
        </w:rPr>
        <w:t>)</w:t>
      </w:r>
      <w:r w:rsidRPr="00F52F8D">
        <w:rPr>
          <w:rFonts w:ascii="Times New Roman" w:hAnsi="Times New Roman" w:cs="Times New Roman"/>
          <w:sz w:val="24"/>
          <w:szCs w:val="24"/>
        </w:rPr>
        <w:t xml:space="preserve"> and compared to SA2-level</w:t>
      </w:r>
      <w:r>
        <w:rPr>
          <w:rFonts w:ascii="Times New Roman" w:hAnsi="Times New Roman" w:cs="Times New Roman"/>
          <w:sz w:val="24"/>
          <w:szCs w:val="24"/>
        </w:rPr>
        <w:t xml:space="preserve"> average adult</w:t>
      </w:r>
      <w:r w:rsidRPr="00F52F8D">
        <w:rPr>
          <w:rFonts w:ascii="Times New Roman" w:hAnsi="Times New Roman" w:cs="Times New Roman"/>
          <w:sz w:val="24"/>
          <w:szCs w:val="24"/>
        </w:rPr>
        <w:t xml:space="preserve"> suicide death data from the National Mortality Database (NMD) </w:t>
      </w:r>
      <w:r w:rsidRPr="00F52F8D">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&lt;EndNote&gt;&lt;Cite&gt;&lt;Author&gt;Australian Institute of Health and Welfare&lt;/Author&gt;&lt;Year&gt;nd&lt;/Year&gt;&lt;RecNum&gt;61&lt;/RecNum&gt;&lt;DisplayText&gt;(Australian Institute of Health and Welfare, nd)&lt;/DisplayText&gt;&lt;record&gt;&lt;rec-number&gt;61&lt;/rec-number&gt;&lt;foreign-keys&gt;&lt;key app="EN" db-id="rxvrv2z2grvep7edadtp9etaf2d99sttp229" timestamp="1655282407"&gt;61&lt;/key&gt;&lt;/foreign-keys&gt;&lt;ref-type name="Government Document"&gt;46&lt;/ref-type&gt;&lt;contributors&gt;&lt;authors&gt;&lt;author&gt;Australian Institute of Health and Welfare,&lt;/author&gt;&lt;/authors&gt;&lt;/contributors&gt;&lt;titles&gt;&lt;title&gt;National Mortality Dataset (2010-2019). Unpublished&lt;/title&gt;&lt;/titles&gt;&lt;dates&gt;&lt;year&gt;nd&lt;/year&gt;&lt;/dates&gt;&lt;urls&gt;&lt;/urls&gt;&lt;access-date&gt;10 November 2021&lt;/access-date&gt;&lt;/record&gt;&lt;/Cite&gt;&lt;/EndNote&gt;</w:instrText>
      </w:r>
      <w:r w:rsidRPr="00F52F8D">
        <w:rPr>
          <w:rFonts w:ascii="Times New Roman" w:hAnsi="Times New Roman" w:cs="Times New Roman"/>
          <w:sz w:val="24"/>
          <w:szCs w:val="24"/>
        </w:rPr>
        <w:fldChar w:fldCharType="separate"/>
      </w:r>
      <w:r>
        <w:rPr>
          <w:rFonts w:ascii="Times New Roman" w:hAnsi="Times New Roman" w:cs="Times New Roman"/>
          <w:noProof/>
          <w:sz w:val="24"/>
          <w:szCs w:val="24"/>
        </w:rPr>
        <w:t>(Australian Institute of Health and Welfare, nd)</w:t>
      </w:r>
      <w:r w:rsidRPr="00F52F8D">
        <w:rPr>
          <w:rFonts w:ascii="Times New Roman" w:hAnsi="Times New Roman" w:cs="Times New Roman"/>
          <w:sz w:val="24"/>
          <w:szCs w:val="24"/>
        </w:rPr>
        <w:fldChar w:fldCharType="end"/>
      </w:r>
      <w:r>
        <w:rPr>
          <w:rFonts w:ascii="Times New Roman" w:hAnsi="Times New Roman" w:cs="Times New Roman"/>
          <w:sz w:val="24"/>
          <w:szCs w:val="24"/>
        </w:rPr>
        <w:t xml:space="preserve"> using linear regression. </w:t>
      </w:r>
    </w:p>
    <w:p w14:paraId="14B4CDB2" w14:textId="77777777" w:rsidR="008265FE" w:rsidRPr="00F52F8D" w:rsidRDefault="008265FE" w:rsidP="008265FE">
      <w:pPr>
        <w:spacing w:after="0" w:line="360" w:lineRule="auto"/>
        <w:jc w:val="both"/>
        <w:rPr>
          <w:rFonts w:ascii="Times New Roman" w:hAnsi="Times New Roman" w:cs="Times New Roman"/>
          <w:sz w:val="24"/>
          <w:szCs w:val="24"/>
        </w:rPr>
      </w:pPr>
    </w:p>
    <w:p w14:paraId="7743EB45" w14:textId="77777777" w:rsidR="008265FE" w:rsidRDefault="008265FE" w:rsidP="008265FE">
      <w:pPr>
        <w:spacing w:after="0" w:line="360" w:lineRule="auto"/>
        <w:jc w:val="both"/>
        <w:rPr>
          <w:rFonts w:ascii="Times New Roman" w:hAnsi="Times New Roman" w:cs="Times New Roman"/>
          <w:sz w:val="24"/>
          <w:szCs w:val="24"/>
        </w:rPr>
      </w:pPr>
      <w:r w:rsidRPr="00F52F8D">
        <w:rPr>
          <w:rFonts w:ascii="Times New Roman" w:hAnsi="Times New Roman" w:cs="Times New Roman"/>
          <w:sz w:val="24"/>
          <w:szCs w:val="24"/>
        </w:rPr>
        <w:t xml:space="preserve">Scatter plots of mean suicide rate (square-root transformed) by SA2 </w:t>
      </w:r>
      <w:r>
        <w:rPr>
          <w:rFonts w:ascii="Times New Roman" w:hAnsi="Times New Roman" w:cs="Times New Roman"/>
          <w:sz w:val="24"/>
          <w:szCs w:val="24"/>
        </w:rPr>
        <w:t>Small Area Estimates (</w:t>
      </w:r>
      <w:r w:rsidRPr="00F52F8D">
        <w:rPr>
          <w:rFonts w:ascii="Times New Roman" w:hAnsi="Times New Roman" w:cs="Times New Roman"/>
          <w:sz w:val="24"/>
          <w:szCs w:val="24"/>
        </w:rPr>
        <w:t>SAEs</w:t>
      </w:r>
      <w:r>
        <w:rPr>
          <w:rFonts w:ascii="Times New Roman" w:hAnsi="Times New Roman" w:cs="Times New Roman"/>
          <w:sz w:val="24"/>
          <w:szCs w:val="24"/>
        </w:rPr>
        <w:t>)</w:t>
      </w:r>
      <w:r w:rsidRPr="00F52F8D">
        <w:rPr>
          <w:rFonts w:ascii="Times New Roman" w:hAnsi="Times New Roman" w:cs="Times New Roman"/>
          <w:sz w:val="24"/>
          <w:szCs w:val="24"/>
        </w:rPr>
        <w:t xml:space="preserve"> for self-harm aggregate irrespective of intent (2011; primary outcome) and suicide attempts (2019; secondary outcome) are shown in Figure S1 with fitted linear regression lines. All self-harm outcomes (primary and secondary) were significantly associated with mean crude suicide rates (</w:t>
      </w:r>
      <w:r w:rsidRPr="00F52F8D">
        <w:rPr>
          <w:rFonts w:ascii="Times New Roman" w:hAnsi="Times New Roman" w:cs="Times New Roman"/>
          <w:i/>
          <w:iCs/>
          <w:sz w:val="24"/>
          <w:szCs w:val="24"/>
        </w:rPr>
        <w:t>p</w:t>
      </w:r>
      <w:r w:rsidRPr="00F52F8D">
        <w:rPr>
          <w:rFonts w:ascii="Times New Roman" w:hAnsi="Times New Roman" w:cs="Times New Roman"/>
          <w:sz w:val="24"/>
          <w:szCs w:val="24"/>
        </w:rPr>
        <w:t>&lt;.001), with regression slopes ranging from 1.5 (95% CI:1.0–2.0) for self-harm (irrespective of intent, primary outcome) in 2019 (Adjusted R</w:t>
      </w:r>
      <w:r w:rsidRPr="00F52F8D">
        <w:rPr>
          <w:rFonts w:ascii="Times New Roman" w:hAnsi="Times New Roman" w:cs="Times New Roman"/>
          <w:sz w:val="24"/>
          <w:szCs w:val="24"/>
          <w:vertAlign w:val="superscript"/>
        </w:rPr>
        <w:t>2</w:t>
      </w:r>
      <w:r w:rsidRPr="00F52F8D">
        <w:rPr>
          <w:rFonts w:ascii="Times New Roman" w:hAnsi="Times New Roman" w:cs="Times New Roman"/>
          <w:sz w:val="24"/>
          <w:szCs w:val="24"/>
        </w:rPr>
        <w:t>=0.015) to 2.7 (95% CI: 2.1–3.2) for suicidal ideation/plans in 2019 (Adjusted R</w:t>
      </w:r>
      <w:r w:rsidRPr="00F52F8D">
        <w:rPr>
          <w:rFonts w:ascii="Times New Roman" w:hAnsi="Times New Roman" w:cs="Times New Roman"/>
          <w:iCs/>
          <w:sz w:val="24"/>
          <w:szCs w:val="24"/>
          <w:vertAlign w:val="superscript"/>
        </w:rPr>
        <w:t>2</w:t>
      </w:r>
      <w:r w:rsidRPr="00F52F8D">
        <w:rPr>
          <w:rFonts w:ascii="Times New Roman" w:hAnsi="Times New Roman" w:cs="Times New Roman"/>
          <w:sz w:val="24"/>
          <w:szCs w:val="24"/>
        </w:rPr>
        <w:t>=0.044).</w:t>
      </w:r>
    </w:p>
    <w:p w14:paraId="03A5AC75" w14:textId="77777777" w:rsidR="008265FE" w:rsidRPr="0009364F" w:rsidRDefault="008265FE" w:rsidP="008265FE">
      <w:pPr>
        <w:spacing w:after="0" w:line="360" w:lineRule="auto"/>
        <w:jc w:val="both"/>
        <w:rPr>
          <w:rFonts w:ascii="Times New Roman" w:hAnsi="Times New Roman" w:cs="Times New Roman"/>
          <w:sz w:val="24"/>
          <w:szCs w:val="24"/>
        </w:rPr>
      </w:pPr>
    </w:p>
    <w:p w14:paraId="05D5B7AF" w14:textId="77777777" w:rsidR="008265FE" w:rsidRDefault="008265FE" w:rsidP="008265FE">
      <w:pPr>
        <w:jc w:val="center"/>
        <w:rPr>
          <w:rFonts w:ascii="Arial" w:hAnsi="Arial" w:cs="Arial"/>
          <w:sz w:val="24"/>
          <w:szCs w:val="24"/>
        </w:rPr>
      </w:pPr>
    </w:p>
    <w:p w14:paraId="72F46A5F" w14:textId="77777777" w:rsidR="008265FE" w:rsidRDefault="008265FE" w:rsidP="008265FE">
      <w:pPr>
        <w:rPr>
          <w:rFonts w:ascii="Arial" w:hAnsi="Arial" w:cs="Arial"/>
          <w:sz w:val="24"/>
          <w:szCs w:val="24"/>
        </w:rPr>
      </w:pPr>
      <w:r>
        <w:rPr>
          <w:noProof/>
          <w:lang w:eastAsia="en-AU"/>
        </w:rPr>
        <w:drawing>
          <wp:anchor distT="0" distB="0" distL="114300" distR="114300" simplePos="0" relativeHeight="251742208" behindDoc="0" locked="0" layoutInCell="1" allowOverlap="1" wp14:anchorId="1D253D5D" wp14:editId="38AFCF55">
            <wp:simplePos x="0" y="0"/>
            <wp:positionH relativeFrom="margin">
              <wp:align>left</wp:align>
            </wp:positionH>
            <wp:positionV relativeFrom="paragraph">
              <wp:posOffset>105410</wp:posOffset>
            </wp:positionV>
            <wp:extent cx="5731510" cy="3958590"/>
            <wp:effectExtent l="0" t="0" r="2540" b="3810"/>
            <wp:wrapNone/>
            <wp:docPr id="85901081" name="Picture 85901081"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6" name="Picture 15386" descr="Chart, scatter ch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31510" cy="3958590"/>
                    </a:xfrm>
                    <a:prstGeom prst="rect">
                      <a:avLst/>
                    </a:prstGeom>
                  </pic:spPr>
                </pic:pic>
              </a:graphicData>
            </a:graphic>
            <wp14:sizeRelH relativeFrom="page">
              <wp14:pctWidth>0</wp14:pctWidth>
            </wp14:sizeRelH>
            <wp14:sizeRelV relativeFrom="page">
              <wp14:pctHeight>0</wp14:pctHeight>
            </wp14:sizeRelV>
          </wp:anchor>
        </w:drawing>
      </w:r>
      <w:r w:rsidRPr="00FC1B50">
        <w:rPr>
          <w:rFonts w:ascii="Arial" w:hAnsi="Arial" w:cs="Arial"/>
          <w:sz w:val="24"/>
          <w:szCs w:val="24"/>
        </w:rPr>
        <w:t xml:space="preserve"> </w:t>
      </w:r>
    </w:p>
    <w:p w14:paraId="25A1A863" w14:textId="77777777" w:rsidR="008265FE" w:rsidRDefault="008265FE" w:rsidP="008265FE">
      <w:pPr>
        <w:rPr>
          <w:rFonts w:ascii="Arial" w:hAnsi="Arial" w:cs="Arial"/>
          <w:b/>
          <w:bCs/>
        </w:rPr>
      </w:pPr>
    </w:p>
    <w:p w14:paraId="45C5AAC4" w14:textId="77777777" w:rsidR="008265FE" w:rsidRDefault="008265FE" w:rsidP="008265FE">
      <w:pPr>
        <w:rPr>
          <w:rFonts w:ascii="Arial" w:hAnsi="Arial" w:cs="Arial"/>
          <w:b/>
          <w:bCs/>
        </w:rPr>
      </w:pPr>
    </w:p>
    <w:p w14:paraId="4B350203" w14:textId="77777777" w:rsidR="008265FE" w:rsidRDefault="008265FE" w:rsidP="008265FE">
      <w:pPr>
        <w:rPr>
          <w:rFonts w:ascii="Arial" w:hAnsi="Arial" w:cs="Arial"/>
          <w:b/>
          <w:bCs/>
        </w:rPr>
      </w:pPr>
    </w:p>
    <w:p w14:paraId="4B9AFAA4" w14:textId="77777777" w:rsidR="008265FE" w:rsidRDefault="008265FE" w:rsidP="008265FE">
      <w:pPr>
        <w:rPr>
          <w:rFonts w:ascii="Arial" w:hAnsi="Arial" w:cs="Arial"/>
          <w:b/>
          <w:bCs/>
        </w:rPr>
      </w:pPr>
    </w:p>
    <w:p w14:paraId="138E3F58" w14:textId="77777777" w:rsidR="008265FE" w:rsidRDefault="008265FE" w:rsidP="008265FE">
      <w:pPr>
        <w:rPr>
          <w:rFonts w:ascii="Arial" w:hAnsi="Arial" w:cs="Arial"/>
          <w:b/>
          <w:bCs/>
        </w:rPr>
      </w:pPr>
    </w:p>
    <w:p w14:paraId="5320DDAC" w14:textId="77777777" w:rsidR="008265FE" w:rsidRDefault="008265FE" w:rsidP="008265FE">
      <w:pPr>
        <w:rPr>
          <w:rFonts w:ascii="Arial" w:hAnsi="Arial" w:cs="Arial"/>
          <w:b/>
          <w:bCs/>
        </w:rPr>
      </w:pPr>
    </w:p>
    <w:p w14:paraId="2EE4ECFF" w14:textId="77777777" w:rsidR="008265FE" w:rsidRDefault="008265FE" w:rsidP="008265FE">
      <w:pPr>
        <w:rPr>
          <w:rFonts w:ascii="Arial" w:hAnsi="Arial" w:cs="Arial"/>
          <w:b/>
          <w:bCs/>
        </w:rPr>
      </w:pPr>
    </w:p>
    <w:p w14:paraId="1F64C07D" w14:textId="77777777" w:rsidR="008265FE" w:rsidRDefault="008265FE" w:rsidP="008265FE">
      <w:pPr>
        <w:spacing w:after="0" w:line="360" w:lineRule="auto"/>
        <w:rPr>
          <w:rFonts w:ascii="Arial" w:hAnsi="Arial" w:cs="Arial"/>
        </w:rPr>
      </w:pPr>
    </w:p>
    <w:p w14:paraId="77394AAE" w14:textId="77777777" w:rsidR="008265FE" w:rsidRDefault="008265FE" w:rsidP="008265FE">
      <w:pPr>
        <w:spacing w:after="0" w:line="360" w:lineRule="auto"/>
        <w:rPr>
          <w:rFonts w:ascii="Arial" w:hAnsi="Arial" w:cs="Arial"/>
        </w:rPr>
      </w:pPr>
    </w:p>
    <w:p w14:paraId="6BF2FC28" w14:textId="77777777" w:rsidR="008265FE" w:rsidRDefault="008265FE" w:rsidP="008265FE">
      <w:pPr>
        <w:spacing w:after="0" w:line="360" w:lineRule="auto"/>
        <w:rPr>
          <w:rFonts w:ascii="Arial" w:hAnsi="Arial" w:cs="Arial"/>
        </w:rPr>
      </w:pPr>
    </w:p>
    <w:p w14:paraId="63C0699D" w14:textId="77777777" w:rsidR="008265FE" w:rsidRDefault="008265FE" w:rsidP="008265FE">
      <w:pPr>
        <w:spacing w:after="0" w:line="360" w:lineRule="auto"/>
        <w:rPr>
          <w:rFonts w:ascii="Arial" w:hAnsi="Arial" w:cs="Arial"/>
        </w:rPr>
      </w:pPr>
    </w:p>
    <w:p w14:paraId="67A09934" w14:textId="77777777" w:rsidR="008265FE" w:rsidRDefault="008265FE" w:rsidP="008265FE">
      <w:pPr>
        <w:spacing w:after="0" w:line="360" w:lineRule="auto"/>
        <w:rPr>
          <w:rFonts w:ascii="Arial" w:hAnsi="Arial" w:cs="Arial"/>
        </w:rPr>
      </w:pPr>
    </w:p>
    <w:p w14:paraId="172252AF" w14:textId="77777777" w:rsidR="008265FE" w:rsidRDefault="008265FE" w:rsidP="008265FE">
      <w:pPr>
        <w:spacing w:after="0" w:line="360" w:lineRule="auto"/>
        <w:rPr>
          <w:rFonts w:ascii="Arial" w:hAnsi="Arial" w:cs="Arial"/>
        </w:rPr>
      </w:pPr>
    </w:p>
    <w:p w14:paraId="1ACAC18B" w14:textId="77777777" w:rsidR="008265FE" w:rsidRDefault="008265FE" w:rsidP="008265FE">
      <w:pPr>
        <w:spacing w:after="0" w:line="360" w:lineRule="auto"/>
        <w:rPr>
          <w:rFonts w:ascii="Arial" w:hAnsi="Arial" w:cs="Arial"/>
        </w:rPr>
      </w:pPr>
    </w:p>
    <w:p w14:paraId="6F6FAD49" w14:textId="77777777" w:rsidR="008265FE" w:rsidRDefault="008265FE" w:rsidP="008265FE">
      <w:pPr>
        <w:spacing w:after="0" w:line="360" w:lineRule="auto"/>
        <w:rPr>
          <w:rFonts w:ascii="Arial" w:hAnsi="Arial" w:cs="Arial"/>
        </w:rPr>
      </w:pPr>
    </w:p>
    <w:p w14:paraId="2A57C7C6" w14:textId="77777777" w:rsidR="008265FE" w:rsidRDefault="008265FE" w:rsidP="008265FE">
      <w:pPr>
        <w:spacing w:after="0" w:line="360" w:lineRule="auto"/>
        <w:rPr>
          <w:rFonts w:ascii="Arial" w:hAnsi="Arial" w:cs="Arial"/>
        </w:rPr>
      </w:pPr>
    </w:p>
    <w:p w14:paraId="0497D352" w14:textId="77777777" w:rsidR="008265FE" w:rsidRDefault="008265FE" w:rsidP="008265FE">
      <w:pPr>
        <w:spacing w:after="0" w:line="360" w:lineRule="auto"/>
        <w:rPr>
          <w:rFonts w:ascii="Arial" w:hAnsi="Arial" w:cs="Arial"/>
        </w:rPr>
      </w:pPr>
    </w:p>
    <w:p w14:paraId="4F92A2D7" w14:textId="77777777" w:rsidR="008265FE" w:rsidRDefault="008265FE" w:rsidP="008265FE">
      <w:pPr>
        <w:spacing w:after="0" w:line="360" w:lineRule="auto"/>
        <w:rPr>
          <w:rFonts w:ascii="Arial" w:hAnsi="Arial" w:cs="Arial"/>
        </w:rPr>
      </w:pPr>
    </w:p>
    <w:p w14:paraId="477DF8D5" w14:textId="77777777" w:rsidR="008265FE" w:rsidRDefault="008265FE" w:rsidP="008265FE">
      <w:pPr>
        <w:spacing w:after="0" w:line="360" w:lineRule="auto"/>
        <w:rPr>
          <w:rFonts w:ascii="Arial" w:hAnsi="Arial" w:cs="Arial"/>
        </w:rPr>
      </w:pPr>
    </w:p>
    <w:p w14:paraId="46BFDE57" w14:textId="77777777" w:rsidR="008265FE" w:rsidRDefault="008265FE" w:rsidP="008265FE">
      <w:pPr>
        <w:spacing w:after="0" w:line="360" w:lineRule="auto"/>
        <w:rPr>
          <w:rFonts w:ascii="Arial" w:hAnsi="Arial" w:cs="Arial"/>
        </w:rPr>
      </w:pPr>
      <w:r>
        <w:rPr>
          <w:noProof/>
          <w:lang w:eastAsia="en-AU"/>
        </w:rPr>
        <w:lastRenderedPageBreak/>
        <w:drawing>
          <wp:anchor distT="0" distB="0" distL="114300" distR="114300" simplePos="0" relativeHeight="251743232" behindDoc="0" locked="0" layoutInCell="1" allowOverlap="1" wp14:anchorId="4BB1D2B5" wp14:editId="7FED59FE">
            <wp:simplePos x="0" y="0"/>
            <wp:positionH relativeFrom="margin">
              <wp:posOffset>-215900</wp:posOffset>
            </wp:positionH>
            <wp:positionV relativeFrom="paragraph">
              <wp:posOffset>6985</wp:posOffset>
            </wp:positionV>
            <wp:extent cx="5731510" cy="3844925"/>
            <wp:effectExtent l="0" t="0" r="2540" b="3175"/>
            <wp:wrapNone/>
            <wp:docPr id="200898848" name="Picture 200898848"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7" name="Picture 15387" descr="Chart, scatter 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31510" cy="3844925"/>
                    </a:xfrm>
                    <a:prstGeom prst="rect">
                      <a:avLst/>
                    </a:prstGeom>
                  </pic:spPr>
                </pic:pic>
              </a:graphicData>
            </a:graphic>
            <wp14:sizeRelH relativeFrom="page">
              <wp14:pctWidth>0</wp14:pctWidth>
            </wp14:sizeRelH>
            <wp14:sizeRelV relativeFrom="page">
              <wp14:pctHeight>0</wp14:pctHeight>
            </wp14:sizeRelV>
          </wp:anchor>
        </w:drawing>
      </w:r>
    </w:p>
    <w:p w14:paraId="49C19D13" w14:textId="77777777" w:rsidR="008265FE" w:rsidRDefault="008265FE" w:rsidP="008265FE">
      <w:pPr>
        <w:spacing w:after="0" w:line="360" w:lineRule="auto"/>
        <w:rPr>
          <w:rFonts w:ascii="Arial" w:hAnsi="Arial" w:cs="Arial"/>
        </w:rPr>
      </w:pPr>
    </w:p>
    <w:p w14:paraId="23B3CA34" w14:textId="77777777" w:rsidR="008265FE" w:rsidRDefault="008265FE" w:rsidP="008265FE">
      <w:pPr>
        <w:spacing w:after="0" w:line="360" w:lineRule="auto"/>
        <w:rPr>
          <w:rFonts w:ascii="Arial" w:hAnsi="Arial" w:cs="Arial"/>
        </w:rPr>
      </w:pPr>
    </w:p>
    <w:p w14:paraId="436100BC" w14:textId="77777777" w:rsidR="008265FE" w:rsidRDefault="008265FE" w:rsidP="008265FE">
      <w:pPr>
        <w:spacing w:after="0" w:line="360" w:lineRule="auto"/>
        <w:rPr>
          <w:rFonts w:ascii="Arial" w:hAnsi="Arial" w:cs="Arial"/>
        </w:rPr>
      </w:pPr>
    </w:p>
    <w:p w14:paraId="7B660FF3" w14:textId="77777777" w:rsidR="008265FE" w:rsidRDefault="008265FE" w:rsidP="008265FE">
      <w:pPr>
        <w:spacing w:after="0" w:line="360" w:lineRule="auto"/>
        <w:rPr>
          <w:rFonts w:ascii="Arial" w:hAnsi="Arial" w:cs="Arial"/>
        </w:rPr>
      </w:pPr>
    </w:p>
    <w:p w14:paraId="157ECD73" w14:textId="77777777" w:rsidR="008265FE" w:rsidRDefault="008265FE" w:rsidP="008265FE">
      <w:pPr>
        <w:spacing w:after="0" w:line="360" w:lineRule="auto"/>
        <w:rPr>
          <w:rFonts w:ascii="Arial" w:hAnsi="Arial" w:cs="Arial"/>
        </w:rPr>
      </w:pPr>
    </w:p>
    <w:p w14:paraId="3C9C651B" w14:textId="77777777" w:rsidR="008265FE" w:rsidRDefault="008265FE" w:rsidP="008265FE">
      <w:pPr>
        <w:spacing w:after="0" w:line="360" w:lineRule="auto"/>
        <w:rPr>
          <w:rFonts w:ascii="Arial" w:hAnsi="Arial" w:cs="Arial"/>
        </w:rPr>
      </w:pPr>
    </w:p>
    <w:p w14:paraId="56DF9CB7" w14:textId="77777777" w:rsidR="008265FE" w:rsidRDefault="008265FE" w:rsidP="008265FE">
      <w:pPr>
        <w:spacing w:after="0" w:line="360" w:lineRule="auto"/>
        <w:rPr>
          <w:rFonts w:ascii="Arial" w:hAnsi="Arial" w:cs="Arial"/>
        </w:rPr>
      </w:pPr>
    </w:p>
    <w:p w14:paraId="5B8C0580" w14:textId="77777777" w:rsidR="008265FE" w:rsidRDefault="008265FE" w:rsidP="008265FE">
      <w:pPr>
        <w:rPr>
          <w:rFonts w:ascii="Arial" w:hAnsi="Arial" w:cs="Arial"/>
          <w:b/>
          <w:bCs/>
        </w:rPr>
      </w:pPr>
    </w:p>
    <w:p w14:paraId="25BBE45B" w14:textId="77777777" w:rsidR="008265FE" w:rsidRDefault="008265FE" w:rsidP="008265FE">
      <w:pPr>
        <w:rPr>
          <w:rFonts w:ascii="Arial" w:hAnsi="Arial" w:cs="Arial"/>
          <w:b/>
          <w:bCs/>
        </w:rPr>
      </w:pPr>
    </w:p>
    <w:p w14:paraId="34343D44" w14:textId="77777777" w:rsidR="008265FE" w:rsidRDefault="008265FE" w:rsidP="008265FE">
      <w:pPr>
        <w:rPr>
          <w:rFonts w:ascii="Arial" w:hAnsi="Arial" w:cs="Arial"/>
          <w:b/>
          <w:bCs/>
        </w:rPr>
      </w:pPr>
    </w:p>
    <w:p w14:paraId="531F3B1C" w14:textId="77777777" w:rsidR="008265FE" w:rsidRDefault="008265FE" w:rsidP="008265FE">
      <w:pPr>
        <w:rPr>
          <w:rFonts w:ascii="Arial" w:hAnsi="Arial" w:cs="Arial"/>
          <w:b/>
          <w:bCs/>
        </w:rPr>
      </w:pPr>
    </w:p>
    <w:p w14:paraId="702B801A" w14:textId="77777777" w:rsidR="008265FE" w:rsidRDefault="008265FE" w:rsidP="008265FE">
      <w:pPr>
        <w:rPr>
          <w:rFonts w:ascii="Arial" w:hAnsi="Arial" w:cs="Arial"/>
          <w:b/>
          <w:bCs/>
        </w:rPr>
      </w:pPr>
    </w:p>
    <w:p w14:paraId="4FDE6AF8" w14:textId="77777777" w:rsidR="008265FE" w:rsidRDefault="008265FE" w:rsidP="008265FE">
      <w:pPr>
        <w:rPr>
          <w:rFonts w:ascii="Arial" w:hAnsi="Arial" w:cs="Arial"/>
          <w:b/>
          <w:bCs/>
        </w:rPr>
      </w:pPr>
    </w:p>
    <w:p w14:paraId="22BA79CC" w14:textId="77777777" w:rsidR="008265FE" w:rsidRDefault="008265FE" w:rsidP="008265FE">
      <w:pPr>
        <w:rPr>
          <w:rFonts w:ascii="Arial" w:hAnsi="Arial" w:cs="Arial"/>
          <w:b/>
          <w:bCs/>
        </w:rPr>
      </w:pPr>
    </w:p>
    <w:p w14:paraId="66DF4872" w14:textId="77777777" w:rsidR="008265FE" w:rsidRPr="00F52F8D" w:rsidRDefault="008265FE" w:rsidP="008265FE">
      <w:pPr>
        <w:rPr>
          <w:rFonts w:ascii="Times New Roman" w:hAnsi="Times New Roman" w:cs="Times New Roman"/>
          <w:b/>
          <w:bCs/>
        </w:rPr>
      </w:pPr>
    </w:p>
    <w:p w14:paraId="1EEB263E" w14:textId="77777777" w:rsidR="008265FE" w:rsidRPr="00F52F8D" w:rsidRDefault="008265FE" w:rsidP="008265FE">
      <w:pPr>
        <w:jc w:val="both"/>
        <w:rPr>
          <w:rFonts w:ascii="Times New Roman" w:hAnsi="Times New Roman" w:cs="Times New Roman"/>
        </w:rPr>
      </w:pPr>
      <w:r w:rsidRPr="00F52F8D">
        <w:rPr>
          <w:rFonts w:ascii="Times New Roman" w:hAnsi="Times New Roman" w:cs="Times New Roman"/>
          <w:b/>
          <w:bCs/>
        </w:rPr>
        <w:t xml:space="preserve">Figure </w:t>
      </w:r>
      <w:r>
        <w:rPr>
          <w:rFonts w:ascii="Times New Roman" w:hAnsi="Times New Roman" w:cs="Times New Roman"/>
          <w:b/>
          <w:bCs/>
        </w:rPr>
        <w:t>S1</w:t>
      </w:r>
      <w:r w:rsidRPr="00F52F8D">
        <w:rPr>
          <w:rFonts w:ascii="Times New Roman" w:hAnsi="Times New Roman" w:cs="Times New Roman"/>
          <w:b/>
          <w:bCs/>
        </w:rPr>
        <w:t>.</w:t>
      </w:r>
      <w:r w:rsidRPr="00F52F8D">
        <w:rPr>
          <w:rFonts w:ascii="Times New Roman" w:hAnsi="Times New Roman" w:cs="Times New Roman"/>
        </w:rPr>
        <w:t xml:space="preserve"> Scatterplots of mean suicide rates by youth suicide attempt (2019; top) and self-harm aggregate (irrespective of intent) outcome (2011; bottom) (square-root transformed) by SA2 self-harm small area estimates (SAEs) with fitted regression lines</w:t>
      </w:r>
      <w:r>
        <w:rPr>
          <w:rFonts w:ascii="Times New Roman" w:hAnsi="Times New Roman" w:cs="Times New Roman"/>
        </w:rPr>
        <w:t>.</w:t>
      </w:r>
    </w:p>
    <w:p w14:paraId="3E26D06C" w14:textId="77777777" w:rsidR="008265FE" w:rsidRDefault="008265FE" w:rsidP="008265FE">
      <w:pPr>
        <w:spacing w:after="0" w:line="360" w:lineRule="auto"/>
        <w:rPr>
          <w:rFonts w:ascii="Arial" w:hAnsi="Arial" w:cs="Arial"/>
        </w:rPr>
      </w:pPr>
    </w:p>
    <w:p w14:paraId="7216860A" w14:textId="77777777" w:rsidR="008265FE" w:rsidRDefault="008265FE" w:rsidP="008265FE"/>
    <w:p w14:paraId="6521206C" w14:textId="77777777" w:rsidR="008265FE" w:rsidRDefault="008265FE" w:rsidP="008265FE"/>
    <w:p w14:paraId="42E5B390" w14:textId="77777777" w:rsidR="008265FE" w:rsidRDefault="008265FE" w:rsidP="008265FE"/>
    <w:p w14:paraId="01267D79" w14:textId="77777777" w:rsidR="008265FE" w:rsidRDefault="008265FE" w:rsidP="008265FE"/>
    <w:p w14:paraId="3CA83C7C" w14:textId="77777777" w:rsidR="008265FE" w:rsidRDefault="008265FE" w:rsidP="008265FE"/>
    <w:p w14:paraId="7E416AB6" w14:textId="6C48C454" w:rsidR="008265FE" w:rsidRPr="003E6797" w:rsidRDefault="008265FE" w:rsidP="003E6797">
      <w:pPr>
        <w:sectPr w:rsidR="008265FE" w:rsidRPr="003E6797" w:rsidSect="007F24EE">
          <w:pgSz w:w="11906" w:h="16838"/>
          <w:pgMar w:top="1440" w:right="1440" w:bottom="1003" w:left="1440" w:header="708" w:footer="708" w:gutter="0"/>
          <w:cols w:space="708"/>
          <w:titlePg/>
          <w:docGrid w:linePitch="360"/>
        </w:sectPr>
      </w:pPr>
    </w:p>
    <w:p w14:paraId="70B37557" w14:textId="320754FD" w:rsidR="0046218C" w:rsidRDefault="0046218C" w:rsidP="0046218C">
      <w:pPr>
        <w:pStyle w:val="Heading2"/>
      </w:pPr>
      <w:r>
        <w:lastRenderedPageBreak/>
        <w:t xml:space="preserve">Appendix </w:t>
      </w:r>
      <w:r w:rsidR="00CF5DF8">
        <w:t>3</w:t>
      </w:r>
      <w:r>
        <w:t xml:space="preserve">. Additional Results Tables </w:t>
      </w:r>
      <w:r w:rsidR="00D373A8">
        <w:t xml:space="preserve">and Figures </w:t>
      </w:r>
    </w:p>
    <w:p w14:paraId="752E7C61" w14:textId="3FF1D9D9" w:rsidR="00820C51" w:rsidRPr="00AF7A1A" w:rsidRDefault="00820C51" w:rsidP="00820C51">
      <w:pPr>
        <w:rPr>
          <w:rFonts w:ascii="Times New Roman" w:hAnsi="Times New Roman" w:cs="Times New Roman"/>
        </w:rPr>
      </w:pPr>
      <w:r w:rsidRPr="00AF7A1A">
        <w:rPr>
          <w:rFonts w:ascii="Times New Roman" w:hAnsi="Times New Roman" w:cs="Times New Roman"/>
          <w:b/>
          <w:bCs/>
        </w:rPr>
        <w:t xml:space="preserve">Table </w:t>
      </w:r>
      <w:r>
        <w:rPr>
          <w:rFonts w:ascii="Times New Roman" w:hAnsi="Times New Roman" w:cs="Times New Roman"/>
          <w:b/>
          <w:bCs/>
        </w:rPr>
        <w:t>S1</w:t>
      </w:r>
      <w:r w:rsidRPr="00AF7A1A">
        <w:rPr>
          <w:rFonts w:ascii="Times New Roman" w:hAnsi="Times New Roman" w:cs="Times New Roman"/>
          <w:b/>
          <w:bCs/>
        </w:rPr>
        <w:t>.</w:t>
      </w:r>
      <w:r w:rsidRPr="00AF7A1A">
        <w:rPr>
          <w:rFonts w:ascii="Times New Roman" w:hAnsi="Times New Roman" w:cs="Times New Roman"/>
        </w:rPr>
        <w:t xml:space="preserve"> Estimated crude self-harm prevalence (% (95% CI)), by age and sex</w:t>
      </w:r>
      <w:r w:rsidR="00E70E39">
        <w:rPr>
          <w:rFonts w:ascii="Times New Roman" w:hAnsi="Times New Roman" w:cs="Times New Roman"/>
        </w:rPr>
        <w:t xml:space="preserve"> derived from the YMM </w:t>
      </w:r>
      <w:r w:rsidR="0052649F">
        <w:rPr>
          <w:rFonts w:ascii="Times New Roman" w:hAnsi="Times New Roman" w:cs="Times New Roman"/>
        </w:rPr>
        <w:t xml:space="preserve">nationwide </w:t>
      </w:r>
      <w:r w:rsidR="00E70E39">
        <w:rPr>
          <w:rFonts w:ascii="Times New Roman" w:hAnsi="Times New Roman" w:cs="Times New Roman"/>
        </w:rPr>
        <w:t xml:space="preserve">survey </w:t>
      </w:r>
    </w:p>
    <w:tbl>
      <w:tblPr>
        <w:tblW w:w="11199" w:type="dxa"/>
        <w:tblLook w:val="04A0" w:firstRow="1" w:lastRow="0" w:firstColumn="1" w:lastColumn="0" w:noHBand="0" w:noVBand="1"/>
      </w:tblPr>
      <w:tblGrid>
        <w:gridCol w:w="772"/>
        <w:gridCol w:w="1410"/>
        <w:gridCol w:w="2104"/>
        <w:gridCol w:w="1759"/>
        <w:gridCol w:w="1610"/>
        <w:gridCol w:w="1984"/>
        <w:gridCol w:w="1560"/>
      </w:tblGrid>
      <w:tr w:rsidR="00820C51" w:rsidRPr="00AF7A1A" w14:paraId="72CBA4D9" w14:textId="77777777" w:rsidTr="00D30385">
        <w:trPr>
          <w:trHeight w:val="288"/>
        </w:trPr>
        <w:tc>
          <w:tcPr>
            <w:tcW w:w="772" w:type="dxa"/>
            <w:tcBorders>
              <w:top w:val="single" w:sz="4" w:space="0" w:color="auto"/>
              <w:left w:val="nil"/>
              <w:bottom w:val="single" w:sz="4" w:space="0" w:color="auto"/>
              <w:right w:val="nil"/>
            </w:tcBorders>
            <w:shd w:val="clear" w:color="auto" w:fill="D9D9D9" w:themeFill="background1" w:themeFillShade="D9"/>
            <w:vAlign w:val="center"/>
          </w:tcPr>
          <w:p w14:paraId="136687A8" w14:textId="77777777" w:rsidR="00820C51" w:rsidRPr="00AF7A1A" w:rsidRDefault="00820C51" w:rsidP="00D30385">
            <w:pPr>
              <w:spacing w:after="0"/>
              <w:ind w:right="-306"/>
              <w:jc w:val="center"/>
              <w:rPr>
                <w:rFonts w:ascii="Times New Roman" w:eastAsia="Times New Roman" w:hAnsi="Times New Roman" w:cs="Times New Roman"/>
                <w:b/>
                <w:bCs/>
                <w:color w:val="000000"/>
                <w:sz w:val="20"/>
                <w:szCs w:val="20"/>
                <w:lang w:val="en-US"/>
              </w:rPr>
            </w:pPr>
            <w:r w:rsidRPr="00AF7A1A">
              <w:rPr>
                <w:rFonts w:ascii="Times New Roman" w:eastAsia="Times New Roman" w:hAnsi="Times New Roman" w:cs="Times New Roman"/>
                <w:b/>
                <w:bCs/>
                <w:color w:val="000000"/>
                <w:sz w:val="20"/>
                <w:szCs w:val="20"/>
                <w:lang w:val="en-US"/>
              </w:rPr>
              <w:t>Age</w:t>
            </w:r>
          </w:p>
        </w:tc>
        <w:tc>
          <w:tcPr>
            <w:tcW w:w="1410" w:type="dxa"/>
            <w:tcBorders>
              <w:top w:val="single" w:sz="4" w:space="0" w:color="auto"/>
              <w:left w:val="nil"/>
              <w:bottom w:val="single" w:sz="4" w:space="0" w:color="auto"/>
              <w:right w:val="nil"/>
            </w:tcBorders>
            <w:shd w:val="clear" w:color="auto" w:fill="D9D9D9" w:themeFill="background1" w:themeFillShade="D9"/>
            <w:noWrap/>
            <w:vAlign w:val="center"/>
            <w:hideMark/>
          </w:tcPr>
          <w:p w14:paraId="5F6EF998" w14:textId="77777777" w:rsidR="00820C51" w:rsidRPr="00AF7A1A" w:rsidRDefault="00820C51" w:rsidP="00D30385">
            <w:pPr>
              <w:spacing w:after="0"/>
              <w:ind w:left="374" w:right="-308"/>
              <w:jc w:val="center"/>
              <w:rPr>
                <w:rFonts w:ascii="Times New Roman" w:eastAsia="Times New Roman" w:hAnsi="Times New Roman" w:cs="Times New Roman"/>
                <w:b/>
                <w:bCs/>
                <w:color w:val="000000"/>
                <w:sz w:val="20"/>
                <w:szCs w:val="20"/>
                <w:lang w:val="en-US"/>
              </w:rPr>
            </w:pPr>
            <w:r w:rsidRPr="00AF7A1A">
              <w:rPr>
                <w:rFonts w:ascii="Times New Roman" w:eastAsia="Times New Roman" w:hAnsi="Times New Roman" w:cs="Times New Roman"/>
                <w:b/>
                <w:bCs/>
                <w:color w:val="000000"/>
                <w:sz w:val="20"/>
                <w:szCs w:val="20"/>
                <w:lang w:val="en-US"/>
              </w:rPr>
              <w:t>Sex</w:t>
            </w:r>
          </w:p>
        </w:tc>
        <w:tc>
          <w:tcPr>
            <w:tcW w:w="2104" w:type="dxa"/>
            <w:tcBorders>
              <w:top w:val="single" w:sz="4" w:space="0" w:color="auto"/>
              <w:left w:val="nil"/>
              <w:bottom w:val="single" w:sz="4" w:space="0" w:color="auto"/>
              <w:right w:val="nil"/>
            </w:tcBorders>
            <w:shd w:val="clear" w:color="auto" w:fill="D9D9D9" w:themeFill="background1" w:themeFillShade="D9"/>
            <w:noWrap/>
            <w:vAlign w:val="center"/>
            <w:hideMark/>
          </w:tcPr>
          <w:p w14:paraId="3F6A1396" w14:textId="77777777" w:rsidR="00820C51" w:rsidRPr="00AF7A1A" w:rsidRDefault="00820C51" w:rsidP="00D30385">
            <w:pPr>
              <w:spacing w:after="0"/>
              <w:ind w:left="950"/>
              <w:jc w:val="center"/>
              <w:rPr>
                <w:rFonts w:ascii="Times New Roman" w:eastAsia="Times New Roman" w:hAnsi="Times New Roman" w:cs="Times New Roman"/>
                <w:b/>
                <w:bCs/>
                <w:color w:val="000000"/>
                <w:sz w:val="20"/>
                <w:szCs w:val="20"/>
                <w:vertAlign w:val="superscript"/>
                <w:lang w:val="en-US"/>
              </w:rPr>
            </w:pPr>
            <w:r w:rsidRPr="00AF7A1A">
              <w:rPr>
                <w:rFonts w:ascii="Times New Roman" w:eastAsia="Times New Roman" w:hAnsi="Times New Roman" w:cs="Times New Roman"/>
                <w:b/>
                <w:bCs/>
                <w:color w:val="000000"/>
                <w:sz w:val="20"/>
                <w:szCs w:val="20"/>
                <w:lang w:val="en-US"/>
              </w:rPr>
              <w:t>Self-harm aggregate</w:t>
            </w:r>
            <w:r w:rsidRPr="00AF7A1A">
              <w:rPr>
                <w:rFonts w:ascii="Times New Roman" w:eastAsia="Times New Roman" w:hAnsi="Times New Roman" w:cs="Times New Roman"/>
                <w:b/>
                <w:bCs/>
                <w:color w:val="000000"/>
                <w:sz w:val="20"/>
                <w:szCs w:val="20"/>
                <w:vertAlign w:val="superscript"/>
                <w:lang w:val="en-US"/>
              </w:rPr>
              <w:t>a</w:t>
            </w:r>
          </w:p>
        </w:tc>
        <w:tc>
          <w:tcPr>
            <w:tcW w:w="1759" w:type="dxa"/>
            <w:tcBorders>
              <w:top w:val="single" w:sz="4" w:space="0" w:color="auto"/>
              <w:left w:val="nil"/>
              <w:bottom w:val="single" w:sz="4" w:space="0" w:color="auto"/>
              <w:right w:val="nil"/>
            </w:tcBorders>
            <w:shd w:val="clear" w:color="auto" w:fill="D9D9D9" w:themeFill="background1" w:themeFillShade="D9"/>
            <w:vAlign w:val="center"/>
          </w:tcPr>
          <w:p w14:paraId="637E3363" w14:textId="77777777" w:rsidR="00820C51" w:rsidRPr="00AF7A1A" w:rsidRDefault="00820C51" w:rsidP="00D30385">
            <w:pPr>
              <w:spacing w:after="0"/>
              <w:ind w:left="534" w:right="-247"/>
              <w:contextualSpacing/>
              <w:jc w:val="center"/>
              <w:rPr>
                <w:rFonts w:ascii="Times New Roman" w:eastAsia="Times New Roman" w:hAnsi="Times New Roman" w:cs="Times New Roman"/>
                <w:b/>
                <w:bCs/>
                <w:color w:val="000000"/>
                <w:sz w:val="20"/>
                <w:szCs w:val="20"/>
                <w:lang w:val="en-US"/>
              </w:rPr>
            </w:pPr>
            <w:r w:rsidRPr="00AF7A1A">
              <w:rPr>
                <w:rFonts w:ascii="Times New Roman" w:eastAsia="Times New Roman" w:hAnsi="Times New Roman" w:cs="Times New Roman"/>
                <w:b/>
                <w:bCs/>
                <w:color w:val="000000"/>
                <w:sz w:val="20"/>
                <w:szCs w:val="20"/>
                <w:lang w:val="en-US"/>
              </w:rPr>
              <w:t>Non-suicidal Self-harm</w:t>
            </w:r>
          </w:p>
        </w:tc>
        <w:tc>
          <w:tcPr>
            <w:tcW w:w="1610" w:type="dxa"/>
            <w:tcBorders>
              <w:top w:val="single" w:sz="4" w:space="0" w:color="auto"/>
              <w:left w:val="nil"/>
              <w:bottom w:val="single" w:sz="4" w:space="0" w:color="auto"/>
              <w:right w:val="nil"/>
            </w:tcBorders>
            <w:shd w:val="clear" w:color="auto" w:fill="D9D9D9" w:themeFill="background1" w:themeFillShade="D9"/>
            <w:vAlign w:val="center"/>
          </w:tcPr>
          <w:p w14:paraId="7B864B42" w14:textId="77777777" w:rsidR="00820C51" w:rsidRPr="00AF7A1A" w:rsidRDefault="00820C51" w:rsidP="00D30385">
            <w:pPr>
              <w:spacing w:after="0"/>
              <w:ind w:right="-664"/>
              <w:contextualSpacing/>
              <w:jc w:val="center"/>
              <w:rPr>
                <w:rFonts w:ascii="Times New Roman" w:eastAsia="Times New Roman" w:hAnsi="Times New Roman" w:cs="Times New Roman"/>
                <w:b/>
                <w:bCs/>
                <w:color w:val="000000"/>
                <w:sz w:val="20"/>
                <w:szCs w:val="20"/>
                <w:vertAlign w:val="superscript"/>
                <w:lang w:val="en-US"/>
              </w:rPr>
            </w:pPr>
            <w:r w:rsidRPr="00AF7A1A">
              <w:rPr>
                <w:rFonts w:ascii="Times New Roman" w:eastAsia="Times New Roman" w:hAnsi="Times New Roman" w:cs="Times New Roman"/>
                <w:b/>
                <w:bCs/>
                <w:color w:val="000000"/>
                <w:sz w:val="20"/>
                <w:szCs w:val="20"/>
                <w:lang w:val="en-US"/>
              </w:rPr>
              <w:t>Suicidality</w:t>
            </w:r>
            <w:r w:rsidRPr="00AF7A1A">
              <w:rPr>
                <w:rFonts w:ascii="Times New Roman" w:eastAsia="Times New Roman" w:hAnsi="Times New Roman" w:cs="Times New Roman"/>
                <w:b/>
                <w:bCs/>
                <w:color w:val="000000"/>
                <w:sz w:val="20"/>
                <w:szCs w:val="20"/>
                <w:vertAlign w:val="superscript"/>
                <w:lang w:val="en-US"/>
              </w:rPr>
              <w:t>b</w:t>
            </w:r>
          </w:p>
        </w:tc>
        <w:tc>
          <w:tcPr>
            <w:tcW w:w="1984" w:type="dxa"/>
            <w:tcBorders>
              <w:top w:val="single" w:sz="4" w:space="0" w:color="auto"/>
              <w:left w:val="nil"/>
              <w:bottom w:val="single" w:sz="4" w:space="0" w:color="auto"/>
              <w:right w:val="nil"/>
            </w:tcBorders>
            <w:shd w:val="clear" w:color="auto" w:fill="D9D9D9" w:themeFill="background1" w:themeFillShade="D9"/>
            <w:noWrap/>
            <w:vAlign w:val="center"/>
            <w:hideMark/>
          </w:tcPr>
          <w:p w14:paraId="6A020B33" w14:textId="77777777" w:rsidR="00820C51" w:rsidRPr="00AF7A1A" w:rsidRDefault="00820C51" w:rsidP="00D30385">
            <w:pPr>
              <w:spacing w:after="0"/>
              <w:ind w:right="-769"/>
              <w:contextualSpacing/>
              <w:jc w:val="center"/>
              <w:rPr>
                <w:rFonts w:ascii="Times New Roman" w:eastAsia="Times New Roman" w:hAnsi="Times New Roman" w:cs="Times New Roman"/>
                <w:b/>
                <w:bCs/>
                <w:color w:val="000000"/>
                <w:sz w:val="20"/>
                <w:szCs w:val="20"/>
                <w:vertAlign w:val="superscript"/>
                <w:lang w:val="en-US"/>
              </w:rPr>
            </w:pPr>
            <w:r w:rsidRPr="00AF7A1A">
              <w:rPr>
                <w:rFonts w:ascii="Times New Roman" w:eastAsia="Times New Roman" w:hAnsi="Times New Roman" w:cs="Times New Roman"/>
                <w:b/>
                <w:bCs/>
                <w:color w:val="000000"/>
                <w:sz w:val="20"/>
                <w:szCs w:val="20"/>
                <w:lang w:val="en-US"/>
              </w:rPr>
              <w:t>Ideation/Plans</w:t>
            </w:r>
            <w:r w:rsidRPr="00AF7A1A">
              <w:rPr>
                <w:rFonts w:ascii="Times New Roman" w:eastAsia="Times New Roman" w:hAnsi="Times New Roman" w:cs="Times New Roman"/>
                <w:b/>
                <w:bCs/>
                <w:color w:val="000000"/>
                <w:sz w:val="20"/>
                <w:szCs w:val="20"/>
                <w:vertAlign w:val="superscript"/>
                <w:lang w:val="en-US"/>
              </w:rPr>
              <w:t>c</w:t>
            </w:r>
          </w:p>
        </w:tc>
        <w:tc>
          <w:tcPr>
            <w:tcW w:w="1560" w:type="dxa"/>
            <w:tcBorders>
              <w:top w:val="single" w:sz="4" w:space="0" w:color="auto"/>
              <w:left w:val="nil"/>
              <w:bottom w:val="single" w:sz="4" w:space="0" w:color="auto"/>
              <w:right w:val="nil"/>
            </w:tcBorders>
            <w:shd w:val="clear" w:color="auto" w:fill="D9D9D9" w:themeFill="background1" w:themeFillShade="D9"/>
            <w:noWrap/>
            <w:vAlign w:val="center"/>
            <w:hideMark/>
          </w:tcPr>
          <w:p w14:paraId="6B7496D7" w14:textId="77777777" w:rsidR="00820C51" w:rsidRPr="00AF7A1A" w:rsidRDefault="00820C51" w:rsidP="00D30385">
            <w:pPr>
              <w:spacing w:after="0"/>
              <w:ind w:right="-535"/>
              <w:contextualSpacing/>
              <w:jc w:val="center"/>
              <w:rPr>
                <w:rFonts w:ascii="Times New Roman" w:eastAsia="Times New Roman" w:hAnsi="Times New Roman" w:cs="Times New Roman"/>
                <w:b/>
                <w:bCs/>
                <w:color w:val="000000"/>
                <w:sz w:val="20"/>
                <w:szCs w:val="20"/>
                <w:lang w:val="en-US"/>
              </w:rPr>
            </w:pPr>
            <w:r w:rsidRPr="00AF7A1A">
              <w:rPr>
                <w:rFonts w:ascii="Times New Roman" w:eastAsia="Times New Roman" w:hAnsi="Times New Roman" w:cs="Times New Roman"/>
                <w:b/>
                <w:bCs/>
                <w:color w:val="000000"/>
                <w:sz w:val="20"/>
                <w:szCs w:val="20"/>
                <w:lang w:val="en-US"/>
              </w:rPr>
              <w:t>Attempts</w:t>
            </w:r>
          </w:p>
        </w:tc>
      </w:tr>
      <w:tr w:rsidR="00820C51" w:rsidRPr="00AF7A1A" w14:paraId="59190737" w14:textId="77777777" w:rsidTr="00D30385">
        <w:trPr>
          <w:trHeight w:val="288"/>
        </w:trPr>
        <w:tc>
          <w:tcPr>
            <w:tcW w:w="772" w:type="dxa"/>
            <w:tcBorders>
              <w:top w:val="single" w:sz="4" w:space="0" w:color="auto"/>
              <w:left w:val="nil"/>
              <w:bottom w:val="nil"/>
              <w:right w:val="nil"/>
            </w:tcBorders>
            <w:vAlign w:val="center"/>
          </w:tcPr>
          <w:p w14:paraId="098004A8" w14:textId="77777777" w:rsidR="00820C51" w:rsidRPr="00AF7A1A" w:rsidRDefault="00820C51" w:rsidP="00D30385">
            <w:pPr>
              <w:spacing w:after="0"/>
              <w:contextualSpacing/>
              <w:jc w:val="right"/>
              <w:rPr>
                <w:rFonts w:ascii="Times New Roman" w:eastAsia="Times New Roman" w:hAnsi="Times New Roman" w:cs="Times New Roman"/>
                <w:color w:val="000000"/>
                <w:sz w:val="20"/>
                <w:szCs w:val="20"/>
                <w:lang w:val="en-US"/>
              </w:rPr>
            </w:pPr>
            <w:r w:rsidRPr="00AF7A1A">
              <w:rPr>
                <w:rFonts w:ascii="Times New Roman" w:eastAsia="Times New Roman" w:hAnsi="Times New Roman" w:cs="Times New Roman"/>
                <w:color w:val="000000"/>
                <w:sz w:val="20"/>
                <w:szCs w:val="20"/>
                <w:lang w:val="en-US"/>
              </w:rPr>
              <w:t>12-15</w:t>
            </w:r>
          </w:p>
        </w:tc>
        <w:tc>
          <w:tcPr>
            <w:tcW w:w="1410" w:type="dxa"/>
            <w:tcBorders>
              <w:top w:val="single" w:sz="4" w:space="0" w:color="auto"/>
              <w:left w:val="nil"/>
              <w:bottom w:val="nil"/>
              <w:right w:val="single" w:sz="4" w:space="0" w:color="auto"/>
            </w:tcBorders>
            <w:shd w:val="clear" w:color="auto" w:fill="auto"/>
            <w:noWrap/>
            <w:vAlign w:val="center"/>
          </w:tcPr>
          <w:p w14:paraId="0F3F6332" w14:textId="77777777" w:rsidR="00820C51" w:rsidRPr="00AF7A1A" w:rsidRDefault="00820C51" w:rsidP="00D30385">
            <w:pPr>
              <w:spacing w:after="0"/>
              <w:contextualSpacing/>
              <w:jc w:val="right"/>
              <w:rPr>
                <w:rFonts w:ascii="Times New Roman" w:eastAsia="Times New Roman" w:hAnsi="Times New Roman" w:cs="Times New Roman"/>
                <w:color w:val="000000"/>
                <w:sz w:val="20"/>
                <w:szCs w:val="20"/>
                <w:lang w:val="en-US"/>
              </w:rPr>
            </w:pPr>
            <w:r w:rsidRPr="00AF7A1A">
              <w:rPr>
                <w:rFonts w:ascii="Times New Roman" w:eastAsia="Times New Roman" w:hAnsi="Times New Roman" w:cs="Times New Roman"/>
                <w:color w:val="000000"/>
                <w:sz w:val="20"/>
                <w:szCs w:val="20"/>
                <w:lang w:val="en-US"/>
              </w:rPr>
              <w:t>Male</w:t>
            </w:r>
          </w:p>
        </w:tc>
        <w:tc>
          <w:tcPr>
            <w:tcW w:w="2104" w:type="dxa"/>
            <w:tcBorders>
              <w:top w:val="single" w:sz="4" w:space="0" w:color="auto"/>
              <w:left w:val="single" w:sz="4" w:space="0" w:color="auto"/>
              <w:bottom w:val="nil"/>
              <w:right w:val="nil"/>
            </w:tcBorders>
            <w:shd w:val="clear" w:color="auto" w:fill="auto"/>
            <w:noWrap/>
            <w:vAlign w:val="center"/>
            <w:hideMark/>
          </w:tcPr>
          <w:p w14:paraId="0DCD378E" w14:textId="77777777" w:rsidR="00820C51" w:rsidRPr="00AF7A1A" w:rsidRDefault="00820C51" w:rsidP="00D30385">
            <w:pPr>
              <w:spacing w:after="0"/>
              <w:contextualSpacing/>
              <w:jc w:val="right"/>
              <w:rPr>
                <w:rFonts w:ascii="Times New Roman" w:eastAsia="Times New Roman" w:hAnsi="Times New Roman" w:cs="Times New Roman"/>
                <w:color w:val="000000"/>
                <w:sz w:val="20"/>
                <w:szCs w:val="20"/>
                <w:lang w:val="en-US"/>
              </w:rPr>
            </w:pPr>
            <w:r w:rsidRPr="00AF7A1A">
              <w:rPr>
                <w:rFonts w:ascii="Times New Roman" w:hAnsi="Times New Roman" w:cs="Times New Roman"/>
                <w:color w:val="000000"/>
                <w:sz w:val="20"/>
                <w:szCs w:val="20"/>
              </w:rPr>
              <w:t>3.6 (2.4-5.3)</w:t>
            </w:r>
          </w:p>
        </w:tc>
        <w:tc>
          <w:tcPr>
            <w:tcW w:w="1759" w:type="dxa"/>
            <w:tcBorders>
              <w:top w:val="single" w:sz="4" w:space="0" w:color="auto"/>
              <w:left w:val="nil"/>
              <w:bottom w:val="nil"/>
              <w:right w:val="nil"/>
            </w:tcBorders>
            <w:vAlign w:val="center"/>
          </w:tcPr>
          <w:p w14:paraId="14D8F384" w14:textId="77777777" w:rsidR="00820C51" w:rsidRPr="00AF7A1A" w:rsidRDefault="00820C51" w:rsidP="00D30385">
            <w:pPr>
              <w:spacing w:after="0"/>
              <w:contextualSpacing/>
              <w:jc w:val="right"/>
              <w:rPr>
                <w:rFonts w:ascii="Times New Roman" w:eastAsia="Times New Roman" w:hAnsi="Times New Roman" w:cs="Times New Roman"/>
                <w:color w:val="000000"/>
                <w:sz w:val="20"/>
                <w:szCs w:val="20"/>
                <w:lang w:val="en-US"/>
              </w:rPr>
            </w:pPr>
            <w:r w:rsidRPr="00AF7A1A">
              <w:rPr>
                <w:rFonts w:ascii="Times New Roman" w:hAnsi="Times New Roman" w:cs="Times New Roman"/>
                <w:color w:val="000000"/>
                <w:sz w:val="20"/>
                <w:szCs w:val="20"/>
              </w:rPr>
              <w:t>3.0 (1.9-4.6)</w:t>
            </w:r>
          </w:p>
        </w:tc>
        <w:tc>
          <w:tcPr>
            <w:tcW w:w="1610" w:type="dxa"/>
            <w:tcBorders>
              <w:top w:val="single" w:sz="4" w:space="0" w:color="auto"/>
              <w:left w:val="nil"/>
              <w:bottom w:val="nil"/>
              <w:right w:val="nil"/>
            </w:tcBorders>
            <w:vAlign w:val="center"/>
          </w:tcPr>
          <w:p w14:paraId="6202D9E1" w14:textId="77777777" w:rsidR="00820C51" w:rsidRPr="00AF7A1A" w:rsidRDefault="00820C51" w:rsidP="00D30385">
            <w:pPr>
              <w:spacing w:after="0"/>
              <w:contextualSpacing/>
              <w:jc w:val="right"/>
              <w:rPr>
                <w:rFonts w:ascii="Times New Roman" w:eastAsia="Times New Roman" w:hAnsi="Times New Roman" w:cs="Times New Roman"/>
                <w:color w:val="000000"/>
                <w:sz w:val="20"/>
                <w:szCs w:val="20"/>
                <w:lang w:val="en-US"/>
              </w:rPr>
            </w:pPr>
            <w:r w:rsidRPr="00AF7A1A">
              <w:rPr>
                <w:rFonts w:ascii="Times New Roman" w:hAnsi="Times New Roman" w:cs="Times New Roman"/>
                <w:color w:val="000000"/>
                <w:sz w:val="20"/>
                <w:szCs w:val="20"/>
              </w:rPr>
              <w:t>3.4 (2.3-5.2)</w:t>
            </w:r>
          </w:p>
        </w:tc>
        <w:tc>
          <w:tcPr>
            <w:tcW w:w="1984" w:type="dxa"/>
            <w:tcBorders>
              <w:top w:val="single" w:sz="4" w:space="0" w:color="auto"/>
              <w:left w:val="nil"/>
              <w:bottom w:val="nil"/>
              <w:right w:val="nil"/>
            </w:tcBorders>
            <w:shd w:val="clear" w:color="auto" w:fill="auto"/>
            <w:noWrap/>
            <w:vAlign w:val="center"/>
          </w:tcPr>
          <w:p w14:paraId="226D7F28" w14:textId="77777777" w:rsidR="00820C51" w:rsidRPr="00AF7A1A" w:rsidRDefault="00820C51" w:rsidP="00D30385">
            <w:pPr>
              <w:spacing w:after="0"/>
              <w:contextualSpacing/>
              <w:jc w:val="right"/>
              <w:rPr>
                <w:rFonts w:ascii="Times New Roman" w:eastAsia="Times New Roman" w:hAnsi="Times New Roman" w:cs="Times New Roman"/>
                <w:color w:val="000000"/>
                <w:sz w:val="20"/>
                <w:szCs w:val="20"/>
                <w:lang w:val="en-US"/>
              </w:rPr>
            </w:pPr>
            <w:r w:rsidRPr="00AF7A1A">
              <w:rPr>
                <w:rFonts w:ascii="Times New Roman" w:hAnsi="Times New Roman" w:cs="Times New Roman"/>
                <w:color w:val="000000"/>
                <w:sz w:val="20"/>
                <w:szCs w:val="20"/>
              </w:rPr>
              <w:t>2.6 (1.7-4.1)</w:t>
            </w:r>
          </w:p>
        </w:tc>
        <w:tc>
          <w:tcPr>
            <w:tcW w:w="1560" w:type="dxa"/>
            <w:tcBorders>
              <w:top w:val="single" w:sz="4" w:space="0" w:color="auto"/>
              <w:left w:val="nil"/>
              <w:bottom w:val="nil"/>
              <w:right w:val="nil"/>
            </w:tcBorders>
            <w:shd w:val="clear" w:color="auto" w:fill="auto"/>
            <w:noWrap/>
            <w:vAlign w:val="center"/>
          </w:tcPr>
          <w:p w14:paraId="5DB3E304" w14:textId="77777777" w:rsidR="00820C51" w:rsidRPr="00AF7A1A" w:rsidRDefault="00820C51" w:rsidP="00D30385">
            <w:pPr>
              <w:spacing w:after="0"/>
              <w:contextualSpacing/>
              <w:jc w:val="right"/>
              <w:rPr>
                <w:rFonts w:ascii="Times New Roman" w:eastAsia="Times New Roman" w:hAnsi="Times New Roman" w:cs="Times New Roman"/>
                <w:color w:val="000000"/>
                <w:sz w:val="20"/>
                <w:szCs w:val="20"/>
                <w:lang w:val="en-US"/>
              </w:rPr>
            </w:pPr>
            <w:r w:rsidRPr="00AF7A1A">
              <w:rPr>
                <w:rFonts w:ascii="Times New Roman" w:hAnsi="Times New Roman" w:cs="Times New Roman"/>
                <w:color w:val="000000"/>
                <w:sz w:val="20"/>
                <w:szCs w:val="20"/>
              </w:rPr>
              <w:t>0.8 (0.4-1.9)</w:t>
            </w:r>
          </w:p>
        </w:tc>
      </w:tr>
      <w:tr w:rsidR="00820C51" w:rsidRPr="00AF7A1A" w14:paraId="418AE38E" w14:textId="77777777" w:rsidTr="00D30385">
        <w:trPr>
          <w:trHeight w:val="288"/>
        </w:trPr>
        <w:tc>
          <w:tcPr>
            <w:tcW w:w="772" w:type="dxa"/>
            <w:tcBorders>
              <w:top w:val="nil"/>
              <w:left w:val="nil"/>
              <w:bottom w:val="nil"/>
              <w:right w:val="nil"/>
            </w:tcBorders>
            <w:vAlign w:val="center"/>
          </w:tcPr>
          <w:p w14:paraId="30369F00" w14:textId="77777777" w:rsidR="00820C51" w:rsidRPr="00AF7A1A" w:rsidRDefault="00820C51" w:rsidP="00D30385">
            <w:pPr>
              <w:spacing w:after="0"/>
              <w:contextualSpacing/>
              <w:jc w:val="right"/>
              <w:rPr>
                <w:rFonts w:ascii="Times New Roman" w:eastAsia="Times New Roman" w:hAnsi="Times New Roman" w:cs="Times New Roman"/>
                <w:color w:val="000000"/>
                <w:sz w:val="20"/>
                <w:szCs w:val="20"/>
                <w:lang w:val="en-US"/>
              </w:rPr>
            </w:pPr>
            <w:r w:rsidRPr="00AF7A1A">
              <w:rPr>
                <w:rFonts w:ascii="Times New Roman" w:eastAsia="Times New Roman" w:hAnsi="Times New Roman" w:cs="Times New Roman"/>
                <w:color w:val="000000"/>
                <w:sz w:val="20"/>
                <w:szCs w:val="20"/>
                <w:lang w:val="en-US"/>
              </w:rPr>
              <w:t>16-17</w:t>
            </w:r>
          </w:p>
        </w:tc>
        <w:tc>
          <w:tcPr>
            <w:tcW w:w="1410" w:type="dxa"/>
            <w:tcBorders>
              <w:top w:val="nil"/>
              <w:left w:val="nil"/>
              <w:bottom w:val="nil"/>
              <w:right w:val="single" w:sz="4" w:space="0" w:color="auto"/>
            </w:tcBorders>
            <w:shd w:val="clear" w:color="auto" w:fill="auto"/>
            <w:noWrap/>
            <w:vAlign w:val="center"/>
          </w:tcPr>
          <w:p w14:paraId="3A7E8A8F" w14:textId="77777777" w:rsidR="00820C51" w:rsidRPr="00AF7A1A" w:rsidRDefault="00820C51" w:rsidP="00D30385">
            <w:pPr>
              <w:spacing w:after="0"/>
              <w:contextualSpacing/>
              <w:jc w:val="right"/>
              <w:rPr>
                <w:rFonts w:ascii="Times New Roman" w:eastAsia="Times New Roman" w:hAnsi="Times New Roman" w:cs="Times New Roman"/>
                <w:color w:val="000000"/>
                <w:sz w:val="20"/>
                <w:szCs w:val="20"/>
                <w:lang w:val="en-US"/>
              </w:rPr>
            </w:pPr>
            <w:r w:rsidRPr="00AF7A1A">
              <w:rPr>
                <w:rFonts w:ascii="Times New Roman" w:eastAsia="Times New Roman" w:hAnsi="Times New Roman" w:cs="Times New Roman"/>
                <w:color w:val="000000"/>
                <w:sz w:val="20"/>
                <w:szCs w:val="20"/>
                <w:lang w:val="en-US"/>
              </w:rPr>
              <w:t>Male</w:t>
            </w:r>
          </w:p>
        </w:tc>
        <w:tc>
          <w:tcPr>
            <w:tcW w:w="2104" w:type="dxa"/>
            <w:tcBorders>
              <w:top w:val="nil"/>
              <w:left w:val="single" w:sz="4" w:space="0" w:color="auto"/>
              <w:bottom w:val="nil"/>
              <w:right w:val="nil"/>
            </w:tcBorders>
            <w:shd w:val="clear" w:color="auto" w:fill="auto"/>
            <w:noWrap/>
            <w:vAlign w:val="center"/>
            <w:hideMark/>
          </w:tcPr>
          <w:p w14:paraId="23965556" w14:textId="77777777" w:rsidR="00820C51" w:rsidRPr="00AF7A1A" w:rsidRDefault="00820C51" w:rsidP="00D30385">
            <w:pPr>
              <w:spacing w:after="0"/>
              <w:contextualSpacing/>
              <w:jc w:val="right"/>
              <w:rPr>
                <w:rFonts w:ascii="Times New Roman" w:eastAsia="Times New Roman" w:hAnsi="Times New Roman" w:cs="Times New Roman"/>
                <w:color w:val="000000"/>
                <w:sz w:val="20"/>
                <w:szCs w:val="20"/>
                <w:lang w:val="en-US"/>
              </w:rPr>
            </w:pPr>
            <w:r w:rsidRPr="00AF7A1A">
              <w:rPr>
                <w:rFonts w:ascii="Times New Roman" w:hAnsi="Times New Roman" w:cs="Times New Roman"/>
                <w:color w:val="000000"/>
                <w:sz w:val="20"/>
                <w:szCs w:val="20"/>
              </w:rPr>
              <w:t>7.8 (6.0-9.9)</w:t>
            </w:r>
          </w:p>
        </w:tc>
        <w:tc>
          <w:tcPr>
            <w:tcW w:w="1759" w:type="dxa"/>
            <w:tcBorders>
              <w:top w:val="nil"/>
              <w:left w:val="nil"/>
              <w:bottom w:val="nil"/>
              <w:right w:val="nil"/>
            </w:tcBorders>
            <w:vAlign w:val="center"/>
          </w:tcPr>
          <w:p w14:paraId="59547F5C" w14:textId="77777777" w:rsidR="00820C51" w:rsidRPr="00AF7A1A" w:rsidRDefault="00820C51" w:rsidP="00D30385">
            <w:pPr>
              <w:spacing w:after="0"/>
              <w:contextualSpacing/>
              <w:jc w:val="right"/>
              <w:rPr>
                <w:rFonts w:ascii="Times New Roman" w:eastAsia="Times New Roman" w:hAnsi="Times New Roman" w:cs="Times New Roman"/>
                <w:color w:val="000000"/>
                <w:sz w:val="20"/>
                <w:szCs w:val="20"/>
                <w:lang w:val="en-US"/>
              </w:rPr>
            </w:pPr>
            <w:r w:rsidRPr="00AF7A1A">
              <w:rPr>
                <w:rFonts w:ascii="Times New Roman" w:hAnsi="Times New Roman" w:cs="Times New Roman"/>
                <w:color w:val="000000"/>
                <w:sz w:val="20"/>
                <w:szCs w:val="20"/>
              </w:rPr>
              <w:t>6.2 (4.7-8.1)</w:t>
            </w:r>
          </w:p>
        </w:tc>
        <w:tc>
          <w:tcPr>
            <w:tcW w:w="1610" w:type="dxa"/>
            <w:tcBorders>
              <w:top w:val="nil"/>
              <w:left w:val="nil"/>
              <w:bottom w:val="nil"/>
              <w:right w:val="nil"/>
            </w:tcBorders>
            <w:vAlign w:val="center"/>
          </w:tcPr>
          <w:p w14:paraId="19A6D254" w14:textId="77777777" w:rsidR="00820C51" w:rsidRPr="00AF7A1A" w:rsidRDefault="00820C51" w:rsidP="00D30385">
            <w:pPr>
              <w:spacing w:after="0"/>
              <w:contextualSpacing/>
              <w:jc w:val="right"/>
              <w:rPr>
                <w:rFonts w:ascii="Times New Roman" w:eastAsia="Times New Roman" w:hAnsi="Times New Roman" w:cs="Times New Roman"/>
                <w:color w:val="000000"/>
                <w:sz w:val="20"/>
                <w:szCs w:val="20"/>
                <w:lang w:val="en-US"/>
              </w:rPr>
            </w:pPr>
            <w:r w:rsidRPr="00AF7A1A">
              <w:rPr>
                <w:rFonts w:ascii="Times New Roman" w:hAnsi="Times New Roman" w:cs="Times New Roman"/>
                <w:color w:val="000000"/>
                <w:sz w:val="20"/>
                <w:szCs w:val="20"/>
              </w:rPr>
              <w:t>6.8 (5.2-8.9)</w:t>
            </w:r>
          </w:p>
        </w:tc>
        <w:tc>
          <w:tcPr>
            <w:tcW w:w="1984" w:type="dxa"/>
            <w:tcBorders>
              <w:top w:val="nil"/>
              <w:left w:val="nil"/>
              <w:bottom w:val="nil"/>
              <w:right w:val="nil"/>
            </w:tcBorders>
            <w:shd w:val="clear" w:color="auto" w:fill="auto"/>
            <w:noWrap/>
            <w:vAlign w:val="center"/>
          </w:tcPr>
          <w:p w14:paraId="2FDF9531" w14:textId="77777777" w:rsidR="00820C51" w:rsidRPr="00AF7A1A" w:rsidRDefault="00820C51" w:rsidP="00D30385">
            <w:pPr>
              <w:spacing w:after="0"/>
              <w:contextualSpacing/>
              <w:jc w:val="right"/>
              <w:rPr>
                <w:rFonts w:ascii="Times New Roman" w:eastAsia="Times New Roman" w:hAnsi="Times New Roman" w:cs="Times New Roman"/>
                <w:color w:val="000000"/>
                <w:sz w:val="20"/>
                <w:szCs w:val="20"/>
                <w:lang w:val="en-US"/>
              </w:rPr>
            </w:pPr>
            <w:r w:rsidRPr="00AF7A1A">
              <w:rPr>
                <w:rFonts w:ascii="Times New Roman" w:hAnsi="Times New Roman" w:cs="Times New Roman"/>
                <w:color w:val="000000"/>
                <w:sz w:val="20"/>
                <w:szCs w:val="20"/>
              </w:rPr>
              <w:t>3.9 (2.8-5.6)</w:t>
            </w:r>
          </w:p>
        </w:tc>
        <w:tc>
          <w:tcPr>
            <w:tcW w:w="1560" w:type="dxa"/>
            <w:tcBorders>
              <w:top w:val="nil"/>
              <w:left w:val="nil"/>
              <w:bottom w:val="nil"/>
              <w:right w:val="nil"/>
            </w:tcBorders>
            <w:shd w:val="clear" w:color="auto" w:fill="auto"/>
            <w:noWrap/>
            <w:vAlign w:val="center"/>
          </w:tcPr>
          <w:p w14:paraId="2F6B46E1" w14:textId="77777777" w:rsidR="00820C51" w:rsidRPr="00AF7A1A" w:rsidRDefault="00820C51" w:rsidP="00D30385">
            <w:pPr>
              <w:spacing w:after="0"/>
              <w:contextualSpacing/>
              <w:jc w:val="right"/>
              <w:rPr>
                <w:rFonts w:ascii="Times New Roman" w:eastAsia="Times New Roman" w:hAnsi="Times New Roman" w:cs="Times New Roman"/>
                <w:color w:val="000000"/>
                <w:sz w:val="20"/>
                <w:szCs w:val="20"/>
                <w:lang w:val="en-US"/>
              </w:rPr>
            </w:pPr>
            <w:r w:rsidRPr="00AF7A1A">
              <w:rPr>
                <w:rFonts w:ascii="Times New Roman" w:hAnsi="Times New Roman" w:cs="Times New Roman"/>
                <w:color w:val="000000"/>
                <w:sz w:val="20"/>
                <w:szCs w:val="20"/>
              </w:rPr>
              <w:t>2.9 (1.8-4.5)</w:t>
            </w:r>
          </w:p>
        </w:tc>
      </w:tr>
      <w:tr w:rsidR="00820C51" w:rsidRPr="00AF7A1A" w14:paraId="0E696236" w14:textId="77777777" w:rsidTr="00D30385">
        <w:trPr>
          <w:trHeight w:val="288"/>
        </w:trPr>
        <w:tc>
          <w:tcPr>
            <w:tcW w:w="772" w:type="dxa"/>
            <w:tcBorders>
              <w:top w:val="nil"/>
              <w:left w:val="nil"/>
              <w:bottom w:val="nil"/>
              <w:right w:val="nil"/>
            </w:tcBorders>
            <w:vAlign w:val="center"/>
          </w:tcPr>
          <w:p w14:paraId="084892CF" w14:textId="77777777" w:rsidR="00820C51" w:rsidRPr="00AF7A1A" w:rsidRDefault="00820C51" w:rsidP="00D30385">
            <w:pPr>
              <w:spacing w:after="0"/>
              <w:contextualSpacing/>
              <w:jc w:val="right"/>
              <w:rPr>
                <w:rFonts w:ascii="Times New Roman" w:eastAsia="Times New Roman" w:hAnsi="Times New Roman" w:cs="Times New Roman"/>
                <w:color w:val="000000"/>
                <w:sz w:val="20"/>
                <w:szCs w:val="20"/>
                <w:lang w:val="en-US"/>
              </w:rPr>
            </w:pPr>
            <w:r w:rsidRPr="00AF7A1A">
              <w:rPr>
                <w:rFonts w:ascii="Times New Roman" w:eastAsia="Times New Roman" w:hAnsi="Times New Roman" w:cs="Times New Roman"/>
                <w:color w:val="000000"/>
                <w:sz w:val="20"/>
                <w:szCs w:val="20"/>
                <w:lang w:val="en-US"/>
              </w:rPr>
              <w:t>12-17</w:t>
            </w:r>
          </w:p>
        </w:tc>
        <w:tc>
          <w:tcPr>
            <w:tcW w:w="1410" w:type="dxa"/>
            <w:tcBorders>
              <w:top w:val="nil"/>
              <w:left w:val="nil"/>
              <w:bottom w:val="nil"/>
              <w:right w:val="single" w:sz="4" w:space="0" w:color="auto"/>
            </w:tcBorders>
            <w:shd w:val="clear" w:color="auto" w:fill="auto"/>
            <w:noWrap/>
            <w:vAlign w:val="center"/>
          </w:tcPr>
          <w:p w14:paraId="6334C8F8" w14:textId="77777777" w:rsidR="00820C51" w:rsidRPr="00AF7A1A" w:rsidRDefault="00820C51" w:rsidP="00D30385">
            <w:pPr>
              <w:spacing w:after="0"/>
              <w:contextualSpacing/>
              <w:jc w:val="right"/>
              <w:rPr>
                <w:rFonts w:ascii="Times New Roman" w:eastAsia="Times New Roman" w:hAnsi="Times New Roman" w:cs="Times New Roman"/>
                <w:color w:val="000000"/>
                <w:sz w:val="20"/>
                <w:szCs w:val="20"/>
                <w:lang w:val="en-US"/>
              </w:rPr>
            </w:pPr>
            <w:r w:rsidRPr="00AF7A1A">
              <w:rPr>
                <w:rFonts w:ascii="Times New Roman" w:eastAsia="Times New Roman" w:hAnsi="Times New Roman" w:cs="Times New Roman"/>
                <w:color w:val="000000"/>
                <w:sz w:val="20"/>
                <w:szCs w:val="20"/>
                <w:lang w:val="en-US"/>
              </w:rPr>
              <w:t>Male</w:t>
            </w:r>
          </w:p>
        </w:tc>
        <w:tc>
          <w:tcPr>
            <w:tcW w:w="2104" w:type="dxa"/>
            <w:tcBorders>
              <w:top w:val="nil"/>
              <w:left w:val="single" w:sz="4" w:space="0" w:color="auto"/>
              <w:bottom w:val="nil"/>
              <w:right w:val="nil"/>
            </w:tcBorders>
            <w:shd w:val="clear" w:color="auto" w:fill="auto"/>
            <w:noWrap/>
            <w:vAlign w:val="center"/>
          </w:tcPr>
          <w:p w14:paraId="7B0EADA7" w14:textId="77777777" w:rsidR="00820C51" w:rsidRPr="00AF7A1A" w:rsidRDefault="00820C51" w:rsidP="00D30385">
            <w:pPr>
              <w:spacing w:after="0"/>
              <w:contextualSpacing/>
              <w:jc w:val="right"/>
              <w:rPr>
                <w:rFonts w:ascii="Times New Roman" w:eastAsia="Times New Roman" w:hAnsi="Times New Roman" w:cs="Times New Roman"/>
                <w:color w:val="000000"/>
                <w:sz w:val="20"/>
                <w:szCs w:val="20"/>
                <w:lang w:val="en-US"/>
              </w:rPr>
            </w:pPr>
            <w:r w:rsidRPr="00AF7A1A">
              <w:rPr>
                <w:rFonts w:ascii="Times New Roman" w:hAnsi="Times New Roman" w:cs="Times New Roman"/>
                <w:color w:val="000000"/>
                <w:sz w:val="20"/>
                <w:szCs w:val="20"/>
              </w:rPr>
              <w:t>4.9 (3.9-6.1)</w:t>
            </w:r>
          </w:p>
        </w:tc>
        <w:tc>
          <w:tcPr>
            <w:tcW w:w="1759" w:type="dxa"/>
            <w:tcBorders>
              <w:top w:val="nil"/>
              <w:left w:val="nil"/>
              <w:bottom w:val="nil"/>
              <w:right w:val="nil"/>
            </w:tcBorders>
            <w:vAlign w:val="center"/>
          </w:tcPr>
          <w:p w14:paraId="7D28DE85" w14:textId="77777777" w:rsidR="00820C51" w:rsidRPr="00AF7A1A" w:rsidRDefault="00820C51" w:rsidP="00D30385">
            <w:pPr>
              <w:spacing w:after="0"/>
              <w:contextualSpacing/>
              <w:jc w:val="right"/>
              <w:rPr>
                <w:rFonts w:ascii="Times New Roman" w:eastAsia="Times New Roman" w:hAnsi="Times New Roman" w:cs="Times New Roman"/>
                <w:color w:val="000000"/>
                <w:sz w:val="20"/>
                <w:szCs w:val="20"/>
                <w:lang w:val="en-US"/>
              </w:rPr>
            </w:pPr>
            <w:r w:rsidRPr="00AF7A1A">
              <w:rPr>
                <w:rFonts w:ascii="Times New Roman" w:hAnsi="Times New Roman" w:cs="Times New Roman"/>
                <w:color w:val="000000"/>
                <w:sz w:val="20"/>
                <w:szCs w:val="20"/>
              </w:rPr>
              <w:t>4.0 (3.1-5.1)</w:t>
            </w:r>
          </w:p>
        </w:tc>
        <w:tc>
          <w:tcPr>
            <w:tcW w:w="1610" w:type="dxa"/>
            <w:tcBorders>
              <w:top w:val="nil"/>
              <w:left w:val="nil"/>
              <w:bottom w:val="nil"/>
              <w:right w:val="nil"/>
            </w:tcBorders>
            <w:vAlign w:val="center"/>
          </w:tcPr>
          <w:p w14:paraId="23ED8217" w14:textId="77777777" w:rsidR="00820C51" w:rsidRPr="00AF7A1A" w:rsidRDefault="00820C51" w:rsidP="00D30385">
            <w:pPr>
              <w:spacing w:after="0"/>
              <w:contextualSpacing/>
              <w:jc w:val="right"/>
              <w:rPr>
                <w:rFonts w:ascii="Times New Roman" w:eastAsia="Times New Roman" w:hAnsi="Times New Roman" w:cs="Times New Roman"/>
                <w:color w:val="000000"/>
                <w:sz w:val="20"/>
                <w:szCs w:val="20"/>
                <w:lang w:val="en-US"/>
              </w:rPr>
            </w:pPr>
            <w:r w:rsidRPr="00AF7A1A">
              <w:rPr>
                <w:rFonts w:ascii="Times New Roman" w:hAnsi="Times New Roman" w:cs="Times New Roman"/>
                <w:color w:val="000000"/>
                <w:sz w:val="20"/>
                <w:szCs w:val="20"/>
              </w:rPr>
              <w:t>4.5 (3.5-5.8)</w:t>
            </w:r>
          </w:p>
        </w:tc>
        <w:tc>
          <w:tcPr>
            <w:tcW w:w="1984" w:type="dxa"/>
            <w:tcBorders>
              <w:top w:val="nil"/>
              <w:left w:val="nil"/>
              <w:bottom w:val="nil"/>
              <w:right w:val="nil"/>
            </w:tcBorders>
            <w:shd w:val="clear" w:color="auto" w:fill="auto"/>
            <w:noWrap/>
            <w:vAlign w:val="center"/>
          </w:tcPr>
          <w:p w14:paraId="69A463E0" w14:textId="77777777" w:rsidR="00820C51" w:rsidRPr="00AF7A1A" w:rsidRDefault="00820C51" w:rsidP="00D30385">
            <w:pPr>
              <w:spacing w:after="0"/>
              <w:contextualSpacing/>
              <w:jc w:val="right"/>
              <w:rPr>
                <w:rFonts w:ascii="Times New Roman" w:eastAsia="Times New Roman" w:hAnsi="Times New Roman" w:cs="Times New Roman"/>
                <w:color w:val="000000"/>
                <w:sz w:val="20"/>
                <w:szCs w:val="20"/>
                <w:lang w:val="en-US"/>
              </w:rPr>
            </w:pPr>
            <w:r w:rsidRPr="00AF7A1A">
              <w:rPr>
                <w:rFonts w:ascii="Times New Roman" w:hAnsi="Times New Roman" w:cs="Times New Roman"/>
                <w:color w:val="000000"/>
                <w:sz w:val="20"/>
                <w:szCs w:val="20"/>
              </w:rPr>
              <w:t>3.0 (2.3-4.1)</w:t>
            </w:r>
          </w:p>
        </w:tc>
        <w:tc>
          <w:tcPr>
            <w:tcW w:w="1560" w:type="dxa"/>
            <w:tcBorders>
              <w:top w:val="nil"/>
              <w:left w:val="nil"/>
              <w:bottom w:val="nil"/>
              <w:right w:val="nil"/>
            </w:tcBorders>
            <w:shd w:val="clear" w:color="auto" w:fill="auto"/>
            <w:noWrap/>
            <w:vAlign w:val="center"/>
          </w:tcPr>
          <w:p w14:paraId="62987911" w14:textId="77777777" w:rsidR="00820C51" w:rsidRPr="00AF7A1A" w:rsidRDefault="00820C51" w:rsidP="00D30385">
            <w:pPr>
              <w:spacing w:after="0"/>
              <w:contextualSpacing/>
              <w:jc w:val="right"/>
              <w:rPr>
                <w:rFonts w:ascii="Times New Roman" w:eastAsia="Times New Roman" w:hAnsi="Times New Roman" w:cs="Times New Roman"/>
                <w:color w:val="000000"/>
                <w:sz w:val="20"/>
                <w:szCs w:val="20"/>
                <w:lang w:val="en-US"/>
              </w:rPr>
            </w:pPr>
            <w:r w:rsidRPr="00AF7A1A">
              <w:rPr>
                <w:rFonts w:ascii="Times New Roman" w:hAnsi="Times New Roman" w:cs="Times New Roman"/>
                <w:color w:val="000000"/>
                <w:sz w:val="20"/>
                <w:szCs w:val="20"/>
              </w:rPr>
              <w:t>1.5 (1.2-2.0)</w:t>
            </w:r>
          </w:p>
        </w:tc>
      </w:tr>
      <w:tr w:rsidR="00820C51" w:rsidRPr="00AF7A1A" w14:paraId="6EB8D16F" w14:textId="77777777" w:rsidTr="00D30385">
        <w:trPr>
          <w:trHeight w:val="288"/>
        </w:trPr>
        <w:tc>
          <w:tcPr>
            <w:tcW w:w="772" w:type="dxa"/>
            <w:tcBorders>
              <w:top w:val="nil"/>
              <w:left w:val="nil"/>
              <w:bottom w:val="nil"/>
              <w:right w:val="nil"/>
            </w:tcBorders>
            <w:vAlign w:val="center"/>
          </w:tcPr>
          <w:p w14:paraId="7BE96DB5" w14:textId="77777777" w:rsidR="00820C51" w:rsidRPr="00AF7A1A" w:rsidRDefault="00820C51" w:rsidP="00D30385">
            <w:pPr>
              <w:spacing w:after="0"/>
              <w:contextualSpacing/>
              <w:jc w:val="right"/>
              <w:rPr>
                <w:rFonts w:ascii="Times New Roman" w:eastAsia="Times New Roman" w:hAnsi="Times New Roman" w:cs="Times New Roman"/>
                <w:color w:val="000000"/>
                <w:sz w:val="20"/>
                <w:szCs w:val="20"/>
                <w:lang w:val="en-US"/>
              </w:rPr>
            </w:pPr>
            <w:r w:rsidRPr="00AF7A1A">
              <w:rPr>
                <w:rFonts w:ascii="Times New Roman" w:eastAsia="Times New Roman" w:hAnsi="Times New Roman" w:cs="Times New Roman"/>
                <w:color w:val="000000"/>
                <w:sz w:val="20"/>
                <w:szCs w:val="20"/>
                <w:lang w:val="en-US"/>
              </w:rPr>
              <w:t>12-15</w:t>
            </w:r>
          </w:p>
        </w:tc>
        <w:tc>
          <w:tcPr>
            <w:tcW w:w="1410" w:type="dxa"/>
            <w:tcBorders>
              <w:top w:val="nil"/>
              <w:left w:val="nil"/>
              <w:bottom w:val="nil"/>
              <w:right w:val="single" w:sz="4" w:space="0" w:color="auto"/>
            </w:tcBorders>
            <w:shd w:val="clear" w:color="auto" w:fill="auto"/>
            <w:noWrap/>
            <w:vAlign w:val="center"/>
          </w:tcPr>
          <w:p w14:paraId="4522AC85" w14:textId="77777777" w:rsidR="00820C51" w:rsidRPr="00AF7A1A" w:rsidRDefault="00820C51" w:rsidP="00D30385">
            <w:pPr>
              <w:spacing w:after="0"/>
              <w:contextualSpacing/>
              <w:jc w:val="right"/>
              <w:rPr>
                <w:rFonts w:ascii="Times New Roman" w:eastAsia="Times New Roman" w:hAnsi="Times New Roman" w:cs="Times New Roman"/>
                <w:color w:val="000000"/>
                <w:sz w:val="20"/>
                <w:szCs w:val="20"/>
                <w:lang w:val="en-US"/>
              </w:rPr>
            </w:pPr>
            <w:r w:rsidRPr="00AF7A1A">
              <w:rPr>
                <w:rFonts w:ascii="Times New Roman" w:eastAsia="Times New Roman" w:hAnsi="Times New Roman" w:cs="Times New Roman"/>
                <w:color w:val="000000"/>
                <w:sz w:val="20"/>
                <w:szCs w:val="20"/>
                <w:lang w:val="en-US"/>
              </w:rPr>
              <w:t>Female</w:t>
            </w:r>
          </w:p>
        </w:tc>
        <w:tc>
          <w:tcPr>
            <w:tcW w:w="2104" w:type="dxa"/>
            <w:tcBorders>
              <w:top w:val="nil"/>
              <w:left w:val="single" w:sz="4" w:space="0" w:color="auto"/>
              <w:bottom w:val="nil"/>
              <w:right w:val="nil"/>
            </w:tcBorders>
            <w:shd w:val="clear" w:color="auto" w:fill="auto"/>
            <w:noWrap/>
            <w:vAlign w:val="center"/>
          </w:tcPr>
          <w:p w14:paraId="5E413638" w14:textId="77777777" w:rsidR="00820C51" w:rsidRPr="00AF7A1A" w:rsidRDefault="00820C51" w:rsidP="00D30385">
            <w:pPr>
              <w:spacing w:after="0"/>
              <w:contextualSpacing/>
              <w:jc w:val="right"/>
              <w:rPr>
                <w:rFonts w:ascii="Times New Roman" w:eastAsia="Times New Roman" w:hAnsi="Times New Roman" w:cs="Times New Roman"/>
                <w:color w:val="000000"/>
                <w:sz w:val="20"/>
                <w:szCs w:val="20"/>
                <w:lang w:val="en-US"/>
              </w:rPr>
            </w:pPr>
            <w:r w:rsidRPr="00AF7A1A">
              <w:rPr>
                <w:rFonts w:ascii="Times New Roman" w:hAnsi="Times New Roman" w:cs="Times New Roman"/>
                <w:color w:val="000000"/>
                <w:sz w:val="20"/>
                <w:szCs w:val="20"/>
              </w:rPr>
              <w:t>9.9 (7.7-12.6)</w:t>
            </w:r>
          </w:p>
        </w:tc>
        <w:tc>
          <w:tcPr>
            <w:tcW w:w="1759" w:type="dxa"/>
            <w:tcBorders>
              <w:top w:val="nil"/>
              <w:left w:val="nil"/>
              <w:bottom w:val="nil"/>
              <w:right w:val="nil"/>
            </w:tcBorders>
            <w:vAlign w:val="center"/>
          </w:tcPr>
          <w:p w14:paraId="06C9DC43" w14:textId="77777777" w:rsidR="00820C51" w:rsidRPr="00AF7A1A" w:rsidRDefault="00820C51" w:rsidP="00D30385">
            <w:pPr>
              <w:spacing w:after="0"/>
              <w:contextualSpacing/>
              <w:jc w:val="right"/>
              <w:rPr>
                <w:rFonts w:ascii="Times New Roman" w:eastAsia="Times New Roman" w:hAnsi="Times New Roman" w:cs="Times New Roman"/>
                <w:color w:val="000000"/>
                <w:sz w:val="20"/>
                <w:szCs w:val="20"/>
                <w:lang w:val="en-US"/>
              </w:rPr>
            </w:pPr>
            <w:r w:rsidRPr="00AF7A1A">
              <w:rPr>
                <w:rFonts w:ascii="Times New Roman" w:hAnsi="Times New Roman" w:cs="Times New Roman"/>
                <w:color w:val="000000"/>
                <w:sz w:val="20"/>
                <w:szCs w:val="20"/>
              </w:rPr>
              <w:t>9.8 (7.6-12.5)</w:t>
            </w:r>
          </w:p>
        </w:tc>
        <w:tc>
          <w:tcPr>
            <w:tcW w:w="1610" w:type="dxa"/>
            <w:tcBorders>
              <w:top w:val="nil"/>
              <w:left w:val="nil"/>
              <w:bottom w:val="nil"/>
              <w:right w:val="nil"/>
            </w:tcBorders>
            <w:vAlign w:val="center"/>
          </w:tcPr>
          <w:p w14:paraId="0913A89F" w14:textId="77777777" w:rsidR="00820C51" w:rsidRPr="00AF7A1A" w:rsidRDefault="00820C51" w:rsidP="00D30385">
            <w:pPr>
              <w:spacing w:after="0"/>
              <w:contextualSpacing/>
              <w:jc w:val="right"/>
              <w:rPr>
                <w:rFonts w:ascii="Times New Roman" w:eastAsia="Times New Roman" w:hAnsi="Times New Roman" w:cs="Times New Roman"/>
                <w:color w:val="000000"/>
                <w:sz w:val="20"/>
                <w:szCs w:val="20"/>
                <w:lang w:val="en-US"/>
              </w:rPr>
            </w:pPr>
            <w:r w:rsidRPr="00AF7A1A">
              <w:rPr>
                <w:rFonts w:ascii="Times New Roman" w:hAnsi="Times New Roman" w:cs="Times New Roman"/>
                <w:color w:val="000000"/>
                <w:sz w:val="20"/>
                <w:szCs w:val="20"/>
              </w:rPr>
              <w:t>8.1 (6.0-10.8)</w:t>
            </w:r>
          </w:p>
        </w:tc>
        <w:tc>
          <w:tcPr>
            <w:tcW w:w="1984" w:type="dxa"/>
            <w:tcBorders>
              <w:top w:val="nil"/>
              <w:left w:val="nil"/>
              <w:bottom w:val="nil"/>
              <w:right w:val="nil"/>
            </w:tcBorders>
            <w:shd w:val="clear" w:color="auto" w:fill="auto"/>
            <w:noWrap/>
            <w:vAlign w:val="center"/>
          </w:tcPr>
          <w:p w14:paraId="52388AAB" w14:textId="77777777" w:rsidR="00820C51" w:rsidRPr="00AF7A1A" w:rsidRDefault="00820C51" w:rsidP="00D30385">
            <w:pPr>
              <w:spacing w:after="0"/>
              <w:contextualSpacing/>
              <w:jc w:val="right"/>
              <w:rPr>
                <w:rFonts w:ascii="Times New Roman" w:eastAsia="Times New Roman" w:hAnsi="Times New Roman" w:cs="Times New Roman"/>
                <w:color w:val="000000"/>
                <w:sz w:val="20"/>
                <w:szCs w:val="20"/>
                <w:lang w:val="en-US"/>
              </w:rPr>
            </w:pPr>
            <w:r w:rsidRPr="00AF7A1A">
              <w:rPr>
                <w:rFonts w:ascii="Times New Roman" w:hAnsi="Times New Roman" w:cs="Times New Roman"/>
                <w:color w:val="000000"/>
                <w:sz w:val="20"/>
                <w:szCs w:val="20"/>
              </w:rPr>
              <w:t>5.4 (3.7-7.6)</w:t>
            </w:r>
          </w:p>
        </w:tc>
        <w:tc>
          <w:tcPr>
            <w:tcW w:w="1560" w:type="dxa"/>
            <w:tcBorders>
              <w:top w:val="nil"/>
              <w:left w:val="nil"/>
              <w:bottom w:val="nil"/>
              <w:right w:val="nil"/>
            </w:tcBorders>
            <w:shd w:val="clear" w:color="auto" w:fill="auto"/>
            <w:noWrap/>
            <w:vAlign w:val="center"/>
          </w:tcPr>
          <w:p w14:paraId="5E2C90B8" w14:textId="77777777" w:rsidR="00820C51" w:rsidRPr="00AF7A1A" w:rsidRDefault="00820C51" w:rsidP="00D30385">
            <w:pPr>
              <w:spacing w:after="0"/>
              <w:contextualSpacing/>
              <w:jc w:val="right"/>
              <w:rPr>
                <w:rFonts w:ascii="Times New Roman" w:eastAsia="Times New Roman" w:hAnsi="Times New Roman" w:cs="Times New Roman"/>
                <w:color w:val="000000"/>
                <w:sz w:val="20"/>
                <w:szCs w:val="20"/>
                <w:lang w:val="en-US"/>
              </w:rPr>
            </w:pPr>
            <w:r w:rsidRPr="00AF7A1A">
              <w:rPr>
                <w:rFonts w:ascii="Times New Roman" w:hAnsi="Times New Roman" w:cs="Times New Roman"/>
                <w:color w:val="000000"/>
                <w:sz w:val="20"/>
                <w:szCs w:val="20"/>
              </w:rPr>
              <w:t>2.7 (1.7-4.4)</w:t>
            </w:r>
          </w:p>
        </w:tc>
      </w:tr>
      <w:tr w:rsidR="00820C51" w:rsidRPr="00AF7A1A" w14:paraId="10DD7CA4" w14:textId="77777777" w:rsidTr="00D30385">
        <w:trPr>
          <w:trHeight w:val="288"/>
        </w:trPr>
        <w:tc>
          <w:tcPr>
            <w:tcW w:w="772" w:type="dxa"/>
            <w:tcBorders>
              <w:top w:val="nil"/>
              <w:left w:val="nil"/>
              <w:bottom w:val="nil"/>
              <w:right w:val="nil"/>
            </w:tcBorders>
            <w:vAlign w:val="center"/>
          </w:tcPr>
          <w:p w14:paraId="4347936C" w14:textId="77777777" w:rsidR="00820C51" w:rsidRPr="00AF7A1A" w:rsidRDefault="00820C51" w:rsidP="00D30385">
            <w:pPr>
              <w:spacing w:after="0"/>
              <w:contextualSpacing/>
              <w:jc w:val="right"/>
              <w:rPr>
                <w:rFonts w:ascii="Times New Roman" w:eastAsia="Times New Roman" w:hAnsi="Times New Roman" w:cs="Times New Roman"/>
                <w:color w:val="000000"/>
                <w:sz w:val="20"/>
                <w:szCs w:val="20"/>
                <w:lang w:val="en-US"/>
              </w:rPr>
            </w:pPr>
            <w:r w:rsidRPr="00AF7A1A">
              <w:rPr>
                <w:rFonts w:ascii="Times New Roman" w:eastAsia="Times New Roman" w:hAnsi="Times New Roman" w:cs="Times New Roman"/>
                <w:color w:val="000000"/>
                <w:sz w:val="20"/>
                <w:szCs w:val="20"/>
                <w:lang w:val="en-US"/>
              </w:rPr>
              <w:t>16-17</w:t>
            </w:r>
          </w:p>
        </w:tc>
        <w:tc>
          <w:tcPr>
            <w:tcW w:w="1410" w:type="dxa"/>
            <w:tcBorders>
              <w:top w:val="nil"/>
              <w:left w:val="nil"/>
              <w:bottom w:val="nil"/>
              <w:right w:val="single" w:sz="4" w:space="0" w:color="auto"/>
            </w:tcBorders>
            <w:shd w:val="clear" w:color="auto" w:fill="auto"/>
            <w:noWrap/>
            <w:vAlign w:val="center"/>
          </w:tcPr>
          <w:p w14:paraId="2BEF7911" w14:textId="77777777" w:rsidR="00820C51" w:rsidRPr="00AF7A1A" w:rsidRDefault="00820C51" w:rsidP="00D30385">
            <w:pPr>
              <w:spacing w:after="0"/>
              <w:contextualSpacing/>
              <w:jc w:val="right"/>
              <w:rPr>
                <w:rFonts w:ascii="Times New Roman" w:eastAsia="Times New Roman" w:hAnsi="Times New Roman" w:cs="Times New Roman"/>
                <w:color w:val="000000"/>
                <w:sz w:val="20"/>
                <w:szCs w:val="20"/>
                <w:lang w:val="en-US"/>
              </w:rPr>
            </w:pPr>
            <w:r w:rsidRPr="00AF7A1A">
              <w:rPr>
                <w:rFonts w:ascii="Times New Roman" w:eastAsia="Times New Roman" w:hAnsi="Times New Roman" w:cs="Times New Roman"/>
                <w:color w:val="000000"/>
                <w:sz w:val="20"/>
                <w:szCs w:val="20"/>
                <w:lang w:val="en-US"/>
              </w:rPr>
              <w:t>Female</w:t>
            </w:r>
          </w:p>
        </w:tc>
        <w:tc>
          <w:tcPr>
            <w:tcW w:w="2104" w:type="dxa"/>
            <w:tcBorders>
              <w:top w:val="nil"/>
              <w:left w:val="single" w:sz="4" w:space="0" w:color="auto"/>
              <w:bottom w:val="nil"/>
              <w:right w:val="nil"/>
            </w:tcBorders>
            <w:shd w:val="clear" w:color="auto" w:fill="auto"/>
            <w:noWrap/>
            <w:vAlign w:val="center"/>
          </w:tcPr>
          <w:p w14:paraId="1D044B0F" w14:textId="77777777" w:rsidR="00820C51" w:rsidRPr="00AF7A1A" w:rsidRDefault="00820C51" w:rsidP="00D30385">
            <w:pPr>
              <w:spacing w:after="0"/>
              <w:contextualSpacing/>
              <w:jc w:val="right"/>
              <w:rPr>
                <w:rFonts w:ascii="Times New Roman" w:eastAsia="Times New Roman" w:hAnsi="Times New Roman" w:cs="Times New Roman"/>
                <w:color w:val="000000"/>
                <w:sz w:val="20"/>
                <w:szCs w:val="20"/>
                <w:lang w:val="en-US"/>
              </w:rPr>
            </w:pPr>
            <w:r w:rsidRPr="00AF7A1A">
              <w:rPr>
                <w:rFonts w:ascii="Times New Roman" w:hAnsi="Times New Roman" w:cs="Times New Roman"/>
                <w:color w:val="000000"/>
                <w:sz w:val="20"/>
                <w:szCs w:val="20"/>
              </w:rPr>
              <w:t>17.7 (15.1-20.7)</w:t>
            </w:r>
          </w:p>
        </w:tc>
        <w:tc>
          <w:tcPr>
            <w:tcW w:w="1759" w:type="dxa"/>
            <w:tcBorders>
              <w:top w:val="nil"/>
              <w:left w:val="nil"/>
              <w:bottom w:val="nil"/>
              <w:right w:val="nil"/>
            </w:tcBorders>
            <w:vAlign w:val="center"/>
          </w:tcPr>
          <w:p w14:paraId="48C035AC" w14:textId="77777777" w:rsidR="00820C51" w:rsidRPr="00AF7A1A" w:rsidRDefault="00820C51" w:rsidP="00D30385">
            <w:pPr>
              <w:spacing w:after="0"/>
              <w:contextualSpacing/>
              <w:jc w:val="right"/>
              <w:rPr>
                <w:rFonts w:ascii="Times New Roman" w:eastAsia="Times New Roman" w:hAnsi="Times New Roman" w:cs="Times New Roman"/>
                <w:color w:val="000000"/>
                <w:sz w:val="20"/>
                <w:szCs w:val="20"/>
                <w:lang w:val="en-US"/>
              </w:rPr>
            </w:pPr>
            <w:r w:rsidRPr="00AF7A1A">
              <w:rPr>
                <w:rFonts w:ascii="Times New Roman" w:hAnsi="Times New Roman" w:cs="Times New Roman"/>
                <w:color w:val="000000"/>
                <w:sz w:val="20"/>
                <w:szCs w:val="20"/>
              </w:rPr>
              <w:t>16.8 (14.1-19.8)</w:t>
            </w:r>
          </w:p>
        </w:tc>
        <w:tc>
          <w:tcPr>
            <w:tcW w:w="1610" w:type="dxa"/>
            <w:tcBorders>
              <w:top w:val="nil"/>
              <w:left w:val="nil"/>
              <w:bottom w:val="nil"/>
              <w:right w:val="nil"/>
            </w:tcBorders>
            <w:vAlign w:val="center"/>
          </w:tcPr>
          <w:p w14:paraId="10D7DC4E" w14:textId="77777777" w:rsidR="00820C51" w:rsidRPr="00AF7A1A" w:rsidRDefault="00820C51" w:rsidP="00D30385">
            <w:pPr>
              <w:spacing w:after="0"/>
              <w:contextualSpacing/>
              <w:jc w:val="right"/>
              <w:rPr>
                <w:rFonts w:ascii="Times New Roman" w:eastAsia="Times New Roman" w:hAnsi="Times New Roman" w:cs="Times New Roman"/>
                <w:color w:val="000000"/>
                <w:sz w:val="20"/>
                <w:szCs w:val="20"/>
                <w:lang w:val="en-US"/>
              </w:rPr>
            </w:pPr>
            <w:r w:rsidRPr="00AF7A1A">
              <w:rPr>
                <w:rFonts w:ascii="Times New Roman" w:hAnsi="Times New Roman" w:cs="Times New Roman"/>
                <w:color w:val="000000"/>
                <w:sz w:val="20"/>
                <w:szCs w:val="20"/>
              </w:rPr>
              <w:t>15.4 (12.7-18.6)</w:t>
            </w:r>
          </w:p>
        </w:tc>
        <w:tc>
          <w:tcPr>
            <w:tcW w:w="1984" w:type="dxa"/>
            <w:tcBorders>
              <w:top w:val="nil"/>
              <w:left w:val="nil"/>
              <w:bottom w:val="nil"/>
              <w:right w:val="nil"/>
            </w:tcBorders>
            <w:shd w:val="clear" w:color="auto" w:fill="auto"/>
            <w:noWrap/>
            <w:vAlign w:val="center"/>
          </w:tcPr>
          <w:p w14:paraId="442B677D" w14:textId="77777777" w:rsidR="00820C51" w:rsidRPr="00AF7A1A" w:rsidRDefault="00820C51" w:rsidP="00D30385">
            <w:pPr>
              <w:spacing w:after="0"/>
              <w:contextualSpacing/>
              <w:jc w:val="right"/>
              <w:rPr>
                <w:rFonts w:ascii="Times New Roman" w:eastAsia="Times New Roman" w:hAnsi="Times New Roman" w:cs="Times New Roman"/>
                <w:color w:val="000000"/>
                <w:sz w:val="20"/>
                <w:szCs w:val="20"/>
                <w:lang w:val="en-US"/>
              </w:rPr>
            </w:pPr>
            <w:r w:rsidRPr="00AF7A1A">
              <w:rPr>
                <w:rFonts w:ascii="Times New Roman" w:hAnsi="Times New Roman" w:cs="Times New Roman"/>
                <w:color w:val="000000"/>
                <w:sz w:val="20"/>
                <w:szCs w:val="20"/>
              </w:rPr>
              <w:t>10.7 (8.3-13.6)</w:t>
            </w:r>
          </w:p>
        </w:tc>
        <w:tc>
          <w:tcPr>
            <w:tcW w:w="1560" w:type="dxa"/>
            <w:tcBorders>
              <w:top w:val="nil"/>
              <w:left w:val="nil"/>
              <w:bottom w:val="nil"/>
              <w:right w:val="nil"/>
            </w:tcBorders>
            <w:shd w:val="clear" w:color="auto" w:fill="auto"/>
            <w:noWrap/>
            <w:vAlign w:val="center"/>
          </w:tcPr>
          <w:p w14:paraId="502E075E" w14:textId="77777777" w:rsidR="00820C51" w:rsidRPr="00AF7A1A" w:rsidRDefault="00820C51" w:rsidP="00D30385">
            <w:pPr>
              <w:spacing w:after="0"/>
              <w:contextualSpacing/>
              <w:jc w:val="right"/>
              <w:rPr>
                <w:rFonts w:ascii="Times New Roman" w:eastAsia="Times New Roman" w:hAnsi="Times New Roman" w:cs="Times New Roman"/>
                <w:color w:val="000000"/>
                <w:sz w:val="20"/>
                <w:szCs w:val="20"/>
                <w:lang w:val="en-US"/>
              </w:rPr>
            </w:pPr>
            <w:r w:rsidRPr="00AF7A1A">
              <w:rPr>
                <w:rFonts w:ascii="Times New Roman" w:hAnsi="Times New Roman" w:cs="Times New Roman"/>
                <w:color w:val="000000"/>
                <w:sz w:val="20"/>
                <w:szCs w:val="20"/>
              </w:rPr>
              <w:t>4.7 (3.3-6.6)</w:t>
            </w:r>
          </w:p>
        </w:tc>
      </w:tr>
      <w:tr w:rsidR="00820C51" w:rsidRPr="00AF7A1A" w14:paraId="660B5516" w14:textId="77777777" w:rsidTr="00D30385">
        <w:trPr>
          <w:trHeight w:val="288"/>
        </w:trPr>
        <w:tc>
          <w:tcPr>
            <w:tcW w:w="772" w:type="dxa"/>
            <w:tcBorders>
              <w:top w:val="nil"/>
              <w:left w:val="nil"/>
              <w:bottom w:val="single" w:sz="4" w:space="0" w:color="auto"/>
              <w:right w:val="nil"/>
            </w:tcBorders>
            <w:vAlign w:val="center"/>
          </w:tcPr>
          <w:p w14:paraId="1C034ABD" w14:textId="77777777" w:rsidR="00820C51" w:rsidRPr="00AF7A1A" w:rsidRDefault="00820C51" w:rsidP="00D30385">
            <w:pPr>
              <w:spacing w:after="0"/>
              <w:contextualSpacing/>
              <w:jc w:val="right"/>
              <w:rPr>
                <w:rFonts w:ascii="Times New Roman" w:eastAsia="Times New Roman" w:hAnsi="Times New Roman" w:cs="Times New Roman"/>
                <w:color w:val="000000"/>
                <w:sz w:val="20"/>
                <w:szCs w:val="20"/>
                <w:lang w:val="en-US"/>
              </w:rPr>
            </w:pPr>
            <w:r w:rsidRPr="00AF7A1A">
              <w:rPr>
                <w:rFonts w:ascii="Times New Roman" w:eastAsia="Times New Roman" w:hAnsi="Times New Roman" w:cs="Times New Roman"/>
                <w:color w:val="000000"/>
                <w:sz w:val="20"/>
                <w:szCs w:val="20"/>
                <w:lang w:val="en-US"/>
              </w:rPr>
              <w:t>12-17</w:t>
            </w:r>
          </w:p>
        </w:tc>
        <w:tc>
          <w:tcPr>
            <w:tcW w:w="1410" w:type="dxa"/>
            <w:tcBorders>
              <w:top w:val="nil"/>
              <w:left w:val="nil"/>
              <w:bottom w:val="single" w:sz="4" w:space="0" w:color="auto"/>
              <w:right w:val="single" w:sz="4" w:space="0" w:color="auto"/>
            </w:tcBorders>
            <w:shd w:val="clear" w:color="auto" w:fill="auto"/>
            <w:noWrap/>
            <w:vAlign w:val="center"/>
          </w:tcPr>
          <w:p w14:paraId="4557001D" w14:textId="77777777" w:rsidR="00820C51" w:rsidRPr="00AF7A1A" w:rsidRDefault="00820C51" w:rsidP="00D30385">
            <w:pPr>
              <w:spacing w:after="0"/>
              <w:contextualSpacing/>
              <w:jc w:val="right"/>
              <w:rPr>
                <w:rFonts w:ascii="Times New Roman" w:eastAsia="Times New Roman" w:hAnsi="Times New Roman" w:cs="Times New Roman"/>
                <w:color w:val="000000"/>
                <w:sz w:val="20"/>
                <w:szCs w:val="20"/>
                <w:lang w:val="en-US"/>
              </w:rPr>
            </w:pPr>
            <w:r w:rsidRPr="00AF7A1A">
              <w:rPr>
                <w:rFonts w:ascii="Times New Roman" w:eastAsia="Times New Roman" w:hAnsi="Times New Roman" w:cs="Times New Roman"/>
                <w:color w:val="000000"/>
                <w:sz w:val="20"/>
                <w:szCs w:val="20"/>
                <w:lang w:val="en-US"/>
              </w:rPr>
              <w:t>Female</w:t>
            </w:r>
          </w:p>
        </w:tc>
        <w:tc>
          <w:tcPr>
            <w:tcW w:w="2104" w:type="dxa"/>
            <w:tcBorders>
              <w:top w:val="nil"/>
              <w:left w:val="single" w:sz="4" w:space="0" w:color="auto"/>
              <w:bottom w:val="single" w:sz="4" w:space="0" w:color="auto"/>
              <w:right w:val="nil"/>
            </w:tcBorders>
            <w:shd w:val="clear" w:color="auto" w:fill="auto"/>
            <w:noWrap/>
            <w:vAlign w:val="center"/>
          </w:tcPr>
          <w:p w14:paraId="35AC2F01" w14:textId="77777777" w:rsidR="00820C51" w:rsidRPr="00AF7A1A" w:rsidRDefault="00820C51" w:rsidP="00D30385">
            <w:pPr>
              <w:spacing w:after="0"/>
              <w:contextualSpacing/>
              <w:jc w:val="right"/>
              <w:rPr>
                <w:rFonts w:ascii="Times New Roman" w:eastAsia="Times New Roman" w:hAnsi="Times New Roman" w:cs="Times New Roman"/>
                <w:color w:val="000000"/>
                <w:sz w:val="20"/>
                <w:szCs w:val="20"/>
                <w:lang w:val="en-US"/>
              </w:rPr>
            </w:pPr>
            <w:r w:rsidRPr="00AF7A1A">
              <w:rPr>
                <w:rFonts w:ascii="Times New Roman" w:hAnsi="Times New Roman" w:cs="Times New Roman"/>
                <w:color w:val="000000"/>
                <w:sz w:val="20"/>
                <w:szCs w:val="20"/>
              </w:rPr>
              <w:t>12.7 (10.9-14.7)</w:t>
            </w:r>
          </w:p>
        </w:tc>
        <w:tc>
          <w:tcPr>
            <w:tcW w:w="1759" w:type="dxa"/>
            <w:tcBorders>
              <w:top w:val="nil"/>
              <w:left w:val="nil"/>
              <w:bottom w:val="single" w:sz="4" w:space="0" w:color="auto"/>
              <w:right w:val="nil"/>
            </w:tcBorders>
            <w:vAlign w:val="center"/>
          </w:tcPr>
          <w:p w14:paraId="2994045E" w14:textId="77777777" w:rsidR="00820C51" w:rsidRPr="00AF7A1A" w:rsidRDefault="00820C51" w:rsidP="00D30385">
            <w:pPr>
              <w:spacing w:after="0"/>
              <w:contextualSpacing/>
              <w:jc w:val="right"/>
              <w:rPr>
                <w:rFonts w:ascii="Times New Roman" w:eastAsia="Times New Roman" w:hAnsi="Times New Roman" w:cs="Times New Roman"/>
                <w:color w:val="000000"/>
                <w:sz w:val="20"/>
                <w:szCs w:val="20"/>
                <w:lang w:val="en-US"/>
              </w:rPr>
            </w:pPr>
            <w:r w:rsidRPr="00AF7A1A">
              <w:rPr>
                <w:rFonts w:ascii="Times New Roman" w:hAnsi="Times New Roman" w:cs="Times New Roman"/>
                <w:color w:val="000000"/>
                <w:sz w:val="20"/>
                <w:szCs w:val="20"/>
              </w:rPr>
              <w:t>12.3 (10.5-14.3)</w:t>
            </w:r>
          </w:p>
        </w:tc>
        <w:tc>
          <w:tcPr>
            <w:tcW w:w="1610" w:type="dxa"/>
            <w:tcBorders>
              <w:top w:val="nil"/>
              <w:left w:val="nil"/>
              <w:bottom w:val="single" w:sz="4" w:space="0" w:color="auto"/>
              <w:right w:val="nil"/>
            </w:tcBorders>
            <w:vAlign w:val="center"/>
          </w:tcPr>
          <w:p w14:paraId="2E785D2C" w14:textId="77777777" w:rsidR="00820C51" w:rsidRPr="00AF7A1A" w:rsidRDefault="00820C51" w:rsidP="00D30385">
            <w:pPr>
              <w:spacing w:after="0"/>
              <w:contextualSpacing/>
              <w:jc w:val="right"/>
              <w:rPr>
                <w:rFonts w:ascii="Times New Roman" w:eastAsia="Times New Roman" w:hAnsi="Times New Roman" w:cs="Times New Roman"/>
                <w:color w:val="000000"/>
                <w:sz w:val="20"/>
                <w:szCs w:val="20"/>
                <w:lang w:val="en-US"/>
              </w:rPr>
            </w:pPr>
            <w:r w:rsidRPr="00AF7A1A">
              <w:rPr>
                <w:rFonts w:ascii="Times New Roman" w:hAnsi="Times New Roman" w:cs="Times New Roman"/>
                <w:color w:val="000000"/>
                <w:sz w:val="20"/>
                <w:szCs w:val="20"/>
              </w:rPr>
              <w:t>10.7 (9.0-12.6)</w:t>
            </w:r>
          </w:p>
        </w:tc>
        <w:tc>
          <w:tcPr>
            <w:tcW w:w="1984" w:type="dxa"/>
            <w:tcBorders>
              <w:top w:val="nil"/>
              <w:left w:val="nil"/>
              <w:bottom w:val="single" w:sz="4" w:space="0" w:color="auto"/>
              <w:right w:val="nil"/>
            </w:tcBorders>
            <w:shd w:val="clear" w:color="auto" w:fill="auto"/>
            <w:noWrap/>
            <w:vAlign w:val="center"/>
          </w:tcPr>
          <w:p w14:paraId="5A9B1E59" w14:textId="77777777" w:rsidR="00820C51" w:rsidRPr="00AF7A1A" w:rsidRDefault="00820C51" w:rsidP="00D30385">
            <w:pPr>
              <w:spacing w:after="0"/>
              <w:contextualSpacing/>
              <w:jc w:val="right"/>
              <w:rPr>
                <w:rFonts w:ascii="Times New Roman" w:eastAsia="Times New Roman" w:hAnsi="Times New Roman" w:cs="Times New Roman"/>
                <w:color w:val="000000"/>
                <w:sz w:val="20"/>
                <w:szCs w:val="20"/>
                <w:lang w:val="en-US"/>
              </w:rPr>
            </w:pPr>
            <w:r w:rsidRPr="00AF7A1A">
              <w:rPr>
                <w:rFonts w:ascii="Times New Roman" w:hAnsi="Times New Roman" w:cs="Times New Roman"/>
                <w:color w:val="000000"/>
                <w:sz w:val="20"/>
                <w:szCs w:val="20"/>
              </w:rPr>
              <w:t>7.3 (5.9-9.0)</w:t>
            </w:r>
          </w:p>
        </w:tc>
        <w:tc>
          <w:tcPr>
            <w:tcW w:w="1560" w:type="dxa"/>
            <w:tcBorders>
              <w:top w:val="nil"/>
              <w:left w:val="nil"/>
              <w:bottom w:val="single" w:sz="4" w:space="0" w:color="auto"/>
              <w:right w:val="nil"/>
            </w:tcBorders>
            <w:shd w:val="clear" w:color="auto" w:fill="auto"/>
            <w:noWrap/>
            <w:vAlign w:val="center"/>
          </w:tcPr>
          <w:p w14:paraId="0BE83379" w14:textId="77777777" w:rsidR="00820C51" w:rsidRPr="00AF7A1A" w:rsidRDefault="00820C51" w:rsidP="00D30385">
            <w:pPr>
              <w:spacing w:after="0"/>
              <w:contextualSpacing/>
              <w:jc w:val="right"/>
              <w:rPr>
                <w:rFonts w:ascii="Times New Roman" w:eastAsia="Times New Roman" w:hAnsi="Times New Roman" w:cs="Times New Roman"/>
                <w:color w:val="000000"/>
                <w:sz w:val="20"/>
                <w:szCs w:val="20"/>
                <w:lang w:val="en-US"/>
              </w:rPr>
            </w:pPr>
            <w:r w:rsidRPr="00AF7A1A">
              <w:rPr>
                <w:rFonts w:ascii="Times New Roman" w:hAnsi="Times New Roman" w:cs="Times New Roman"/>
                <w:color w:val="000000"/>
                <w:sz w:val="20"/>
                <w:szCs w:val="20"/>
              </w:rPr>
              <w:t>3.4 (2.5-4.7)</w:t>
            </w:r>
          </w:p>
        </w:tc>
      </w:tr>
    </w:tbl>
    <w:p w14:paraId="5BCC2CAB" w14:textId="77777777" w:rsidR="00820C51" w:rsidRPr="00690D00" w:rsidRDefault="00820C51" w:rsidP="00820C51">
      <w:pPr>
        <w:spacing w:after="0"/>
        <w:rPr>
          <w:rFonts w:ascii="Arial Narrow" w:hAnsi="Arial Narrow" w:cs="Arial"/>
          <w:sz w:val="10"/>
          <w:szCs w:val="10"/>
          <w:vertAlign w:val="superscript"/>
        </w:rPr>
      </w:pPr>
    </w:p>
    <w:p w14:paraId="42DA89BE" w14:textId="261AED49" w:rsidR="00820C51" w:rsidRPr="00AF7A1A" w:rsidRDefault="00820C51" w:rsidP="00820C51">
      <w:pPr>
        <w:spacing w:after="0"/>
        <w:ind w:left="142" w:right="2618"/>
        <w:rPr>
          <w:rFonts w:ascii="Times New Roman" w:hAnsi="Times New Roman" w:cs="Times New Roman"/>
          <w:sz w:val="16"/>
          <w:szCs w:val="16"/>
        </w:rPr>
      </w:pPr>
      <w:r w:rsidRPr="00AF7A1A">
        <w:rPr>
          <w:rFonts w:ascii="Times New Roman" w:hAnsi="Times New Roman" w:cs="Times New Roman"/>
          <w:sz w:val="16"/>
          <w:szCs w:val="16"/>
          <w:vertAlign w:val="superscript"/>
        </w:rPr>
        <w:t>a</w:t>
      </w:r>
      <w:r w:rsidRPr="00AF7A1A">
        <w:rPr>
          <w:rFonts w:ascii="Times New Roman" w:hAnsi="Times New Roman" w:cs="Times New Roman"/>
          <w:sz w:val="16"/>
          <w:szCs w:val="16"/>
        </w:rPr>
        <w:t xml:space="preserve"> Self-harm aggregate: self-harm with or without suicidal intent (non-suicidal self-harm or attempts) in the past 12 months (primary outcome); </w:t>
      </w:r>
      <w:r w:rsidRPr="00AF7A1A">
        <w:rPr>
          <w:rFonts w:ascii="Times New Roman" w:hAnsi="Times New Roman" w:cs="Times New Roman"/>
          <w:sz w:val="16"/>
          <w:szCs w:val="16"/>
          <w:vertAlign w:val="superscript"/>
        </w:rPr>
        <w:t xml:space="preserve">b </w:t>
      </w:r>
      <w:r w:rsidRPr="00AF7A1A">
        <w:rPr>
          <w:rFonts w:ascii="Times New Roman" w:hAnsi="Times New Roman" w:cs="Times New Roman"/>
          <w:sz w:val="16"/>
          <w:szCs w:val="16"/>
        </w:rPr>
        <w:t xml:space="preserve">Suicidality: suicidal ideation, plans, or attempts in the past 12 months; </w:t>
      </w:r>
      <w:r w:rsidRPr="00AF7A1A">
        <w:rPr>
          <w:rFonts w:ascii="Times New Roman" w:hAnsi="Times New Roman" w:cs="Times New Roman"/>
          <w:sz w:val="16"/>
          <w:szCs w:val="16"/>
          <w:vertAlign w:val="superscript"/>
        </w:rPr>
        <w:t xml:space="preserve">c </w:t>
      </w:r>
      <w:r w:rsidRPr="00AF7A1A">
        <w:rPr>
          <w:rFonts w:ascii="Times New Roman" w:hAnsi="Times New Roman" w:cs="Times New Roman"/>
          <w:sz w:val="16"/>
          <w:szCs w:val="16"/>
        </w:rPr>
        <w:t>Ideation/plans: suicidal ideation or planning only in the past 12 months (suicide attempts excluded from variable); 95% CI = 95% confidence interval</w:t>
      </w:r>
      <w:r w:rsidR="00E70E39">
        <w:rPr>
          <w:rFonts w:ascii="Times New Roman" w:hAnsi="Times New Roman" w:cs="Times New Roman"/>
          <w:sz w:val="16"/>
          <w:szCs w:val="16"/>
        </w:rPr>
        <w:t xml:space="preserve">; YMM = Young Minds Matter. </w:t>
      </w:r>
    </w:p>
    <w:p w14:paraId="5A49FED2" w14:textId="63C19D72" w:rsidR="00820C51" w:rsidRDefault="00820C51" w:rsidP="005338DF">
      <w:pPr>
        <w:rPr>
          <w:rFonts w:ascii="Times New Roman" w:hAnsi="Times New Roman" w:cs="Times New Roman"/>
          <w:sz w:val="24"/>
          <w:szCs w:val="24"/>
        </w:rPr>
      </w:pPr>
    </w:p>
    <w:p w14:paraId="15C2127B" w14:textId="514BBA05" w:rsidR="00820C51" w:rsidRDefault="00820C51" w:rsidP="005338DF">
      <w:pPr>
        <w:rPr>
          <w:rFonts w:ascii="Times New Roman" w:hAnsi="Times New Roman" w:cs="Times New Roman"/>
          <w:sz w:val="24"/>
          <w:szCs w:val="24"/>
        </w:rPr>
      </w:pPr>
    </w:p>
    <w:p w14:paraId="612C3AA4" w14:textId="6B63A9EE" w:rsidR="00820C51" w:rsidRDefault="00820C51" w:rsidP="005338DF">
      <w:pPr>
        <w:rPr>
          <w:rFonts w:ascii="Times New Roman" w:hAnsi="Times New Roman" w:cs="Times New Roman"/>
          <w:sz w:val="24"/>
          <w:szCs w:val="24"/>
        </w:rPr>
      </w:pPr>
    </w:p>
    <w:p w14:paraId="697B089E" w14:textId="30068AAA" w:rsidR="00F647D3" w:rsidRDefault="00F647D3" w:rsidP="005338DF">
      <w:pPr>
        <w:rPr>
          <w:rFonts w:ascii="Times New Roman" w:hAnsi="Times New Roman" w:cs="Times New Roman"/>
          <w:sz w:val="24"/>
          <w:szCs w:val="24"/>
        </w:rPr>
      </w:pPr>
    </w:p>
    <w:p w14:paraId="2DFD0BC8" w14:textId="77777777" w:rsidR="00F647D3" w:rsidRDefault="00F647D3" w:rsidP="005338DF">
      <w:pPr>
        <w:rPr>
          <w:rFonts w:ascii="Times New Roman" w:hAnsi="Times New Roman" w:cs="Times New Roman"/>
          <w:sz w:val="24"/>
          <w:szCs w:val="24"/>
        </w:rPr>
        <w:sectPr w:rsidR="00F647D3" w:rsidSect="007F24EE">
          <w:footerReference w:type="first" r:id="rId13"/>
          <w:pgSz w:w="16838" w:h="11906" w:orient="landscape"/>
          <w:pgMar w:top="1440" w:right="1440" w:bottom="1440" w:left="1440" w:header="708" w:footer="708" w:gutter="0"/>
          <w:pgNumType w:start="8"/>
          <w:cols w:space="708"/>
          <w:titlePg/>
          <w:docGrid w:linePitch="360"/>
        </w:sectPr>
      </w:pPr>
    </w:p>
    <w:p w14:paraId="5CA24501" w14:textId="32590948" w:rsidR="00820C51" w:rsidRPr="00BE50B8" w:rsidRDefault="00820C51" w:rsidP="00820C51">
      <w:pPr>
        <w:spacing w:after="0"/>
        <w:ind w:left="-567" w:right="-501"/>
        <w:rPr>
          <w:rFonts w:ascii="Times New Roman" w:hAnsi="Times New Roman" w:cs="Times New Roman"/>
        </w:rPr>
      </w:pPr>
      <w:r w:rsidRPr="00BE50B8">
        <w:rPr>
          <w:rFonts w:ascii="Times New Roman" w:hAnsi="Times New Roman" w:cs="Times New Roman"/>
          <w:b/>
          <w:bCs/>
        </w:rPr>
        <w:lastRenderedPageBreak/>
        <w:t xml:space="preserve">Table </w:t>
      </w:r>
      <w:r>
        <w:rPr>
          <w:rFonts w:ascii="Times New Roman" w:hAnsi="Times New Roman" w:cs="Times New Roman"/>
          <w:b/>
          <w:bCs/>
        </w:rPr>
        <w:t>S2</w:t>
      </w:r>
      <w:r w:rsidRPr="00BE50B8">
        <w:rPr>
          <w:rFonts w:ascii="Times New Roman" w:hAnsi="Times New Roman" w:cs="Times New Roman"/>
          <w:b/>
          <w:bCs/>
        </w:rPr>
        <w:t>.</w:t>
      </w:r>
      <w:r w:rsidRPr="00BE50B8">
        <w:rPr>
          <w:rFonts w:ascii="Times New Roman" w:hAnsi="Times New Roman" w:cs="Times New Roman"/>
        </w:rPr>
        <w:t xml:space="preserve"> Univariable and multivariable associations between individual-level variables and individual-level self-harm </w:t>
      </w:r>
      <w:r w:rsidR="00E70E39">
        <w:rPr>
          <w:rFonts w:ascii="Times New Roman" w:hAnsi="Times New Roman" w:cs="Times New Roman"/>
        </w:rPr>
        <w:t>(n=2,578)</w:t>
      </w:r>
      <w:r w:rsidRPr="00BE50B8">
        <w:rPr>
          <w:rFonts w:ascii="Times New Roman" w:hAnsi="Times New Roman" w:cs="Times New Roman"/>
        </w:rPr>
        <w:t xml:space="preserve"> </w:t>
      </w:r>
    </w:p>
    <w:tbl>
      <w:tblPr>
        <w:tblpPr w:leftFromText="180" w:rightFromText="180" w:vertAnchor="text" w:horzAnchor="page" w:tblpX="889" w:tblpY="172"/>
        <w:tblW w:w="10963" w:type="dxa"/>
        <w:tblLayout w:type="fixed"/>
        <w:tblLook w:val="04A0" w:firstRow="1" w:lastRow="0" w:firstColumn="1" w:lastColumn="0" w:noHBand="0" w:noVBand="1"/>
      </w:tblPr>
      <w:tblGrid>
        <w:gridCol w:w="3686"/>
        <w:gridCol w:w="1766"/>
        <w:gridCol w:w="1636"/>
        <w:gridCol w:w="1051"/>
        <w:gridCol w:w="1751"/>
        <w:gridCol w:w="1073"/>
      </w:tblGrid>
      <w:tr w:rsidR="00820C51" w:rsidRPr="00BE50B8" w14:paraId="75AEFF2D" w14:textId="77777777" w:rsidTr="00D30385">
        <w:trPr>
          <w:trHeight w:val="262"/>
        </w:trPr>
        <w:tc>
          <w:tcPr>
            <w:tcW w:w="3686" w:type="dxa"/>
            <w:vMerge w:val="restart"/>
            <w:tcBorders>
              <w:top w:val="single" w:sz="4" w:space="0" w:color="auto"/>
              <w:left w:val="nil"/>
              <w:right w:val="nil"/>
            </w:tcBorders>
            <w:shd w:val="clear" w:color="auto" w:fill="D9D9D9" w:themeFill="background1" w:themeFillShade="D9"/>
            <w:noWrap/>
          </w:tcPr>
          <w:p w14:paraId="583E159F" w14:textId="77777777" w:rsidR="00820C51" w:rsidRPr="00BE50B8" w:rsidRDefault="00820C51" w:rsidP="00D30385">
            <w:pPr>
              <w:spacing w:after="0"/>
              <w:rPr>
                <w:rFonts w:ascii="Times New Roman" w:eastAsia="Times New Roman" w:hAnsi="Times New Roman" w:cs="Times New Roman"/>
                <w:b/>
                <w:bCs/>
                <w:sz w:val="20"/>
                <w:szCs w:val="20"/>
                <w:lang w:val="en-US"/>
              </w:rPr>
            </w:pPr>
            <w:r w:rsidRPr="00BE50B8">
              <w:rPr>
                <w:rFonts w:ascii="Times New Roman" w:eastAsia="Times New Roman" w:hAnsi="Times New Roman" w:cs="Times New Roman"/>
                <w:b/>
                <w:bCs/>
                <w:sz w:val="20"/>
                <w:szCs w:val="20"/>
                <w:lang w:val="en-US"/>
              </w:rPr>
              <w:t>Variable</w:t>
            </w:r>
          </w:p>
        </w:tc>
        <w:tc>
          <w:tcPr>
            <w:tcW w:w="1766" w:type="dxa"/>
            <w:vMerge w:val="restart"/>
            <w:tcBorders>
              <w:top w:val="single" w:sz="4" w:space="0" w:color="auto"/>
              <w:left w:val="nil"/>
              <w:right w:val="nil"/>
            </w:tcBorders>
            <w:shd w:val="clear" w:color="auto" w:fill="D9D9D9" w:themeFill="background1" w:themeFillShade="D9"/>
          </w:tcPr>
          <w:p w14:paraId="60D061EE" w14:textId="77777777" w:rsidR="00820C51" w:rsidRPr="00BE50B8" w:rsidRDefault="00820C51" w:rsidP="00D30385">
            <w:pPr>
              <w:spacing w:after="0"/>
              <w:rPr>
                <w:rFonts w:ascii="Times New Roman" w:eastAsia="Times New Roman" w:hAnsi="Times New Roman" w:cs="Times New Roman"/>
                <w:b/>
                <w:bCs/>
                <w:sz w:val="20"/>
                <w:szCs w:val="20"/>
                <w:lang w:val="en-US"/>
              </w:rPr>
            </w:pPr>
            <w:r w:rsidRPr="00BE50B8">
              <w:rPr>
                <w:rFonts w:ascii="Times New Roman" w:eastAsia="Times New Roman" w:hAnsi="Times New Roman" w:cs="Times New Roman"/>
                <w:b/>
                <w:bCs/>
                <w:sz w:val="20"/>
                <w:szCs w:val="20"/>
                <w:lang w:val="en-US"/>
              </w:rPr>
              <w:t>Category</w:t>
            </w:r>
          </w:p>
        </w:tc>
        <w:tc>
          <w:tcPr>
            <w:tcW w:w="1636" w:type="dxa"/>
            <w:tcBorders>
              <w:top w:val="single" w:sz="4" w:space="0" w:color="auto"/>
              <w:left w:val="nil"/>
              <w:bottom w:val="nil"/>
              <w:right w:val="nil"/>
            </w:tcBorders>
            <w:shd w:val="clear" w:color="auto" w:fill="D9D9D9" w:themeFill="background1" w:themeFillShade="D9"/>
          </w:tcPr>
          <w:p w14:paraId="3549DA41" w14:textId="77777777" w:rsidR="00820C51" w:rsidRPr="00BE50B8" w:rsidRDefault="00820C51" w:rsidP="00D30385">
            <w:pPr>
              <w:spacing w:after="0"/>
              <w:jc w:val="center"/>
              <w:rPr>
                <w:rFonts w:ascii="Times New Roman" w:eastAsia="Times New Roman" w:hAnsi="Times New Roman" w:cs="Times New Roman"/>
                <w:b/>
                <w:bCs/>
                <w:sz w:val="20"/>
                <w:szCs w:val="20"/>
                <w:lang w:val="en-US"/>
              </w:rPr>
            </w:pPr>
            <w:r w:rsidRPr="00BE50B8">
              <w:rPr>
                <w:rFonts w:ascii="Times New Roman" w:eastAsia="Times New Roman" w:hAnsi="Times New Roman" w:cs="Times New Roman"/>
                <w:b/>
                <w:bCs/>
                <w:sz w:val="20"/>
                <w:szCs w:val="20"/>
                <w:lang w:val="en-US"/>
              </w:rPr>
              <w:t>Univariable</w:t>
            </w:r>
          </w:p>
        </w:tc>
        <w:tc>
          <w:tcPr>
            <w:tcW w:w="1051" w:type="dxa"/>
            <w:vMerge w:val="restart"/>
            <w:tcBorders>
              <w:top w:val="single" w:sz="4" w:space="0" w:color="auto"/>
              <w:left w:val="nil"/>
              <w:right w:val="nil"/>
            </w:tcBorders>
            <w:shd w:val="clear" w:color="auto" w:fill="D9D9D9" w:themeFill="background1" w:themeFillShade="D9"/>
          </w:tcPr>
          <w:p w14:paraId="6D46AD94" w14:textId="77777777" w:rsidR="00820C51" w:rsidRPr="00BE50B8" w:rsidRDefault="00820C51" w:rsidP="00D30385">
            <w:pPr>
              <w:spacing w:after="0"/>
              <w:jc w:val="center"/>
              <w:rPr>
                <w:rFonts w:ascii="Times New Roman" w:eastAsia="Times New Roman" w:hAnsi="Times New Roman" w:cs="Times New Roman"/>
                <w:b/>
                <w:bCs/>
                <w:sz w:val="20"/>
                <w:szCs w:val="20"/>
                <w:lang w:val="en-US"/>
              </w:rPr>
            </w:pPr>
            <w:r w:rsidRPr="00BE50B8">
              <w:rPr>
                <w:rFonts w:ascii="Times New Roman" w:eastAsia="Times New Roman" w:hAnsi="Times New Roman" w:cs="Times New Roman"/>
                <w:b/>
                <w:bCs/>
                <w:sz w:val="20"/>
                <w:szCs w:val="20"/>
                <w:lang w:val="en-US"/>
              </w:rPr>
              <w:t>p-value</w:t>
            </w:r>
          </w:p>
        </w:tc>
        <w:tc>
          <w:tcPr>
            <w:tcW w:w="1751" w:type="dxa"/>
            <w:tcBorders>
              <w:top w:val="single" w:sz="4" w:space="0" w:color="auto"/>
              <w:left w:val="nil"/>
              <w:bottom w:val="nil"/>
              <w:right w:val="nil"/>
            </w:tcBorders>
            <w:shd w:val="clear" w:color="auto" w:fill="D9D9D9" w:themeFill="background1" w:themeFillShade="D9"/>
            <w:noWrap/>
          </w:tcPr>
          <w:p w14:paraId="4B7DE8EC" w14:textId="77777777" w:rsidR="00820C51" w:rsidRPr="00BE50B8" w:rsidRDefault="00820C51" w:rsidP="00D30385">
            <w:pPr>
              <w:spacing w:after="0"/>
              <w:jc w:val="center"/>
              <w:rPr>
                <w:rFonts w:ascii="Times New Roman" w:eastAsia="Times New Roman" w:hAnsi="Times New Roman" w:cs="Times New Roman"/>
                <w:b/>
                <w:bCs/>
                <w:sz w:val="20"/>
                <w:szCs w:val="20"/>
                <w:lang w:val="en-US"/>
              </w:rPr>
            </w:pPr>
            <w:r w:rsidRPr="00BE50B8">
              <w:rPr>
                <w:rFonts w:ascii="Times New Roman" w:eastAsia="Times New Roman" w:hAnsi="Times New Roman" w:cs="Times New Roman"/>
                <w:b/>
                <w:bCs/>
                <w:sz w:val="20"/>
                <w:szCs w:val="20"/>
                <w:lang w:val="en-US"/>
              </w:rPr>
              <w:t>Multivariable</w:t>
            </w:r>
          </w:p>
        </w:tc>
        <w:tc>
          <w:tcPr>
            <w:tcW w:w="1073" w:type="dxa"/>
            <w:vMerge w:val="restart"/>
            <w:tcBorders>
              <w:top w:val="single" w:sz="4" w:space="0" w:color="auto"/>
              <w:left w:val="nil"/>
              <w:right w:val="nil"/>
            </w:tcBorders>
            <w:shd w:val="clear" w:color="auto" w:fill="D9D9D9" w:themeFill="background1" w:themeFillShade="D9"/>
            <w:noWrap/>
          </w:tcPr>
          <w:p w14:paraId="385D7DC7" w14:textId="77777777" w:rsidR="00820C51" w:rsidRPr="00BE50B8" w:rsidRDefault="00820C51" w:rsidP="00D30385">
            <w:pPr>
              <w:spacing w:after="0"/>
              <w:jc w:val="center"/>
              <w:rPr>
                <w:rFonts w:ascii="Times New Roman" w:eastAsia="Times New Roman" w:hAnsi="Times New Roman" w:cs="Times New Roman"/>
                <w:b/>
                <w:bCs/>
                <w:sz w:val="20"/>
                <w:szCs w:val="20"/>
                <w:lang w:val="en-US"/>
              </w:rPr>
            </w:pPr>
            <w:r w:rsidRPr="00BE50B8">
              <w:rPr>
                <w:rFonts w:ascii="Times New Roman" w:eastAsia="Times New Roman" w:hAnsi="Times New Roman" w:cs="Times New Roman"/>
                <w:b/>
                <w:bCs/>
                <w:sz w:val="20"/>
                <w:szCs w:val="20"/>
                <w:lang w:val="en-US"/>
              </w:rPr>
              <w:t>p-value</w:t>
            </w:r>
          </w:p>
        </w:tc>
      </w:tr>
      <w:tr w:rsidR="00820C51" w:rsidRPr="00BE50B8" w14:paraId="6B47BFA1" w14:textId="77777777" w:rsidTr="00D30385">
        <w:trPr>
          <w:trHeight w:val="262"/>
        </w:trPr>
        <w:tc>
          <w:tcPr>
            <w:tcW w:w="3686" w:type="dxa"/>
            <w:vMerge/>
            <w:tcBorders>
              <w:left w:val="nil"/>
              <w:bottom w:val="single" w:sz="4" w:space="0" w:color="auto"/>
              <w:right w:val="nil"/>
            </w:tcBorders>
            <w:shd w:val="clear" w:color="auto" w:fill="D9D9D9" w:themeFill="background1" w:themeFillShade="D9"/>
            <w:noWrap/>
            <w:vAlign w:val="center"/>
          </w:tcPr>
          <w:p w14:paraId="558050EA" w14:textId="77777777" w:rsidR="00820C51" w:rsidRPr="00BE50B8" w:rsidRDefault="00820C51" w:rsidP="00D30385">
            <w:pPr>
              <w:spacing w:after="0"/>
              <w:rPr>
                <w:rFonts w:ascii="Times New Roman" w:eastAsia="Times New Roman" w:hAnsi="Times New Roman" w:cs="Times New Roman"/>
                <w:b/>
                <w:bCs/>
                <w:sz w:val="20"/>
                <w:szCs w:val="20"/>
                <w:lang w:val="en-US"/>
              </w:rPr>
            </w:pPr>
          </w:p>
        </w:tc>
        <w:tc>
          <w:tcPr>
            <w:tcW w:w="1766" w:type="dxa"/>
            <w:vMerge/>
            <w:tcBorders>
              <w:left w:val="nil"/>
              <w:bottom w:val="single" w:sz="4" w:space="0" w:color="auto"/>
              <w:right w:val="nil"/>
            </w:tcBorders>
            <w:shd w:val="clear" w:color="auto" w:fill="D9D9D9" w:themeFill="background1" w:themeFillShade="D9"/>
            <w:vAlign w:val="center"/>
          </w:tcPr>
          <w:p w14:paraId="36AD0CAE" w14:textId="77777777" w:rsidR="00820C51" w:rsidRPr="00BE50B8" w:rsidRDefault="00820C51" w:rsidP="00D30385">
            <w:pPr>
              <w:spacing w:after="0"/>
              <w:rPr>
                <w:rFonts w:ascii="Times New Roman" w:eastAsia="Times New Roman" w:hAnsi="Times New Roman" w:cs="Times New Roman"/>
                <w:b/>
                <w:bCs/>
                <w:sz w:val="20"/>
                <w:szCs w:val="20"/>
                <w:lang w:val="en-US"/>
              </w:rPr>
            </w:pPr>
          </w:p>
        </w:tc>
        <w:tc>
          <w:tcPr>
            <w:tcW w:w="1636" w:type="dxa"/>
            <w:tcBorders>
              <w:left w:val="nil"/>
              <w:bottom w:val="single" w:sz="4" w:space="0" w:color="auto"/>
              <w:right w:val="nil"/>
            </w:tcBorders>
            <w:shd w:val="clear" w:color="auto" w:fill="D9D9D9" w:themeFill="background1" w:themeFillShade="D9"/>
            <w:vAlign w:val="center"/>
          </w:tcPr>
          <w:p w14:paraId="27CC49BA" w14:textId="77777777" w:rsidR="00820C51" w:rsidRPr="00BE50B8" w:rsidRDefault="00820C51" w:rsidP="00D30385">
            <w:pPr>
              <w:spacing w:after="0"/>
              <w:jc w:val="center"/>
              <w:rPr>
                <w:rFonts w:ascii="Times New Roman" w:eastAsia="Times New Roman" w:hAnsi="Times New Roman" w:cs="Times New Roman"/>
                <w:b/>
                <w:bCs/>
                <w:sz w:val="20"/>
                <w:szCs w:val="20"/>
                <w:lang w:val="en-US"/>
              </w:rPr>
            </w:pPr>
            <w:r w:rsidRPr="00BE50B8">
              <w:rPr>
                <w:rFonts w:ascii="Times New Roman" w:eastAsia="Times New Roman" w:hAnsi="Times New Roman" w:cs="Times New Roman"/>
                <w:b/>
                <w:bCs/>
                <w:sz w:val="20"/>
                <w:szCs w:val="20"/>
                <w:lang w:val="en-US"/>
              </w:rPr>
              <w:t>OR (95% CI)</w:t>
            </w:r>
          </w:p>
        </w:tc>
        <w:tc>
          <w:tcPr>
            <w:tcW w:w="1051" w:type="dxa"/>
            <w:vMerge/>
            <w:tcBorders>
              <w:left w:val="nil"/>
              <w:bottom w:val="single" w:sz="4" w:space="0" w:color="auto"/>
              <w:right w:val="nil"/>
            </w:tcBorders>
            <w:shd w:val="clear" w:color="auto" w:fill="D9D9D9" w:themeFill="background1" w:themeFillShade="D9"/>
            <w:vAlign w:val="center"/>
          </w:tcPr>
          <w:p w14:paraId="6335283B" w14:textId="77777777" w:rsidR="00820C51" w:rsidRPr="00BE50B8" w:rsidRDefault="00820C51" w:rsidP="00D30385">
            <w:pPr>
              <w:spacing w:after="0"/>
              <w:jc w:val="center"/>
              <w:rPr>
                <w:rFonts w:ascii="Times New Roman" w:eastAsia="Times New Roman" w:hAnsi="Times New Roman" w:cs="Times New Roman"/>
                <w:b/>
                <w:bCs/>
                <w:sz w:val="20"/>
                <w:szCs w:val="20"/>
                <w:lang w:val="en-US"/>
              </w:rPr>
            </w:pPr>
          </w:p>
        </w:tc>
        <w:tc>
          <w:tcPr>
            <w:tcW w:w="1751" w:type="dxa"/>
            <w:tcBorders>
              <w:left w:val="nil"/>
              <w:bottom w:val="single" w:sz="4" w:space="0" w:color="auto"/>
              <w:right w:val="nil"/>
            </w:tcBorders>
            <w:shd w:val="clear" w:color="auto" w:fill="D9D9D9" w:themeFill="background1" w:themeFillShade="D9"/>
            <w:noWrap/>
            <w:vAlign w:val="center"/>
          </w:tcPr>
          <w:p w14:paraId="09553A1A" w14:textId="77777777" w:rsidR="00820C51" w:rsidRPr="00BE50B8" w:rsidRDefault="00820C51" w:rsidP="00D30385">
            <w:pPr>
              <w:spacing w:after="0"/>
              <w:jc w:val="center"/>
              <w:rPr>
                <w:rFonts w:ascii="Times New Roman" w:eastAsia="Times New Roman" w:hAnsi="Times New Roman" w:cs="Times New Roman"/>
                <w:b/>
                <w:bCs/>
                <w:sz w:val="20"/>
                <w:szCs w:val="20"/>
                <w:lang w:val="en-US"/>
              </w:rPr>
            </w:pPr>
            <w:r w:rsidRPr="00BE50B8">
              <w:rPr>
                <w:rFonts w:ascii="Times New Roman" w:eastAsia="Times New Roman" w:hAnsi="Times New Roman" w:cs="Times New Roman"/>
                <w:b/>
                <w:bCs/>
                <w:sz w:val="20"/>
                <w:szCs w:val="20"/>
                <w:lang w:val="en-US"/>
              </w:rPr>
              <w:t>OR (95% CI)</w:t>
            </w:r>
          </w:p>
        </w:tc>
        <w:tc>
          <w:tcPr>
            <w:tcW w:w="1073" w:type="dxa"/>
            <w:vMerge/>
            <w:tcBorders>
              <w:left w:val="nil"/>
              <w:bottom w:val="single" w:sz="4" w:space="0" w:color="auto"/>
              <w:right w:val="nil"/>
            </w:tcBorders>
            <w:shd w:val="clear" w:color="auto" w:fill="D9D9D9" w:themeFill="background1" w:themeFillShade="D9"/>
            <w:noWrap/>
            <w:vAlign w:val="center"/>
          </w:tcPr>
          <w:p w14:paraId="25A2A2AE" w14:textId="77777777" w:rsidR="00820C51" w:rsidRPr="00BE50B8" w:rsidRDefault="00820C51" w:rsidP="00D30385">
            <w:pPr>
              <w:spacing w:after="0"/>
              <w:jc w:val="center"/>
              <w:rPr>
                <w:rFonts w:ascii="Times New Roman" w:eastAsia="Times New Roman" w:hAnsi="Times New Roman" w:cs="Times New Roman"/>
                <w:b/>
                <w:bCs/>
                <w:sz w:val="20"/>
                <w:szCs w:val="20"/>
                <w:lang w:val="en-US"/>
              </w:rPr>
            </w:pPr>
          </w:p>
        </w:tc>
      </w:tr>
      <w:tr w:rsidR="00820C51" w:rsidRPr="00BE50B8" w14:paraId="2A16E7FF" w14:textId="77777777" w:rsidTr="00D30385">
        <w:trPr>
          <w:trHeight w:val="262"/>
        </w:trPr>
        <w:tc>
          <w:tcPr>
            <w:tcW w:w="3686" w:type="dxa"/>
            <w:tcBorders>
              <w:top w:val="single" w:sz="4" w:space="0" w:color="auto"/>
              <w:left w:val="nil"/>
              <w:bottom w:val="nil"/>
              <w:right w:val="nil"/>
            </w:tcBorders>
            <w:shd w:val="clear" w:color="auto" w:fill="auto"/>
            <w:noWrap/>
            <w:vAlign w:val="center"/>
            <w:hideMark/>
          </w:tcPr>
          <w:p w14:paraId="3A8F7C33" w14:textId="77777777" w:rsidR="00820C51" w:rsidRPr="00BE50B8" w:rsidRDefault="00820C51" w:rsidP="00D30385">
            <w:pPr>
              <w:spacing w:after="0"/>
              <w:rPr>
                <w:rFonts w:ascii="Times New Roman" w:eastAsia="Times New Roman" w:hAnsi="Times New Roman" w:cs="Times New Roman"/>
                <w:color w:val="000000"/>
                <w:sz w:val="20"/>
                <w:szCs w:val="20"/>
                <w:lang w:val="en-US"/>
              </w:rPr>
            </w:pPr>
            <w:r w:rsidRPr="00BE50B8">
              <w:rPr>
                <w:rFonts w:ascii="Times New Roman" w:eastAsia="Times New Roman" w:hAnsi="Times New Roman" w:cs="Times New Roman"/>
                <w:color w:val="000000"/>
                <w:sz w:val="20"/>
                <w:szCs w:val="20"/>
                <w:lang w:val="en-US"/>
              </w:rPr>
              <w:t>Sex</w:t>
            </w:r>
          </w:p>
        </w:tc>
        <w:tc>
          <w:tcPr>
            <w:tcW w:w="1766" w:type="dxa"/>
            <w:tcBorders>
              <w:top w:val="single" w:sz="4" w:space="0" w:color="auto"/>
              <w:left w:val="nil"/>
              <w:bottom w:val="nil"/>
              <w:right w:val="nil"/>
            </w:tcBorders>
            <w:vAlign w:val="center"/>
          </w:tcPr>
          <w:p w14:paraId="2D9C7BFB" w14:textId="77777777" w:rsidR="00820C51" w:rsidRPr="00BE50B8" w:rsidRDefault="00820C51" w:rsidP="00D30385">
            <w:pPr>
              <w:spacing w:after="0"/>
              <w:rPr>
                <w:rFonts w:ascii="Times New Roman" w:eastAsia="Times New Roman" w:hAnsi="Times New Roman" w:cs="Times New Roman"/>
                <w:color w:val="000000"/>
                <w:sz w:val="20"/>
                <w:szCs w:val="20"/>
                <w:lang w:val="en-US"/>
              </w:rPr>
            </w:pPr>
            <w:r w:rsidRPr="00BE50B8">
              <w:rPr>
                <w:rFonts w:ascii="Times New Roman" w:eastAsia="Times New Roman" w:hAnsi="Times New Roman" w:cs="Times New Roman"/>
                <w:color w:val="000000"/>
                <w:sz w:val="20"/>
                <w:szCs w:val="20"/>
                <w:lang w:val="en-US"/>
              </w:rPr>
              <w:t>Male</w:t>
            </w:r>
          </w:p>
        </w:tc>
        <w:tc>
          <w:tcPr>
            <w:tcW w:w="1636" w:type="dxa"/>
            <w:tcBorders>
              <w:top w:val="single" w:sz="4" w:space="0" w:color="auto"/>
              <w:left w:val="nil"/>
              <w:bottom w:val="nil"/>
              <w:right w:val="nil"/>
            </w:tcBorders>
            <w:vAlign w:val="center"/>
          </w:tcPr>
          <w:p w14:paraId="674D22A6"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Reference</w:t>
            </w:r>
          </w:p>
        </w:tc>
        <w:tc>
          <w:tcPr>
            <w:tcW w:w="1051" w:type="dxa"/>
            <w:tcBorders>
              <w:top w:val="single" w:sz="4" w:space="0" w:color="auto"/>
              <w:left w:val="nil"/>
              <w:bottom w:val="nil"/>
              <w:right w:val="nil"/>
            </w:tcBorders>
            <w:vAlign w:val="center"/>
          </w:tcPr>
          <w:p w14:paraId="15372BAD"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p>
        </w:tc>
        <w:tc>
          <w:tcPr>
            <w:tcW w:w="1751" w:type="dxa"/>
            <w:tcBorders>
              <w:top w:val="single" w:sz="4" w:space="0" w:color="auto"/>
              <w:left w:val="nil"/>
              <w:bottom w:val="nil"/>
              <w:right w:val="nil"/>
            </w:tcBorders>
            <w:shd w:val="clear" w:color="auto" w:fill="auto"/>
            <w:noWrap/>
            <w:vAlign w:val="center"/>
            <w:hideMark/>
          </w:tcPr>
          <w:p w14:paraId="00933882"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Reference</w:t>
            </w:r>
          </w:p>
        </w:tc>
        <w:tc>
          <w:tcPr>
            <w:tcW w:w="1073" w:type="dxa"/>
            <w:tcBorders>
              <w:top w:val="single" w:sz="4" w:space="0" w:color="auto"/>
              <w:left w:val="nil"/>
              <w:bottom w:val="nil"/>
              <w:right w:val="nil"/>
            </w:tcBorders>
            <w:shd w:val="clear" w:color="auto" w:fill="auto"/>
            <w:noWrap/>
            <w:vAlign w:val="center"/>
            <w:hideMark/>
          </w:tcPr>
          <w:p w14:paraId="2AEB9098" w14:textId="77777777" w:rsidR="00820C51" w:rsidRPr="00BE50B8" w:rsidRDefault="00820C51" w:rsidP="00D30385">
            <w:pPr>
              <w:spacing w:after="0"/>
              <w:jc w:val="center"/>
              <w:rPr>
                <w:rFonts w:ascii="Times New Roman" w:eastAsia="Times New Roman" w:hAnsi="Times New Roman" w:cs="Times New Roman"/>
                <w:sz w:val="20"/>
                <w:szCs w:val="20"/>
                <w:lang w:val="en-US"/>
              </w:rPr>
            </w:pPr>
          </w:p>
        </w:tc>
      </w:tr>
      <w:tr w:rsidR="00820C51" w:rsidRPr="00BE50B8" w14:paraId="1FEDA4F8" w14:textId="77777777" w:rsidTr="00D30385">
        <w:trPr>
          <w:trHeight w:val="262"/>
        </w:trPr>
        <w:tc>
          <w:tcPr>
            <w:tcW w:w="3686" w:type="dxa"/>
            <w:tcBorders>
              <w:top w:val="nil"/>
              <w:left w:val="nil"/>
              <w:bottom w:val="nil"/>
              <w:right w:val="nil"/>
            </w:tcBorders>
            <w:shd w:val="clear" w:color="auto" w:fill="auto"/>
            <w:noWrap/>
            <w:vAlign w:val="center"/>
            <w:hideMark/>
          </w:tcPr>
          <w:p w14:paraId="4BCED945" w14:textId="77777777" w:rsidR="00820C51" w:rsidRPr="00BE50B8" w:rsidRDefault="00820C51" w:rsidP="00D30385">
            <w:pPr>
              <w:spacing w:after="0"/>
              <w:rPr>
                <w:rFonts w:ascii="Times New Roman" w:eastAsia="Times New Roman" w:hAnsi="Times New Roman" w:cs="Times New Roman"/>
                <w:color w:val="000000"/>
                <w:sz w:val="20"/>
                <w:szCs w:val="20"/>
                <w:lang w:val="en-US"/>
              </w:rPr>
            </w:pPr>
          </w:p>
        </w:tc>
        <w:tc>
          <w:tcPr>
            <w:tcW w:w="1766" w:type="dxa"/>
            <w:tcBorders>
              <w:top w:val="nil"/>
              <w:left w:val="nil"/>
              <w:bottom w:val="nil"/>
              <w:right w:val="nil"/>
            </w:tcBorders>
            <w:vAlign w:val="center"/>
          </w:tcPr>
          <w:p w14:paraId="59721407" w14:textId="77777777" w:rsidR="00820C51" w:rsidRPr="00BE50B8" w:rsidRDefault="00820C51" w:rsidP="00D30385">
            <w:pPr>
              <w:spacing w:after="0"/>
              <w:rPr>
                <w:rFonts w:ascii="Times New Roman" w:eastAsia="Times New Roman" w:hAnsi="Times New Roman" w:cs="Times New Roman"/>
                <w:color w:val="000000"/>
                <w:sz w:val="20"/>
                <w:szCs w:val="20"/>
                <w:lang w:val="en-US"/>
              </w:rPr>
            </w:pPr>
            <w:r w:rsidRPr="00BE50B8">
              <w:rPr>
                <w:rFonts w:ascii="Times New Roman" w:eastAsia="Times New Roman" w:hAnsi="Times New Roman" w:cs="Times New Roman"/>
                <w:color w:val="000000"/>
                <w:sz w:val="20"/>
                <w:szCs w:val="20"/>
                <w:lang w:val="en-US"/>
              </w:rPr>
              <w:t>Female</w:t>
            </w:r>
          </w:p>
        </w:tc>
        <w:tc>
          <w:tcPr>
            <w:tcW w:w="1636" w:type="dxa"/>
            <w:tcBorders>
              <w:top w:val="nil"/>
              <w:left w:val="nil"/>
              <w:bottom w:val="nil"/>
              <w:right w:val="nil"/>
            </w:tcBorders>
            <w:vAlign w:val="center"/>
          </w:tcPr>
          <w:p w14:paraId="08773E8B"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2.9 (2.2-3.8)</w:t>
            </w:r>
          </w:p>
        </w:tc>
        <w:tc>
          <w:tcPr>
            <w:tcW w:w="1051" w:type="dxa"/>
            <w:tcBorders>
              <w:top w:val="nil"/>
              <w:left w:val="nil"/>
              <w:bottom w:val="nil"/>
              <w:right w:val="nil"/>
            </w:tcBorders>
            <w:vAlign w:val="center"/>
          </w:tcPr>
          <w:p w14:paraId="61A7007C"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&lt;0.001</w:t>
            </w:r>
          </w:p>
        </w:tc>
        <w:tc>
          <w:tcPr>
            <w:tcW w:w="1751" w:type="dxa"/>
            <w:tcBorders>
              <w:top w:val="nil"/>
              <w:left w:val="nil"/>
              <w:bottom w:val="nil"/>
              <w:right w:val="nil"/>
            </w:tcBorders>
            <w:shd w:val="clear" w:color="auto" w:fill="auto"/>
            <w:noWrap/>
            <w:vAlign w:val="center"/>
            <w:hideMark/>
          </w:tcPr>
          <w:p w14:paraId="5ECA7268"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1.8 (1.2-2.6)</w:t>
            </w:r>
          </w:p>
        </w:tc>
        <w:tc>
          <w:tcPr>
            <w:tcW w:w="1073" w:type="dxa"/>
            <w:tcBorders>
              <w:top w:val="nil"/>
              <w:left w:val="nil"/>
              <w:bottom w:val="nil"/>
              <w:right w:val="nil"/>
            </w:tcBorders>
            <w:shd w:val="clear" w:color="auto" w:fill="auto"/>
            <w:noWrap/>
            <w:vAlign w:val="center"/>
            <w:hideMark/>
          </w:tcPr>
          <w:p w14:paraId="1793E610"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0.002</w:t>
            </w:r>
          </w:p>
        </w:tc>
      </w:tr>
      <w:tr w:rsidR="00820C51" w:rsidRPr="00BE50B8" w14:paraId="446A8619" w14:textId="77777777" w:rsidTr="00D30385">
        <w:trPr>
          <w:trHeight w:val="262"/>
        </w:trPr>
        <w:tc>
          <w:tcPr>
            <w:tcW w:w="3686" w:type="dxa"/>
            <w:vMerge w:val="restart"/>
            <w:tcBorders>
              <w:top w:val="nil"/>
              <w:left w:val="nil"/>
              <w:right w:val="nil"/>
            </w:tcBorders>
            <w:shd w:val="clear" w:color="auto" w:fill="auto"/>
            <w:noWrap/>
            <w:hideMark/>
          </w:tcPr>
          <w:p w14:paraId="7ADE778F" w14:textId="77777777" w:rsidR="00820C51" w:rsidRPr="00BE50B8" w:rsidRDefault="00820C51" w:rsidP="00D30385">
            <w:pPr>
              <w:spacing w:after="0"/>
              <w:rPr>
                <w:rFonts w:ascii="Times New Roman" w:eastAsia="Times New Roman" w:hAnsi="Times New Roman" w:cs="Times New Roman"/>
                <w:color w:val="000000"/>
                <w:sz w:val="20"/>
                <w:szCs w:val="20"/>
                <w:vertAlign w:val="superscript"/>
                <w:lang w:val="en-US"/>
              </w:rPr>
            </w:pPr>
            <w:r w:rsidRPr="00BE50B8">
              <w:rPr>
                <w:rFonts w:ascii="Times New Roman" w:eastAsia="Times New Roman" w:hAnsi="Times New Roman" w:cs="Times New Roman"/>
                <w:color w:val="000000"/>
                <w:sz w:val="20"/>
                <w:szCs w:val="20"/>
                <w:lang w:val="en-US"/>
              </w:rPr>
              <w:t xml:space="preserve">Self-report depression (12 months) </w:t>
            </w:r>
            <w:r w:rsidRPr="00BE50B8">
              <w:rPr>
                <w:rFonts w:ascii="Times New Roman" w:eastAsia="Times New Roman" w:hAnsi="Times New Roman" w:cs="Times New Roman"/>
                <w:color w:val="000000"/>
                <w:sz w:val="20"/>
                <w:szCs w:val="20"/>
                <w:vertAlign w:val="superscript"/>
                <w:lang w:val="en-US"/>
              </w:rPr>
              <w:t>a</w:t>
            </w:r>
          </w:p>
        </w:tc>
        <w:tc>
          <w:tcPr>
            <w:tcW w:w="1766" w:type="dxa"/>
            <w:tcBorders>
              <w:top w:val="nil"/>
              <w:left w:val="nil"/>
              <w:bottom w:val="nil"/>
              <w:right w:val="nil"/>
            </w:tcBorders>
            <w:vAlign w:val="center"/>
          </w:tcPr>
          <w:p w14:paraId="439DB55D" w14:textId="77777777" w:rsidR="00820C51" w:rsidRPr="00BE50B8" w:rsidRDefault="00820C51" w:rsidP="00D30385">
            <w:pPr>
              <w:spacing w:after="0"/>
              <w:rPr>
                <w:rFonts w:ascii="Times New Roman" w:eastAsia="Times New Roman" w:hAnsi="Times New Roman" w:cs="Times New Roman"/>
                <w:color w:val="000000"/>
                <w:sz w:val="20"/>
                <w:szCs w:val="20"/>
                <w:lang w:val="en-US"/>
              </w:rPr>
            </w:pPr>
            <w:r w:rsidRPr="00BE50B8">
              <w:rPr>
                <w:rFonts w:ascii="Times New Roman" w:eastAsia="Times New Roman" w:hAnsi="Times New Roman" w:cs="Times New Roman"/>
                <w:color w:val="000000"/>
                <w:sz w:val="20"/>
                <w:szCs w:val="20"/>
                <w:lang w:val="en-US"/>
              </w:rPr>
              <w:t>No</w:t>
            </w:r>
          </w:p>
        </w:tc>
        <w:tc>
          <w:tcPr>
            <w:tcW w:w="1636" w:type="dxa"/>
            <w:tcBorders>
              <w:top w:val="nil"/>
              <w:left w:val="nil"/>
              <w:bottom w:val="nil"/>
              <w:right w:val="nil"/>
            </w:tcBorders>
            <w:vAlign w:val="center"/>
          </w:tcPr>
          <w:p w14:paraId="144399EA"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sz w:val="20"/>
                <w:szCs w:val="20"/>
              </w:rPr>
              <w:t>Reference</w:t>
            </w:r>
          </w:p>
        </w:tc>
        <w:tc>
          <w:tcPr>
            <w:tcW w:w="1051" w:type="dxa"/>
            <w:tcBorders>
              <w:top w:val="nil"/>
              <w:left w:val="nil"/>
              <w:bottom w:val="nil"/>
              <w:right w:val="nil"/>
            </w:tcBorders>
            <w:vAlign w:val="center"/>
          </w:tcPr>
          <w:p w14:paraId="0074536B"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p>
        </w:tc>
        <w:tc>
          <w:tcPr>
            <w:tcW w:w="1751" w:type="dxa"/>
            <w:tcBorders>
              <w:top w:val="nil"/>
              <w:left w:val="nil"/>
              <w:bottom w:val="nil"/>
              <w:right w:val="nil"/>
            </w:tcBorders>
            <w:shd w:val="clear" w:color="auto" w:fill="auto"/>
            <w:noWrap/>
            <w:vAlign w:val="center"/>
            <w:hideMark/>
          </w:tcPr>
          <w:p w14:paraId="09B0E633"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sz w:val="20"/>
                <w:szCs w:val="20"/>
              </w:rPr>
              <w:t>Reference</w:t>
            </w:r>
          </w:p>
        </w:tc>
        <w:tc>
          <w:tcPr>
            <w:tcW w:w="1073" w:type="dxa"/>
            <w:tcBorders>
              <w:top w:val="nil"/>
              <w:left w:val="nil"/>
              <w:bottom w:val="nil"/>
              <w:right w:val="nil"/>
            </w:tcBorders>
            <w:shd w:val="clear" w:color="auto" w:fill="auto"/>
            <w:noWrap/>
            <w:vAlign w:val="center"/>
            <w:hideMark/>
          </w:tcPr>
          <w:p w14:paraId="627BDA17"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p>
        </w:tc>
      </w:tr>
      <w:tr w:rsidR="00820C51" w:rsidRPr="00BE50B8" w14:paraId="5B1E18F8" w14:textId="77777777" w:rsidTr="00D30385">
        <w:trPr>
          <w:trHeight w:val="262"/>
        </w:trPr>
        <w:tc>
          <w:tcPr>
            <w:tcW w:w="3686" w:type="dxa"/>
            <w:vMerge/>
            <w:tcBorders>
              <w:left w:val="nil"/>
              <w:bottom w:val="nil"/>
              <w:right w:val="nil"/>
            </w:tcBorders>
            <w:shd w:val="clear" w:color="auto" w:fill="auto"/>
            <w:noWrap/>
            <w:vAlign w:val="center"/>
            <w:hideMark/>
          </w:tcPr>
          <w:p w14:paraId="45A7583B" w14:textId="77777777" w:rsidR="00820C51" w:rsidRPr="00BE50B8" w:rsidRDefault="00820C51" w:rsidP="00D30385">
            <w:pPr>
              <w:spacing w:after="0"/>
              <w:rPr>
                <w:rFonts w:ascii="Times New Roman" w:eastAsia="Times New Roman" w:hAnsi="Times New Roman" w:cs="Times New Roman"/>
                <w:color w:val="000000"/>
                <w:sz w:val="20"/>
                <w:szCs w:val="20"/>
                <w:lang w:val="en-US"/>
              </w:rPr>
            </w:pPr>
          </w:p>
        </w:tc>
        <w:tc>
          <w:tcPr>
            <w:tcW w:w="1766" w:type="dxa"/>
            <w:tcBorders>
              <w:top w:val="nil"/>
              <w:left w:val="nil"/>
              <w:bottom w:val="nil"/>
              <w:right w:val="nil"/>
            </w:tcBorders>
            <w:vAlign w:val="center"/>
          </w:tcPr>
          <w:p w14:paraId="3FF09F88" w14:textId="77777777" w:rsidR="00820C51" w:rsidRPr="00BE50B8" w:rsidRDefault="00820C51" w:rsidP="00D30385">
            <w:pPr>
              <w:spacing w:after="0"/>
              <w:rPr>
                <w:rFonts w:ascii="Times New Roman" w:eastAsia="Times New Roman" w:hAnsi="Times New Roman" w:cs="Times New Roman"/>
                <w:color w:val="000000"/>
                <w:sz w:val="20"/>
                <w:szCs w:val="20"/>
                <w:lang w:val="en-US"/>
              </w:rPr>
            </w:pPr>
            <w:r w:rsidRPr="00BE50B8">
              <w:rPr>
                <w:rFonts w:ascii="Times New Roman" w:eastAsia="Times New Roman" w:hAnsi="Times New Roman" w:cs="Times New Roman"/>
                <w:color w:val="000000"/>
                <w:sz w:val="20"/>
                <w:szCs w:val="20"/>
                <w:lang w:val="en-US"/>
              </w:rPr>
              <w:t>Yes</w:t>
            </w:r>
          </w:p>
        </w:tc>
        <w:tc>
          <w:tcPr>
            <w:tcW w:w="1636" w:type="dxa"/>
            <w:tcBorders>
              <w:top w:val="nil"/>
              <w:left w:val="nil"/>
              <w:bottom w:val="nil"/>
              <w:right w:val="nil"/>
            </w:tcBorders>
            <w:vAlign w:val="center"/>
          </w:tcPr>
          <w:p w14:paraId="0D2504EB"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23.3 (16.7-32.6)</w:t>
            </w:r>
          </w:p>
        </w:tc>
        <w:tc>
          <w:tcPr>
            <w:tcW w:w="1051" w:type="dxa"/>
            <w:tcBorders>
              <w:top w:val="nil"/>
              <w:left w:val="nil"/>
              <w:bottom w:val="nil"/>
              <w:right w:val="nil"/>
            </w:tcBorders>
            <w:vAlign w:val="center"/>
          </w:tcPr>
          <w:p w14:paraId="603A5D0C"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&lt;0.001</w:t>
            </w:r>
          </w:p>
        </w:tc>
        <w:tc>
          <w:tcPr>
            <w:tcW w:w="1751" w:type="dxa"/>
            <w:tcBorders>
              <w:top w:val="nil"/>
              <w:left w:val="nil"/>
              <w:bottom w:val="nil"/>
              <w:right w:val="nil"/>
            </w:tcBorders>
            <w:shd w:val="clear" w:color="auto" w:fill="auto"/>
            <w:noWrap/>
            <w:vAlign w:val="center"/>
            <w:hideMark/>
          </w:tcPr>
          <w:p w14:paraId="3A107F9C"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3.9 (2.5-6.0)</w:t>
            </w:r>
          </w:p>
        </w:tc>
        <w:tc>
          <w:tcPr>
            <w:tcW w:w="1073" w:type="dxa"/>
            <w:tcBorders>
              <w:top w:val="nil"/>
              <w:left w:val="nil"/>
              <w:bottom w:val="nil"/>
              <w:right w:val="nil"/>
            </w:tcBorders>
            <w:shd w:val="clear" w:color="auto" w:fill="auto"/>
            <w:noWrap/>
            <w:vAlign w:val="center"/>
            <w:hideMark/>
          </w:tcPr>
          <w:p w14:paraId="25FC4CE1"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&lt;0.001</w:t>
            </w:r>
          </w:p>
        </w:tc>
      </w:tr>
      <w:tr w:rsidR="00820C51" w:rsidRPr="00BE50B8" w14:paraId="7FA3D4B1" w14:textId="77777777" w:rsidTr="00D30385">
        <w:trPr>
          <w:trHeight w:val="262"/>
        </w:trPr>
        <w:tc>
          <w:tcPr>
            <w:tcW w:w="3686" w:type="dxa"/>
            <w:vMerge w:val="restart"/>
            <w:tcBorders>
              <w:top w:val="nil"/>
              <w:left w:val="nil"/>
              <w:right w:val="nil"/>
            </w:tcBorders>
            <w:shd w:val="clear" w:color="auto" w:fill="auto"/>
            <w:noWrap/>
            <w:hideMark/>
          </w:tcPr>
          <w:p w14:paraId="2CB0DC01" w14:textId="77777777" w:rsidR="00820C51" w:rsidRPr="00BE50B8" w:rsidRDefault="00820C51" w:rsidP="00D30385">
            <w:pPr>
              <w:spacing w:after="0"/>
              <w:rPr>
                <w:rFonts w:ascii="Times New Roman" w:eastAsia="Times New Roman" w:hAnsi="Times New Roman" w:cs="Times New Roman"/>
                <w:color w:val="000000"/>
                <w:sz w:val="20"/>
                <w:szCs w:val="20"/>
                <w:vertAlign w:val="superscript"/>
                <w:lang w:val="en-US"/>
              </w:rPr>
            </w:pPr>
            <w:r w:rsidRPr="00BE50B8">
              <w:rPr>
                <w:rFonts w:ascii="Times New Roman" w:eastAsia="Times New Roman" w:hAnsi="Times New Roman" w:cs="Times New Roman"/>
                <w:color w:val="000000"/>
                <w:sz w:val="20"/>
                <w:szCs w:val="20"/>
                <w:lang w:val="en-US"/>
              </w:rPr>
              <w:t xml:space="preserve">Self-report psych distress (ABS cat) </w:t>
            </w:r>
            <w:r w:rsidRPr="00BE50B8">
              <w:rPr>
                <w:rFonts w:ascii="Times New Roman" w:eastAsia="Times New Roman" w:hAnsi="Times New Roman" w:cs="Times New Roman"/>
                <w:color w:val="000000"/>
                <w:sz w:val="20"/>
                <w:szCs w:val="20"/>
                <w:vertAlign w:val="superscript"/>
                <w:lang w:val="en-US"/>
              </w:rPr>
              <w:t>b</w:t>
            </w:r>
          </w:p>
        </w:tc>
        <w:tc>
          <w:tcPr>
            <w:tcW w:w="1766" w:type="dxa"/>
            <w:tcBorders>
              <w:top w:val="nil"/>
              <w:left w:val="nil"/>
              <w:bottom w:val="nil"/>
              <w:right w:val="nil"/>
            </w:tcBorders>
            <w:vAlign w:val="center"/>
          </w:tcPr>
          <w:p w14:paraId="17F4DA26" w14:textId="77777777" w:rsidR="00820C51" w:rsidRPr="00BE50B8" w:rsidRDefault="00820C51" w:rsidP="00D30385">
            <w:pPr>
              <w:spacing w:after="0"/>
              <w:rPr>
                <w:rFonts w:ascii="Times New Roman" w:eastAsia="Times New Roman" w:hAnsi="Times New Roman" w:cs="Times New Roman"/>
                <w:color w:val="000000"/>
                <w:sz w:val="20"/>
                <w:szCs w:val="20"/>
                <w:lang w:val="en-US"/>
              </w:rPr>
            </w:pPr>
            <w:r w:rsidRPr="00BE50B8">
              <w:rPr>
                <w:rFonts w:ascii="Times New Roman" w:eastAsia="Times New Roman" w:hAnsi="Times New Roman" w:cs="Times New Roman"/>
                <w:color w:val="000000"/>
                <w:sz w:val="20"/>
                <w:szCs w:val="20"/>
                <w:lang w:val="en-US"/>
              </w:rPr>
              <w:t>Low</w:t>
            </w:r>
          </w:p>
        </w:tc>
        <w:tc>
          <w:tcPr>
            <w:tcW w:w="1636" w:type="dxa"/>
            <w:tcBorders>
              <w:top w:val="nil"/>
              <w:left w:val="nil"/>
              <w:bottom w:val="nil"/>
              <w:right w:val="nil"/>
            </w:tcBorders>
            <w:vAlign w:val="center"/>
          </w:tcPr>
          <w:p w14:paraId="276197BB"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sz w:val="20"/>
                <w:szCs w:val="20"/>
              </w:rPr>
              <w:t>Reference</w:t>
            </w:r>
          </w:p>
        </w:tc>
        <w:tc>
          <w:tcPr>
            <w:tcW w:w="1051" w:type="dxa"/>
            <w:tcBorders>
              <w:top w:val="nil"/>
              <w:left w:val="nil"/>
              <w:bottom w:val="nil"/>
              <w:right w:val="nil"/>
            </w:tcBorders>
            <w:vAlign w:val="center"/>
          </w:tcPr>
          <w:p w14:paraId="6606B60D" w14:textId="1E568C11" w:rsidR="00820C51" w:rsidRPr="00BE50B8" w:rsidRDefault="00E70E39"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&lt;0.001*</w:t>
            </w:r>
          </w:p>
        </w:tc>
        <w:tc>
          <w:tcPr>
            <w:tcW w:w="1751" w:type="dxa"/>
            <w:tcBorders>
              <w:top w:val="nil"/>
              <w:left w:val="nil"/>
              <w:bottom w:val="nil"/>
              <w:right w:val="nil"/>
            </w:tcBorders>
            <w:shd w:val="clear" w:color="auto" w:fill="auto"/>
            <w:noWrap/>
            <w:vAlign w:val="center"/>
            <w:hideMark/>
          </w:tcPr>
          <w:p w14:paraId="2A82F7C0"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sz w:val="20"/>
                <w:szCs w:val="20"/>
              </w:rPr>
              <w:t>Reference</w:t>
            </w:r>
          </w:p>
        </w:tc>
        <w:tc>
          <w:tcPr>
            <w:tcW w:w="1073" w:type="dxa"/>
            <w:tcBorders>
              <w:top w:val="nil"/>
              <w:left w:val="nil"/>
              <w:bottom w:val="nil"/>
              <w:right w:val="nil"/>
            </w:tcBorders>
            <w:shd w:val="clear" w:color="auto" w:fill="auto"/>
            <w:noWrap/>
            <w:vAlign w:val="center"/>
            <w:hideMark/>
          </w:tcPr>
          <w:p w14:paraId="7D675138"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&lt;0.001*</w:t>
            </w:r>
          </w:p>
        </w:tc>
      </w:tr>
      <w:tr w:rsidR="00820C51" w:rsidRPr="00BE50B8" w14:paraId="2617F3B9" w14:textId="77777777" w:rsidTr="00D30385">
        <w:trPr>
          <w:trHeight w:val="262"/>
        </w:trPr>
        <w:tc>
          <w:tcPr>
            <w:tcW w:w="3686" w:type="dxa"/>
            <w:vMerge/>
            <w:tcBorders>
              <w:left w:val="nil"/>
              <w:right w:val="nil"/>
            </w:tcBorders>
            <w:shd w:val="clear" w:color="auto" w:fill="auto"/>
            <w:noWrap/>
            <w:vAlign w:val="center"/>
          </w:tcPr>
          <w:p w14:paraId="4B23742D" w14:textId="77777777" w:rsidR="00820C51" w:rsidRPr="00BE50B8" w:rsidRDefault="00820C51" w:rsidP="00D30385">
            <w:pPr>
              <w:spacing w:after="0"/>
              <w:rPr>
                <w:rFonts w:ascii="Times New Roman" w:eastAsia="Times New Roman" w:hAnsi="Times New Roman" w:cs="Times New Roman"/>
                <w:color w:val="000000"/>
                <w:sz w:val="20"/>
                <w:szCs w:val="20"/>
                <w:lang w:val="en-US"/>
              </w:rPr>
            </w:pPr>
          </w:p>
        </w:tc>
        <w:tc>
          <w:tcPr>
            <w:tcW w:w="1766" w:type="dxa"/>
            <w:tcBorders>
              <w:top w:val="nil"/>
              <w:left w:val="nil"/>
              <w:bottom w:val="nil"/>
              <w:right w:val="nil"/>
            </w:tcBorders>
            <w:vAlign w:val="center"/>
          </w:tcPr>
          <w:p w14:paraId="2A2CAF27" w14:textId="77777777" w:rsidR="00820C51" w:rsidRPr="00BE50B8" w:rsidRDefault="00820C51" w:rsidP="00D30385">
            <w:pPr>
              <w:spacing w:after="0"/>
              <w:rPr>
                <w:rFonts w:ascii="Times New Roman" w:eastAsia="Times New Roman" w:hAnsi="Times New Roman" w:cs="Times New Roman"/>
                <w:color w:val="000000"/>
                <w:sz w:val="20"/>
                <w:szCs w:val="20"/>
                <w:lang w:val="en-US"/>
              </w:rPr>
            </w:pPr>
            <w:r w:rsidRPr="00BE50B8">
              <w:rPr>
                <w:rFonts w:ascii="Times New Roman" w:eastAsia="Times New Roman" w:hAnsi="Times New Roman" w:cs="Times New Roman"/>
                <w:color w:val="000000"/>
                <w:sz w:val="20"/>
                <w:szCs w:val="20"/>
                <w:lang w:val="en-US"/>
              </w:rPr>
              <w:t>Moderate</w:t>
            </w:r>
          </w:p>
        </w:tc>
        <w:tc>
          <w:tcPr>
            <w:tcW w:w="1636" w:type="dxa"/>
            <w:tcBorders>
              <w:top w:val="nil"/>
              <w:left w:val="nil"/>
              <w:bottom w:val="nil"/>
              <w:right w:val="nil"/>
            </w:tcBorders>
            <w:vAlign w:val="center"/>
          </w:tcPr>
          <w:p w14:paraId="0F48259E"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sz w:val="20"/>
                <w:szCs w:val="20"/>
              </w:rPr>
              <w:t>2.3 (1.4-4.0)</w:t>
            </w:r>
          </w:p>
        </w:tc>
        <w:tc>
          <w:tcPr>
            <w:tcW w:w="1051" w:type="dxa"/>
            <w:tcBorders>
              <w:top w:val="nil"/>
              <w:left w:val="nil"/>
              <w:bottom w:val="nil"/>
              <w:right w:val="nil"/>
            </w:tcBorders>
            <w:vAlign w:val="center"/>
          </w:tcPr>
          <w:p w14:paraId="5DD7C596"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sz w:val="20"/>
                <w:szCs w:val="20"/>
              </w:rPr>
              <w:t>0.002</w:t>
            </w:r>
          </w:p>
        </w:tc>
        <w:tc>
          <w:tcPr>
            <w:tcW w:w="1751" w:type="dxa"/>
            <w:tcBorders>
              <w:top w:val="nil"/>
              <w:left w:val="nil"/>
              <w:bottom w:val="nil"/>
              <w:right w:val="nil"/>
            </w:tcBorders>
            <w:shd w:val="clear" w:color="auto" w:fill="auto"/>
            <w:noWrap/>
            <w:vAlign w:val="center"/>
            <w:hideMark/>
          </w:tcPr>
          <w:p w14:paraId="39C3E542"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sz w:val="20"/>
                <w:szCs w:val="20"/>
              </w:rPr>
              <w:t>1.5 (0.9-2.7)</w:t>
            </w:r>
          </w:p>
        </w:tc>
        <w:tc>
          <w:tcPr>
            <w:tcW w:w="1073" w:type="dxa"/>
            <w:tcBorders>
              <w:top w:val="nil"/>
              <w:left w:val="nil"/>
              <w:bottom w:val="nil"/>
              <w:right w:val="nil"/>
            </w:tcBorders>
            <w:shd w:val="clear" w:color="auto" w:fill="auto"/>
            <w:noWrap/>
            <w:vAlign w:val="center"/>
            <w:hideMark/>
          </w:tcPr>
          <w:p w14:paraId="2B3EDFAF"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sz w:val="20"/>
                <w:szCs w:val="20"/>
              </w:rPr>
              <w:t>0.151</w:t>
            </w:r>
          </w:p>
        </w:tc>
      </w:tr>
      <w:tr w:rsidR="00820C51" w:rsidRPr="00BE50B8" w14:paraId="63BCA971" w14:textId="77777777" w:rsidTr="00D30385">
        <w:trPr>
          <w:trHeight w:val="262"/>
        </w:trPr>
        <w:tc>
          <w:tcPr>
            <w:tcW w:w="3686" w:type="dxa"/>
            <w:vMerge/>
            <w:tcBorders>
              <w:left w:val="nil"/>
              <w:right w:val="nil"/>
            </w:tcBorders>
            <w:shd w:val="clear" w:color="auto" w:fill="auto"/>
            <w:noWrap/>
            <w:vAlign w:val="center"/>
          </w:tcPr>
          <w:p w14:paraId="7FEDCE0E" w14:textId="77777777" w:rsidR="00820C51" w:rsidRPr="00BE50B8" w:rsidRDefault="00820C51" w:rsidP="00D30385">
            <w:pPr>
              <w:spacing w:after="0"/>
              <w:rPr>
                <w:rFonts w:ascii="Times New Roman" w:eastAsia="Times New Roman" w:hAnsi="Times New Roman" w:cs="Times New Roman"/>
                <w:color w:val="000000"/>
                <w:sz w:val="20"/>
                <w:szCs w:val="20"/>
                <w:lang w:val="en-US"/>
              </w:rPr>
            </w:pPr>
          </w:p>
        </w:tc>
        <w:tc>
          <w:tcPr>
            <w:tcW w:w="1766" w:type="dxa"/>
            <w:tcBorders>
              <w:top w:val="nil"/>
              <w:left w:val="nil"/>
              <w:bottom w:val="nil"/>
              <w:right w:val="nil"/>
            </w:tcBorders>
            <w:vAlign w:val="center"/>
          </w:tcPr>
          <w:p w14:paraId="6106E4B9" w14:textId="77777777" w:rsidR="00820C51" w:rsidRPr="00BE50B8" w:rsidRDefault="00820C51" w:rsidP="00D30385">
            <w:pPr>
              <w:spacing w:after="0"/>
              <w:rPr>
                <w:rFonts w:ascii="Times New Roman" w:eastAsia="Times New Roman" w:hAnsi="Times New Roman" w:cs="Times New Roman"/>
                <w:color w:val="000000"/>
                <w:sz w:val="20"/>
                <w:szCs w:val="20"/>
                <w:lang w:val="en-US"/>
              </w:rPr>
            </w:pPr>
            <w:r w:rsidRPr="00BE50B8">
              <w:rPr>
                <w:rFonts w:ascii="Times New Roman" w:eastAsia="Times New Roman" w:hAnsi="Times New Roman" w:cs="Times New Roman"/>
                <w:color w:val="000000"/>
                <w:sz w:val="20"/>
                <w:szCs w:val="20"/>
                <w:lang w:val="en-US"/>
              </w:rPr>
              <w:t>High</w:t>
            </w:r>
          </w:p>
        </w:tc>
        <w:tc>
          <w:tcPr>
            <w:tcW w:w="1636" w:type="dxa"/>
            <w:tcBorders>
              <w:top w:val="nil"/>
              <w:left w:val="nil"/>
              <w:bottom w:val="nil"/>
              <w:right w:val="nil"/>
            </w:tcBorders>
            <w:vAlign w:val="center"/>
          </w:tcPr>
          <w:p w14:paraId="60816DF0"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15.0 (9.1-24.8)</w:t>
            </w:r>
          </w:p>
        </w:tc>
        <w:tc>
          <w:tcPr>
            <w:tcW w:w="1051" w:type="dxa"/>
            <w:tcBorders>
              <w:top w:val="nil"/>
              <w:left w:val="nil"/>
              <w:bottom w:val="nil"/>
              <w:right w:val="nil"/>
            </w:tcBorders>
            <w:vAlign w:val="center"/>
          </w:tcPr>
          <w:p w14:paraId="60637D22"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&lt;0.001</w:t>
            </w:r>
          </w:p>
        </w:tc>
        <w:tc>
          <w:tcPr>
            <w:tcW w:w="1751" w:type="dxa"/>
            <w:tcBorders>
              <w:top w:val="nil"/>
              <w:left w:val="nil"/>
              <w:bottom w:val="nil"/>
              <w:right w:val="nil"/>
            </w:tcBorders>
            <w:shd w:val="clear" w:color="auto" w:fill="auto"/>
            <w:noWrap/>
            <w:vAlign w:val="center"/>
            <w:hideMark/>
          </w:tcPr>
          <w:p w14:paraId="63C45F3C"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5.0 (2.8-8.7)</w:t>
            </w:r>
          </w:p>
        </w:tc>
        <w:tc>
          <w:tcPr>
            <w:tcW w:w="1073" w:type="dxa"/>
            <w:tcBorders>
              <w:top w:val="nil"/>
              <w:left w:val="nil"/>
              <w:bottom w:val="nil"/>
              <w:right w:val="nil"/>
            </w:tcBorders>
            <w:shd w:val="clear" w:color="auto" w:fill="auto"/>
            <w:noWrap/>
            <w:vAlign w:val="center"/>
            <w:hideMark/>
          </w:tcPr>
          <w:p w14:paraId="7F86717C"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&lt;0.001</w:t>
            </w:r>
          </w:p>
        </w:tc>
      </w:tr>
      <w:tr w:rsidR="00820C51" w:rsidRPr="00BE50B8" w14:paraId="3F70D594" w14:textId="77777777" w:rsidTr="00D30385">
        <w:trPr>
          <w:trHeight w:val="262"/>
        </w:trPr>
        <w:tc>
          <w:tcPr>
            <w:tcW w:w="3686" w:type="dxa"/>
            <w:vMerge/>
            <w:tcBorders>
              <w:left w:val="nil"/>
              <w:bottom w:val="nil"/>
              <w:right w:val="nil"/>
            </w:tcBorders>
            <w:shd w:val="clear" w:color="auto" w:fill="auto"/>
            <w:noWrap/>
            <w:vAlign w:val="center"/>
          </w:tcPr>
          <w:p w14:paraId="57BD3695" w14:textId="77777777" w:rsidR="00820C51" w:rsidRPr="00BE50B8" w:rsidRDefault="00820C51" w:rsidP="00D30385">
            <w:pPr>
              <w:spacing w:after="0"/>
              <w:rPr>
                <w:rFonts w:ascii="Times New Roman" w:eastAsia="Times New Roman" w:hAnsi="Times New Roman" w:cs="Times New Roman"/>
                <w:color w:val="000000"/>
                <w:sz w:val="20"/>
                <w:szCs w:val="20"/>
                <w:lang w:val="en-US"/>
              </w:rPr>
            </w:pPr>
          </w:p>
        </w:tc>
        <w:tc>
          <w:tcPr>
            <w:tcW w:w="1766" w:type="dxa"/>
            <w:tcBorders>
              <w:top w:val="nil"/>
              <w:left w:val="nil"/>
              <w:bottom w:val="nil"/>
              <w:right w:val="nil"/>
            </w:tcBorders>
            <w:vAlign w:val="center"/>
          </w:tcPr>
          <w:p w14:paraId="10E3C680" w14:textId="77777777" w:rsidR="00820C51" w:rsidRPr="00BE50B8" w:rsidRDefault="00820C51" w:rsidP="00D30385">
            <w:pPr>
              <w:spacing w:after="0"/>
              <w:rPr>
                <w:rFonts w:ascii="Times New Roman" w:eastAsia="Times New Roman" w:hAnsi="Times New Roman" w:cs="Times New Roman"/>
                <w:color w:val="000000"/>
                <w:sz w:val="20"/>
                <w:szCs w:val="20"/>
                <w:lang w:val="en-US"/>
              </w:rPr>
            </w:pPr>
            <w:r w:rsidRPr="00BE50B8">
              <w:rPr>
                <w:rFonts w:ascii="Times New Roman" w:eastAsia="Times New Roman" w:hAnsi="Times New Roman" w:cs="Times New Roman"/>
                <w:color w:val="000000"/>
                <w:sz w:val="20"/>
                <w:szCs w:val="20"/>
                <w:lang w:val="en-US"/>
              </w:rPr>
              <w:t>Very high</w:t>
            </w:r>
          </w:p>
        </w:tc>
        <w:tc>
          <w:tcPr>
            <w:tcW w:w="1636" w:type="dxa"/>
            <w:tcBorders>
              <w:top w:val="nil"/>
              <w:left w:val="nil"/>
              <w:bottom w:val="nil"/>
              <w:right w:val="nil"/>
            </w:tcBorders>
            <w:vAlign w:val="center"/>
          </w:tcPr>
          <w:p w14:paraId="0D42E436"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62.5 (35.5-110.0)</w:t>
            </w:r>
          </w:p>
        </w:tc>
        <w:tc>
          <w:tcPr>
            <w:tcW w:w="1051" w:type="dxa"/>
            <w:tcBorders>
              <w:top w:val="nil"/>
              <w:left w:val="nil"/>
              <w:bottom w:val="nil"/>
              <w:right w:val="nil"/>
            </w:tcBorders>
            <w:vAlign w:val="center"/>
          </w:tcPr>
          <w:p w14:paraId="5A399893"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&lt;0.001</w:t>
            </w:r>
          </w:p>
        </w:tc>
        <w:tc>
          <w:tcPr>
            <w:tcW w:w="1751" w:type="dxa"/>
            <w:tcBorders>
              <w:top w:val="nil"/>
              <w:left w:val="nil"/>
              <w:bottom w:val="nil"/>
              <w:right w:val="nil"/>
            </w:tcBorders>
            <w:shd w:val="clear" w:color="auto" w:fill="auto"/>
            <w:noWrap/>
            <w:vAlign w:val="center"/>
            <w:hideMark/>
          </w:tcPr>
          <w:p w14:paraId="6E9F18A4"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9.3 (4.8-18.1)</w:t>
            </w:r>
          </w:p>
        </w:tc>
        <w:tc>
          <w:tcPr>
            <w:tcW w:w="1073" w:type="dxa"/>
            <w:tcBorders>
              <w:top w:val="nil"/>
              <w:left w:val="nil"/>
              <w:bottom w:val="nil"/>
              <w:right w:val="nil"/>
            </w:tcBorders>
            <w:shd w:val="clear" w:color="auto" w:fill="auto"/>
            <w:noWrap/>
            <w:vAlign w:val="center"/>
            <w:hideMark/>
          </w:tcPr>
          <w:p w14:paraId="6881323A"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&lt;0.001</w:t>
            </w:r>
          </w:p>
        </w:tc>
      </w:tr>
      <w:tr w:rsidR="00820C51" w:rsidRPr="00BE50B8" w14:paraId="723B2DBB" w14:textId="77777777" w:rsidTr="00D30385">
        <w:trPr>
          <w:trHeight w:val="262"/>
        </w:trPr>
        <w:tc>
          <w:tcPr>
            <w:tcW w:w="3686" w:type="dxa"/>
            <w:tcBorders>
              <w:top w:val="nil"/>
              <w:left w:val="nil"/>
              <w:bottom w:val="nil"/>
              <w:right w:val="nil"/>
            </w:tcBorders>
            <w:shd w:val="clear" w:color="auto" w:fill="auto"/>
            <w:noWrap/>
            <w:vAlign w:val="center"/>
            <w:hideMark/>
          </w:tcPr>
          <w:p w14:paraId="66BE67EE" w14:textId="77777777" w:rsidR="00820C51" w:rsidRPr="00BE50B8" w:rsidRDefault="00820C51" w:rsidP="00D30385">
            <w:pPr>
              <w:spacing w:after="0"/>
              <w:rPr>
                <w:rFonts w:ascii="Times New Roman" w:eastAsia="Times New Roman" w:hAnsi="Times New Roman" w:cs="Times New Roman"/>
                <w:color w:val="000000"/>
                <w:sz w:val="20"/>
                <w:szCs w:val="20"/>
                <w:vertAlign w:val="superscript"/>
                <w:lang w:val="en-US"/>
              </w:rPr>
            </w:pPr>
            <w:r w:rsidRPr="00BE50B8">
              <w:rPr>
                <w:rFonts w:ascii="Times New Roman" w:eastAsia="Times New Roman" w:hAnsi="Times New Roman" w:cs="Times New Roman"/>
                <w:color w:val="000000"/>
                <w:sz w:val="20"/>
                <w:szCs w:val="20"/>
                <w:lang w:val="en-US"/>
              </w:rPr>
              <w:t xml:space="preserve">Parent-report depression (12 months) </w:t>
            </w:r>
            <w:r w:rsidRPr="00BE50B8">
              <w:rPr>
                <w:rFonts w:ascii="Times New Roman" w:eastAsia="Times New Roman" w:hAnsi="Times New Roman" w:cs="Times New Roman"/>
                <w:color w:val="000000"/>
                <w:sz w:val="20"/>
                <w:szCs w:val="20"/>
                <w:vertAlign w:val="superscript"/>
                <w:lang w:val="en-US"/>
              </w:rPr>
              <w:t>a</w:t>
            </w:r>
          </w:p>
        </w:tc>
        <w:tc>
          <w:tcPr>
            <w:tcW w:w="1766" w:type="dxa"/>
            <w:tcBorders>
              <w:top w:val="nil"/>
              <w:left w:val="nil"/>
              <w:bottom w:val="nil"/>
              <w:right w:val="nil"/>
            </w:tcBorders>
            <w:vAlign w:val="center"/>
          </w:tcPr>
          <w:p w14:paraId="31A5F525" w14:textId="77777777" w:rsidR="00820C51" w:rsidRPr="00BE50B8" w:rsidRDefault="00820C51" w:rsidP="00D30385">
            <w:pPr>
              <w:spacing w:after="0"/>
              <w:rPr>
                <w:rFonts w:ascii="Times New Roman" w:eastAsia="Times New Roman" w:hAnsi="Times New Roman" w:cs="Times New Roman"/>
                <w:color w:val="000000"/>
                <w:sz w:val="20"/>
                <w:szCs w:val="20"/>
                <w:lang w:val="en-US"/>
              </w:rPr>
            </w:pPr>
            <w:r w:rsidRPr="00BE50B8">
              <w:rPr>
                <w:rFonts w:ascii="Times New Roman" w:eastAsia="Times New Roman" w:hAnsi="Times New Roman" w:cs="Times New Roman"/>
                <w:color w:val="000000"/>
                <w:sz w:val="20"/>
                <w:szCs w:val="20"/>
                <w:lang w:val="en-US"/>
              </w:rPr>
              <w:t>No</w:t>
            </w:r>
          </w:p>
        </w:tc>
        <w:tc>
          <w:tcPr>
            <w:tcW w:w="1636" w:type="dxa"/>
            <w:tcBorders>
              <w:top w:val="nil"/>
              <w:left w:val="nil"/>
              <w:bottom w:val="nil"/>
              <w:right w:val="nil"/>
            </w:tcBorders>
            <w:vAlign w:val="center"/>
          </w:tcPr>
          <w:p w14:paraId="46BA648F"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sz w:val="20"/>
                <w:szCs w:val="20"/>
              </w:rPr>
              <w:t>Reference</w:t>
            </w:r>
          </w:p>
        </w:tc>
        <w:tc>
          <w:tcPr>
            <w:tcW w:w="1051" w:type="dxa"/>
            <w:tcBorders>
              <w:top w:val="nil"/>
              <w:left w:val="nil"/>
              <w:bottom w:val="nil"/>
              <w:right w:val="nil"/>
            </w:tcBorders>
            <w:vAlign w:val="center"/>
          </w:tcPr>
          <w:p w14:paraId="77B08CCD"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p>
        </w:tc>
        <w:tc>
          <w:tcPr>
            <w:tcW w:w="1751" w:type="dxa"/>
            <w:tcBorders>
              <w:top w:val="nil"/>
              <w:left w:val="nil"/>
              <w:bottom w:val="nil"/>
              <w:right w:val="nil"/>
            </w:tcBorders>
            <w:shd w:val="clear" w:color="auto" w:fill="auto"/>
            <w:noWrap/>
            <w:vAlign w:val="center"/>
            <w:hideMark/>
          </w:tcPr>
          <w:p w14:paraId="4B167FEB"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sz w:val="20"/>
                <w:szCs w:val="20"/>
              </w:rPr>
              <w:t>Reference</w:t>
            </w:r>
          </w:p>
        </w:tc>
        <w:tc>
          <w:tcPr>
            <w:tcW w:w="1073" w:type="dxa"/>
            <w:tcBorders>
              <w:top w:val="nil"/>
              <w:left w:val="nil"/>
              <w:bottom w:val="nil"/>
              <w:right w:val="nil"/>
            </w:tcBorders>
            <w:shd w:val="clear" w:color="auto" w:fill="auto"/>
            <w:noWrap/>
            <w:vAlign w:val="center"/>
            <w:hideMark/>
          </w:tcPr>
          <w:p w14:paraId="3936467E"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p>
        </w:tc>
      </w:tr>
      <w:tr w:rsidR="00820C51" w:rsidRPr="00BE50B8" w14:paraId="15577066" w14:textId="77777777" w:rsidTr="00D30385">
        <w:trPr>
          <w:trHeight w:val="262"/>
        </w:trPr>
        <w:tc>
          <w:tcPr>
            <w:tcW w:w="3686" w:type="dxa"/>
            <w:tcBorders>
              <w:top w:val="nil"/>
              <w:left w:val="nil"/>
              <w:bottom w:val="nil"/>
              <w:right w:val="nil"/>
            </w:tcBorders>
            <w:shd w:val="clear" w:color="auto" w:fill="auto"/>
            <w:noWrap/>
            <w:vAlign w:val="center"/>
            <w:hideMark/>
          </w:tcPr>
          <w:p w14:paraId="63565698" w14:textId="77777777" w:rsidR="00820C51" w:rsidRPr="00BE50B8" w:rsidRDefault="00820C51" w:rsidP="00D30385">
            <w:pPr>
              <w:spacing w:after="0"/>
              <w:rPr>
                <w:rFonts w:ascii="Times New Roman" w:eastAsia="Times New Roman" w:hAnsi="Times New Roman" w:cs="Times New Roman"/>
                <w:color w:val="000000"/>
                <w:sz w:val="20"/>
                <w:szCs w:val="20"/>
                <w:lang w:val="en-US"/>
              </w:rPr>
            </w:pPr>
          </w:p>
        </w:tc>
        <w:tc>
          <w:tcPr>
            <w:tcW w:w="1766" w:type="dxa"/>
            <w:tcBorders>
              <w:top w:val="nil"/>
              <w:left w:val="nil"/>
              <w:bottom w:val="nil"/>
              <w:right w:val="nil"/>
            </w:tcBorders>
            <w:vAlign w:val="center"/>
          </w:tcPr>
          <w:p w14:paraId="0244E235" w14:textId="77777777" w:rsidR="00820C51" w:rsidRPr="00BE50B8" w:rsidRDefault="00820C51" w:rsidP="00D30385">
            <w:pPr>
              <w:spacing w:after="0"/>
              <w:rPr>
                <w:rFonts w:ascii="Times New Roman" w:eastAsia="Times New Roman" w:hAnsi="Times New Roman" w:cs="Times New Roman"/>
                <w:color w:val="000000"/>
                <w:sz w:val="20"/>
                <w:szCs w:val="20"/>
                <w:lang w:val="en-US"/>
              </w:rPr>
            </w:pPr>
            <w:r w:rsidRPr="00BE50B8">
              <w:rPr>
                <w:rFonts w:ascii="Times New Roman" w:eastAsia="Times New Roman" w:hAnsi="Times New Roman" w:cs="Times New Roman"/>
                <w:color w:val="000000"/>
                <w:sz w:val="20"/>
                <w:szCs w:val="20"/>
                <w:lang w:val="en-US"/>
              </w:rPr>
              <w:t>Yes</w:t>
            </w:r>
          </w:p>
        </w:tc>
        <w:tc>
          <w:tcPr>
            <w:tcW w:w="1636" w:type="dxa"/>
            <w:tcBorders>
              <w:top w:val="nil"/>
              <w:left w:val="nil"/>
              <w:bottom w:val="nil"/>
              <w:right w:val="nil"/>
            </w:tcBorders>
            <w:vAlign w:val="center"/>
          </w:tcPr>
          <w:p w14:paraId="27A6CEB1"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7.8 (5.3-11.5)</w:t>
            </w:r>
          </w:p>
        </w:tc>
        <w:tc>
          <w:tcPr>
            <w:tcW w:w="1051" w:type="dxa"/>
            <w:tcBorders>
              <w:top w:val="nil"/>
              <w:left w:val="nil"/>
              <w:bottom w:val="nil"/>
              <w:right w:val="nil"/>
            </w:tcBorders>
            <w:vAlign w:val="center"/>
          </w:tcPr>
          <w:p w14:paraId="45542210"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&lt;0.001</w:t>
            </w:r>
          </w:p>
        </w:tc>
        <w:tc>
          <w:tcPr>
            <w:tcW w:w="1751" w:type="dxa"/>
            <w:tcBorders>
              <w:top w:val="nil"/>
              <w:left w:val="nil"/>
              <w:bottom w:val="nil"/>
              <w:right w:val="nil"/>
            </w:tcBorders>
            <w:shd w:val="clear" w:color="auto" w:fill="auto"/>
            <w:noWrap/>
            <w:vAlign w:val="center"/>
            <w:hideMark/>
          </w:tcPr>
          <w:p w14:paraId="47AB8E6A"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2.0 (1.3-3.1)</w:t>
            </w:r>
          </w:p>
        </w:tc>
        <w:tc>
          <w:tcPr>
            <w:tcW w:w="1073" w:type="dxa"/>
            <w:tcBorders>
              <w:top w:val="nil"/>
              <w:left w:val="nil"/>
              <w:bottom w:val="nil"/>
              <w:right w:val="nil"/>
            </w:tcBorders>
            <w:shd w:val="clear" w:color="auto" w:fill="auto"/>
            <w:noWrap/>
            <w:vAlign w:val="center"/>
            <w:hideMark/>
          </w:tcPr>
          <w:p w14:paraId="1B8340BE"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0.001</w:t>
            </w:r>
          </w:p>
        </w:tc>
      </w:tr>
      <w:tr w:rsidR="00820C51" w:rsidRPr="00BE50B8" w14:paraId="13C6B3E9" w14:textId="77777777" w:rsidTr="00D30385">
        <w:trPr>
          <w:trHeight w:val="262"/>
        </w:trPr>
        <w:tc>
          <w:tcPr>
            <w:tcW w:w="3686" w:type="dxa"/>
            <w:tcBorders>
              <w:top w:val="nil"/>
              <w:left w:val="nil"/>
              <w:bottom w:val="nil"/>
              <w:right w:val="nil"/>
            </w:tcBorders>
            <w:shd w:val="clear" w:color="auto" w:fill="auto"/>
            <w:noWrap/>
            <w:vAlign w:val="center"/>
            <w:hideMark/>
          </w:tcPr>
          <w:p w14:paraId="567FB572" w14:textId="77777777" w:rsidR="00820C51" w:rsidRPr="00BE50B8" w:rsidRDefault="00820C51" w:rsidP="00D30385">
            <w:pPr>
              <w:spacing w:after="0"/>
              <w:rPr>
                <w:rFonts w:ascii="Times New Roman" w:eastAsia="Times New Roman" w:hAnsi="Times New Roman" w:cs="Times New Roman"/>
                <w:color w:val="000000"/>
                <w:sz w:val="20"/>
                <w:szCs w:val="20"/>
                <w:lang w:val="en-US"/>
              </w:rPr>
            </w:pPr>
            <w:r w:rsidRPr="00BE50B8">
              <w:rPr>
                <w:rFonts w:ascii="Times New Roman" w:eastAsia="Times New Roman" w:hAnsi="Times New Roman" w:cs="Times New Roman"/>
                <w:color w:val="000000"/>
                <w:sz w:val="20"/>
                <w:szCs w:val="20"/>
                <w:lang w:val="en-US"/>
              </w:rPr>
              <w:t>Illicit substance use (lifetime)</w:t>
            </w:r>
          </w:p>
        </w:tc>
        <w:tc>
          <w:tcPr>
            <w:tcW w:w="1766" w:type="dxa"/>
            <w:tcBorders>
              <w:top w:val="nil"/>
              <w:left w:val="nil"/>
              <w:bottom w:val="nil"/>
              <w:right w:val="nil"/>
            </w:tcBorders>
            <w:vAlign w:val="center"/>
          </w:tcPr>
          <w:p w14:paraId="7C60BFAF" w14:textId="77777777" w:rsidR="00820C51" w:rsidRPr="00BE50B8" w:rsidRDefault="00820C51" w:rsidP="00D30385">
            <w:pPr>
              <w:spacing w:after="0"/>
              <w:rPr>
                <w:rFonts w:ascii="Times New Roman" w:eastAsia="Times New Roman" w:hAnsi="Times New Roman" w:cs="Times New Roman"/>
                <w:color w:val="000000"/>
                <w:sz w:val="20"/>
                <w:szCs w:val="20"/>
                <w:lang w:val="en-US"/>
              </w:rPr>
            </w:pPr>
            <w:r w:rsidRPr="00BE50B8">
              <w:rPr>
                <w:rFonts w:ascii="Times New Roman" w:eastAsia="Times New Roman" w:hAnsi="Times New Roman" w:cs="Times New Roman"/>
                <w:color w:val="000000"/>
                <w:sz w:val="20"/>
                <w:szCs w:val="20"/>
                <w:lang w:val="en-US"/>
              </w:rPr>
              <w:t>No</w:t>
            </w:r>
          </w:p>
        </w:tc>
        <w:tc>
          <w:tcPr>
            <w:tcW w:w="1636" w:type="dxa"/>
            <w:tcBorders>
              <w:top w:val="nil"/>
              <w:left w:val="nil"/>
              <w:bottom w:val="nil"/>
              <w:right w:val="nil"/>
            </w:tcBorders>
            <w:vAlign w:val="center"/>
          </w:tcPr>
          <w:p w14:paraId="26A6A4A5"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sz w:val="20"/>
                <w:szCs w:val="20"/>
              </w:rPr>
              <w:t>Reference</w:t>
            </w:r>
          </w:p>
        </w:tc>
        <w:tc>
          <w:tcPr>
            <w:tcW w:w="1051" w:type="dxa"/>
            <w:tcBorders>
              <w:top w:val="nil"/>
              <w:left w:val="nil"/>
              <w:bottom w:val="nil"/>
              <w:right w:val="nil"/>
            </w:tcBorders>
            <w:vAlign w:val="center"/>
          </w:tcPr>
          <w:p w14:paraId="62072262" w14:textId="14D4D835" w:rsidR="00820C51" w:rsidRPr="00BE50B8" w:rsidRDefault="00E70E39"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&lt;0.001*</w:t>
            </w:r>
          </w:p>
        </w:tc>
        <w:tc>
          <w:tcPr>
            <w:tcW w:w="1751" w:type="dxa"/>
            <w:tcBorders>
              <w:top w:val="nil"/>
              <w:left w:val="nil"/>
              <w:bottom w:val="nil"/>
              <w:right w:val="nil"/>
            </w:tcBorders>
            <w:shd w:val="clear" w:color="auto" w:fill="auto"/>
            <w:noWrap/>
            <w:vAlign w:val="center"/>
            <w:hideMark/>
          </w:tcPr>
          <w:p w14:paraId="46BEFEA4"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sz w:val="20"/>
                <w:szCs w:val="20"/>
              </w:rPr>
              <w:t>Reference</w:t>
            </w:r>
          </w:p>
        </w:tc>
        <w:tc>
          <w:tcPr>
            <w:tcW w:w="1073" w:type="dxa"/>
            <w:tcBorders>
              <w:top w:val="nil"/>
              <w:left w:val="nil"/>
              <w:bottom w:val="nil"/>
              <w:right w:val="nil"/>
            </w:tcBorders>
            <w:shd w:val="clear" w:color="auto" w:fill="auto"/>
            <w:noWrap/>
            <w:vAlign w:val="center"/>
            <w:hideMark/>
          </w:tcPr>
          <w:p w14:paraId="283BA8C7" w14:textId="77777777" w:rsidR="00820C51" w:rsidRPr="00BE50B8" w:rsidRDefault="00820C51" w:rsidP="00D30385">
            <w:pPr>
              <w:spacing w:after="0"/>
              <w:jc w:val="center"/>
              <w:rPr>
                <w:rFonts w:ascii="Times New Roman" w:eastAsia="Times New Roman" w:hAnsi="Times New Roman" w:cs="Times New Roman"/>
                <w:sz w:val="20"/>
                <w:szCs w:val="20"/>
                <w:lang w:val="en-US"/>
              </w:rPr>
            </w:pPr>
            <w:r w:rsidRPr="00BE50B8">
              <w:rPr>
                <w:rFonts w:ascii="Times New Roman" w:eastAsia="Times New Roman" w:hAnsi="Times New Roman" w:cs="Times New Roman"/>
                <w:sz w:val="20"/>
                <w:szCs w:val="20"/>
                <w:lang w:val="en-US"/>
              </w:rPr>
              <w:t>0.002*</w:t>
            </w:r>
          </w:p>
        </w:tc>
      </w:tr>
      <w:tr w:rsidR="00820C51" w:rsidRPr="00BE50B8" w14:paraId="6CA46B6C" w14:textId="77777777" w:rsidTr="00D30385">
        <w:trPr>
          <w:trHeight w:val="262"/>
        </w:trPr>
        <w:tc>
          <w:tcPr>
            <w:tcW w:w="3686" w:type="dxa"/>
            <w:tcBorders>
              <w:top w:val="nil"/>
              <w:left w:val="nil"/>
              <w:bottom w:val="nil"/>
              <w:right w:val="nil"/>
            </w:tcBorders>
            <w:shd w:val="clear" w:color="auto" w:fill="auto"/>
            <w:noWrap/>
            <w:vAlign w:val="center"/>
          </w:tcPr>
          <w:p w14:paraId="48F0AE69" w14:textId="77777777" w:rsidR="00820C51" w:rsidRPr="00BE50B8" w:rsidRDefault="00820C51" w:rsidP="00D30385">
            <w:pPr>
              <w:spacing w:after="0"/>
              <w:jc w:val="right"/>
              <w:rPr>
                <w:rFonts w:ascii="Times New Roman" w:eastAsia="Times New Roman" w:hAnsi="Times New Roman" w:cs="Times New Roman"/>
                <w:color w:val="000000"/>
                <w:sz w:val="20"/>
                <w:szCs w:val="20"/>
                <w:lang w:val="en-US"/>
              </w:rPr>
            </w:pPr>
          </w:p>
        </w:tc>
        <w:tc>
          <w:tcPr>
            <w:tcW w:w="1766" w:type="dxa"/>
            <w:tcBorders>
              <w:top w:val="nil"/>
              <w:left w:val="nil"/>
              <w:bottom w:val="nil"/>
              <w:right w:val="nil"/>
            </w:tcBorders>
            <w:vAlign w:val="center"/>
          </w:tcPr>
          <w:p w14:paraId="545FD7E5" w14:textId="77777777" w:rsidR="00820C51" w:rsidRPr="00BE50B8" w:rsidRDefault="00820C51" w:rsidP="00D30385">
            <w:pPr>
              <w:spacing w:after="0"/>
              <w:rPr>
                <w:rFonts w:ascii="Times New Roman" w:eastAsia="Times New Roman" w:hAnsi="Times New Roman" w:cs="Times New Roman"/>
                <w:color w:val="000000"/>
                <w:sz w:val="20"/>
                <w:szCs w:val="20"/>
                <w:lang w:val="en-US"/>
              </w:rPr>
            </w:pPr>
            <w:r w:rsidRPr="00BE50B8">
              <w:rPr>
                <w:rFonts w:ascii="Times New Roman" w:eastAsia="Times New Roman" w:hAnsi="Times New Roman" w:cs="Times New Roman"/>
                <w:color w:val="000000"/>
                <w:sz w:val="20"/>
                <w:szCs w:val="20"/>
                <w:lang w:val="en-US"/>
              </w:rPr>
              <w:t>Yes</w:t>
            </w:r>
          </w:p>
        </w:tc>
        <w:tc>
          <w:tcPr>
            <w:tcW w:w="1636" w:type="dxa"/>
            <w:tcBorders>
              <w:top w:val="nil"/>
              <w:left w:val="nil"/>
              <w:bottom w:val="nil"/>
              <w:right w:val="nil"/>
            </w:tcBorders>
            <w:vAlign w:val="center"/>
          </w:tcPr>
          <w:p w14:paraId="7BEA5FA7"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5.6 (4.1-7.6)</w:t>
            </w:r>
          </w:p>
        </w:tc>
        <w:tc>
          <w:tcPr>
            <w:tcW w:w="1051" w:type="dxa"/>
            <w:tcBorders>
              <w:top w:val="nil"/>
              <w:left w:val="nil"/>
              <w:bottom w:val="nil"/>
              <w:right w:val="nil"/>
            </w:tcBorders>
            <w:vAlign w:val="center"/>
          </w:tcPr>
          <w:p w14:paraId="69648659"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&lt;0.001</w:t>
            </w:r>
          </w:p>
        </w:tc>
        <w:tc>
          <w:tcPr>
            <w:tcW w:w="1751" w:type="dxa"/>
            <w:tcBorders>
              <w:top w:val="nil"/>
              <w:left w:val="nil"/>
              <w:bottom w:val="nil"/>
              <w:right w:val="nil"/>
            </w:tcBorders>
            <w:shd w:val="clear" w:color="auto" w:fill="auto"/>
            <w:noWrap/>
            <w:vAlign w:val="center"/>
            <w:hideMark/>
          </w:tcPr>
          <w:p w14:paraId="5082E7C3"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2.4 (1.5-4.1)</w:t>
            </w:r>
          </w:p>
        </w:tc>
        <w:tc>
          <w:tcPr>
            <w:tcW w:w="1073" w:type="dxa"/>
            <w:tcBorders>
              <w:top w:val="nil"/>
              <w:left w:val="nil"/>
              <w:bottom w:val="nil"/>
              <w:right w:val="nil"/>
            </w:tcBorders>
            <w:shd w:val="clear" w:color="auto" w:fill="auto"/>
            <w:noWrap/>
            <w:vAlign w:val="center"/>
            <w:hideMark/>
          </w:tcPr>
          <w:p w14:paraId="4901FF1A"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0.001</w:t>
            </w:r>
          </w:p>
        </w:tc>
      </w:tr>
      <w:tr w:rsidR="00820C51" w:rsidRPr="00BE50B8" w14:paraId="1F5A0462" w14:textId="77777777" w:rsidTr="00D30385">
        <w:trPr>
          <w:trHeight w:val="262"/>
        </w:trPr>
        <w:tc>
          <w:tcPr>
            <w:tcW w:w="3686" w:type="dxa"/>
            <w:tcBorders>
              <w:top w:val="nil"/>
              <w:left w:val="nil"/>
              <w:bottom w:val="nil"/>
              <w:right w:val="nil"/>
            </w:tcBorders>
            <w:shd w:val="clear" w:color="auto" w:fill="auto"/>
            <w:noWrap/>
            <w:vAlign w:val="center"/>
            <w:hideMark/>
          </w:tcPr>
          <w:p w14:paraId="7ABA0C69" w14:textId="77777777" w:rsidR="00820C51" w:rsidRPr="00BE50B8" w:rsidRDefault="00820C51" w:rsidP="00D30385">
            <w:pPr>
              <w:spacing w:after="0"/>
              <w:jc w:val="right"/>
              <w:rPr>
                <w:rFonts w:ascii="Times New Roman" w:eastAsia="Times New Roman" w:hAnsi="Times New Roman" w:cs="Times New Roman"/>
                <w:color w:val="000000"/>
                <w:sz w:val="20"/>
                <w:szCs w:val="20"/>
                <w:lang w:val="en-US"/>
              </w:rPr>
            </w:pPr>
          </w:p>
        </w:tc>
        <w:tc>
          <w:tcPr>
            <w:tcW w:w="1766" w:type="dxa"/>
            <w:tcBorders>
              <w:top w:val="nil"/>
              <w:left w:val="nil"/>
              <w:bottom w:val="nil"/>
              <w:right w:val="nil"/>
            </w:tcBorders>
            <w:vAlign w:val="center"/>
          </w:tcPr>
          <w:p w14:paraId="4E7B13DA" w14:textId="77777777" w:rsidR="00820C51" w:rsidRPr="00BE50B8" w:rsidRDefault="00820C51" w:rsidP="00D30385">
            <w:pPr>
              <w:spacing w:after="0"/>
              <w:rPr>
                <w:rFonts w:ascii="Times New Roman" w:eastAsia="Times New Roman" w:hAnsi="Times New Roman" w:cs="Times New Roman"/>
                <w:color w:val="000000"/>
                <w:sz w:val="20"/>
                <w:szCs w:val="20"/>
                <w:lang w:val="en-US"/>
              </w:rPr>
            </w:pPr>
            <w:r w:rsidRPr="00BE50B8">
              <w:rPr>
                <w:rFonts w:ascii="Times New Roman" w:eastAsia="Times New Roman" w:hAnsi="Times New Roman" w:cs="Times New Roman"/>
                <w:color w:val="000000"/>
                <w:sz w:val="20"/>
                <w:szCs w:val="20"/>
                <w:lang w:val="en-US"/>
              </w:rPr>
              <w:t>Missing</w:t>
            </w:r>
          </w:p>
        </w:tc>
        <w:tc>
          <w:tcPr>
            <w:tcW w:w="1636" w:type="dxa"/>
            <w:tcBorders>
              <w:top w:val="nil"/>
              <w:left w:val="nil"/>
              <w:bottom w:val="nil"/>
              <w:right w:val="nil"/>
            </w:tcBorders>
            <w:vAlign w:val="center"/>
          </w:tcPr>
          <w:p w14:paraId="62B567D6"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sz w:val="20"/>
                <w:szCs w:val="20"/>
              </w:rPr>
              <w:t>0.6 (0.3-1.0)</w:t>
            </w:r>
          </w:p>
        </w:tc>
        <w:tc>
          <w:tcPr>
            <w:tcW w:w="1051" w:type="dxa"/>
            <w:tcBorders>
              <w:top w:val="nil"/>
              <w:left w:val="nil"/>
              <w:bottom w:val="nil"/>
              <w:right w:val="nil"/>
            </w:tcBorders>
            <w:vAlign w:val="center"/>
          </w:tcPr>
          <w:p w14:paraId="645D6E2F"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sz w:val="20"/>
                <w:szCs w:val="20"/>
              </w:rPr>
              <w:t>0.064</w:t>
            </w:r>
          </w:p>
        </w:tc>
        <w:tc>
          <w:tcPr>
            <w:tcW w:w="1751" w:type="dxa"/>
            <w:tcBorders>
              <w:top w:val="nil"/>
              <w:left w:val="nil"/>
              <w:bottom w:val="nil"/>
              <w:right w:val="nil"/>
            </w:tcBorders>
            <w:shd w:val="clear" w:color="auto" w:fill="auto"/>
            <w:noWrap/>
            <w:vAlign w:val="center"/>
            <w:hideMark/>
          </w:tcPr>
          <w:p w14:paraId="6F58DB0F"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sz w:val="20"/>
                <w:szCs w:val="20"/>
              </w:rPr>
              <w:t>1.2 (0.6-2.4)</w:t>
            </w:r>
          </w:p>
        </w:tc>
        <w:tc>
          <w:tcPr>
            <w:tcW w:w="1073" w:type="dxa"/>
            <w:tcBorders>
              <w:top w:val="nil"/>
              <w:left w:val="nil"/>
              <w:bottom w:val="nil"/>
              <w:right w:val="nil"/>
            </w:tcBorders>
            <w:shd w:val="clear" w:color="auto" w:fill="auto"/>
            <w:noWrap/>
            <w:vAlign w:val="center"/>
            <w:hideMark/>
          </w:tcPr>
          <w:p w14:paraId="3ED8D46C"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sz w:val="20"/>
                <w:szCs w:val="20"/>
              </w:rPr>
              <w:t>0.536</w:t>
            </w:r>
          </w:p>
        </w:tc>
      </w:tr>
      <w:tr w:rsidR="00820C51" w:rsidRPr="00BE50B8" w14:paraId="36082BED" w14:textId="77777777" w:rsidTr="00D30385">
        <w:trPr>
          <w:trHeight w:val="262"/>
        </w:trPr>
        <w:tc>
          <w:tcPr>
            <w:tcW w:w="3686" w:type="dxa"/>
            <w:tcBorders>
              <w:top w:val="nil"/>
              <w:left w:val="nil"/>
              <w:bottom w:val="nil"/>
              <w:right w:val="nil"/>
            </w:tcBorders>
            <w:shd w:val="clear" w:color="auto" w:fill="auto"/>
            <w:noWrap/>
            <w:vAlign w:val="center"/>
            <w:hideMark/>
          </w:tcPr>
          <w:p w14:paraId="5B66F293" w14:textId="77777777" w:rsidR="00820C51" w:rsidRPr="00BE50B8" w:rsidRDefault="00820C51" w:rsidP="00D30385">
            <w:pPr>
              <w:spacing w:after="0"/>
              <w:rPr>
                <w:rFonts w:ascii="Times New Roman" w:eastAsia="Times New Roman" w:hAnsi="Times New Roman" w:cs="Times New Roman"/>
                <w:color w:val="000000"/>
                <w:sz w:val="20"/>
                <w:szCs w:val="20"/>
                <w:lang w:val="en-US"/>
              </w:rPr>
            </w:pPr>
            <w:r w:rsidRPr="00BE50B8">
              <w:rPr>
                <w:rFonts w:ascii="Times New Roman" w:eastAsia="Times New Roman" w:hAnsi="Times New Roman" w:cs="Times New Roman"/>
                <w:color w:val="000000"/>
                <w:sz w:val="20"/>
                <w:szCs w:val="20"/>
                <w:lang w:val="en-US"/>
              </w:rPr>
              <w:t>Drank alcohol (past month)</w:t>
            </w:r>
          </w:p>
        </w:tc>
        <w:tc>
          <w:tcPr>
            <w:tcW w:w="1766" w:type="dxa"/>
            <w:tcBorders>
              <w:top w:val="nil"/>
              <w:left w:val="nil"/>
              <w:bottom w:val="nil"/>
              <w:right w:val="nil"/>
            </w:tcBorders>
            <w:vAlign w:val="center"/>
          </w:tcPr>
          <w:p w14:paraId="1774DC7A" w14:textId="77777777" w:rsidR="00820C51" w:rsidRPr="00BE50B8" w:rsidRDefault="00820C51" w:rsidP="00D30385">
            <w:pPr>
              <w:spacing w:after="0"/>
              <w:rPr>
                <w:rFonts w:ascii="Times New Roman" w:eastAsia="Times New Roman" w:hAnsi="Times New Roman" w:cs="Times New Roman"/>
                <w:color w:val="000000"/>
                <w:sz w:val="20"/>
                <w:szCs w:val="20"/>
                <w:lang w:val="en-US"/>
              </w:rPr>
            </w:pPr>
            <w:r w:rsidRPr="00BE50B8">
              <w:rPr>
                <w:rFonts w:ascii="Times New Roman" w:eastAsia="Times New Roman" w:hAnsi="Times New Roman" w:cs="Times New Roman"/>
                <w:color w:val="000000"/>
                <w:sz w:val="20"/>
                <w:szCs w:val="20"/>
                <w:lang w:val="en-US"/>
              </w:rPr>
              <w:t>No</w:t>
            </w:r>
          </w:p>
        </w:tc>
        <w:tc>
          <w:tcPr>
            <w:tcW w:w="1636" w:type="dxa"/>
            <w:tcBorders>
              <w:top w:val="nil"/>
              <w:left w:val="nil"/>
              <w:bottom w:val="nil"/>
              <w:right w:val="nil"/>
            </w:tcBorders>
            <w:vAlign w:val="center"/>
          </w:tcPr>
          <w:p w14:paraId="793AFD72"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sz w:val="20"/>
                <w:szCs w:val="20"/>
              </w:rPr>
              <w:t>Reference</w:t>
            </w:r>
          </w:p>
        </w:tc>
        <w:tc>
          <w:tcPr>
            <w:tcW w:w="1051" w:type="dxa"/>
            <w:tcBorders>
              <w:top w:val="nil"/>
              <w:left w:val="nil"/>
              <w:bottom w:val="nil"/>
              <w:right w:val="nil"/>
            </w:tcBorders>
            <w:vAlign w:val="center"/>
          </w:tcPr>
          <w:p w14:paraId="671A0967"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p>
        </w:tc>
        <w:tc>
          <w:tcPr>
            <w:tcW w:w="1751" w:type="dxa"/>
            <w:tcBorders>
              <w:top w:val="nil"/>
              <w:left w:val="nil"/>
              <w:bottom w:val="nil"/>
              <w:right w:val="nil"/>
            </w:tcBorders>
            <w:shd w:val="clear" w:color="auto" w:fill="auto"/>
            <w:noWrap/>
            <w:vAlign w:val="center"/>
            <w:hideMark/>
          </w:tcPr>
          <w:p w14:paraId="6CE7B285"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sz w:val="20"/>
                <w:szCs w:val="20"/>
              </w:rPr>
              <w:t>Reference</w:t>
            </w:r>
          </w:p>
        </w:tc>
        <w:tc>
          <w:tcPr>
            <w:tcW w:w="1073" w:type="dxa"/>
            <w:tcBorders>
              <w:top w:val="nil"/>
              <w:left w:val="nil"/>
              <w:bottom w:val="nil"/>
              <w:right w:val="nil"/>
            </w:tcBorders>
            <w:shd w:val="clear" w:color="auto" w:fill="auto"/>
            <w:noWrap/>
            <w:vAlign w:val="center"/>
            <w:hideMark/>
          </w:tcPr>
          <w:p w14:paraId="0FB88D0F" w14:textId="77777777" w:rsidR="00820C51" w:rsidRPr="00BE50B8" w:rsidRDefault="00820C51" w:rsidP="00D30385">
            <w:pPr>
              <w:spacing w:after="0"/>
              <w:jc w:val="center"/>
              <w:rPr>
                <w:rFonts w:ascii="Times New Roman" w:eastAsia="Times New Roman" w:hAnsi="Times New Roman" w:cs="Times New Roman"/>
                <w:sz w:val="20"/>
                <w:szCs w:val="20"/>
                <w:lang w:val="en-US"/>
              </w:rPr>
            </w:pPr>
          </w:p>
        </w:tc>
      </w:tr>
      <w:tr w:rsidR="00820C51" w:rsidRPr="00BE50B8" w14:paraId="404AC237" w14:textId="77777777" w:rsidTr="00D30385">
        <w:trPr>
          <w:trHeight w:val="262"/>
        </w:trPr>
        <w:tc>
          <w:tcPr>
            <w:tcW w:w="3686" w:type="dxa"/>
            <w:tcBorders>
              <w:top w:val="nil"/>
              <w:left w:val="nil"/>
              <w:bottom w:val="nil"/>
              <w:right w:val="nil"/>
            </w:tcBorders>
            <w:shd w:val="clear" w:color="auto" w:fill="auto"/>
            <w:noWrap/>
            <w:vAlign w:val="center"/>
          </w:tcPr>
          <w:p w14:paraId="7289F4C4" w14:textId="77777777" w:rsidR="00820C51" w:rsidRPr="00BE50B8" w:rsidRDefault="00820C51" w:rsidP="00D30385">
            <w:pPr>
              <w:spacing w:after="0"/>
              <w:jc w:val="right"/>
              <w:rPr>
                <w:rFonts w:ascii="Times New Roman" w:eastAsia="Times New Roman" w:hAnsi="Times New Roman" w:cs="Times New Roman"/>
                <w:color w:val="000000"/>
                <w:sz w:val="20"/>
                <w:szCs w:val="20"/>
                <w:lang w:val="en-US"/>
              </w:rPr>
            </w:pPr>
          </w:p>
        </w:tc>
        <w:tc>
          <w:tcPr>
            <w:tcW w:w="1766" w:type="dxa"/>
            <w:tcBorders>
              <w:top w:val="nil"/>
              <w:left w:val="nil"/>
              <w:bottom w:val="nil"/>
              <w:right w:val="nil"/>
            </w:tcBorders>
            <w:vAlign w:val="center"/>
          </w:tcPr>
          <w:p w14:paraId="318002F5" w14:textId="77777777" w:rsidR="00820C51" w:rsidRPr="00BE50B8" w:rsidRDefault="00820C51" w:rsidP="00D30385">
            <w:pPr>
              <w:spacing w:after="0"/>
              <w:rPr>
                <w:rFonts w:ascii="Times New Roman" w:eastAsia="Times New Roman" w:hAnsi="Times New Roman" w:cs="Times New Roman"/>
                <w:color w:val="000000"/>
                <w:sz w:val="20"/>
                <w:szCs w:val="20"/>
                <w:lang w:val="en-US"/>
              </w:rPr>
            </w:pPr>
            <w:r w:rsidRPr="00BE50B8">
              <w:rPr>
                <w:rFonts w:ascii="Times New Roman" w:eastAsia="Times New Roman" w:hAnsi="Times New Roman" w:cs="Times New Roman"/>
                <w:color w:val="000000"/>
                <w:sz w:val="20"/>
                <w:szCs w:val="20"/>
                <w:lang w:val="en-US"/>
              </w:rPr>
              <w:t>Yes</w:t>
            </w:r>
          </w:p>
        </w:tc>
        <w:tc>
          <w:tcPr>
            <w:tcW w:w="1636" w:type="dxa"/>
            <w:tcBorders>
              <w:top w:val="nil"/>
              <w:left w:val="nil"/>
              <w:bottom w:val="nil"/>
              <w:right w:val="nil"/>
            </w:tcBorders>
            <w:vAlign w:val="center"/>
          </w:tcPr>
          <w:p w14:paraId="16FE3F4F"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3.4 (2.5-4.6)</w:t>
            </w:r>
          </w:p>
        </w:tc>
        <w:tc>
          <w:tcPr>
            <w:tcW w:w="1051" w:type="dxa"/>
            <w:tcBorders>
              <w:top w:val="nil"/>
              <w:left w:val="nil"/>
              <w:bottom w:val="nil"/>
              <w:right w:val="nil"/>
            </w:tcBorders>
            <w:vAlign w:val="center"/>
          </w:tcPr>
          <w:p w14:paraId="32CF660F"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&lt;0.001</w:t>
            </w:r>
          </w:p>
        </w:tc>
        <w:tc>
          <w:tcPr>
            <w:tcW w:w="1751" w:type="dxa"/>
            <w:tcBorders>
              <w:top w:val="nil"/>
              <w:left w:val="nil"/>
              <w:bottom w:val="nil"/>
              <w:right w:val="nil"/>
            </w:tcBorders>
            <w:shd w:val="clear" w:color="auto" w:fill="auto"/>
            <w:noWrap/>
            <w:vAlign w:val="center"/>
            <w:hideMark/>
          </w:tcPr>
          <w:p w14:paraId="598B154E"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1.7 (1.1-2.8)</w:t>
            </w:r>
          </w:p>
        </w:tc>
        <w:tc>
          <w:tcPr>
            <w:tcW w:w="1073" w:type="dxa"/>
            <w:tcBorders>
              <w:top w:val="nil"/>
              <w:left w:val="nil"/>
              <w:bottom w:val="nil"/>
              <w:right w:val="nil"/>
            </w:tcBorders>
            <w:shd w:val="clear" w:color="auto" w:fill="auto"/>
            <w:noWrap/>
            <w:vAlign w:val="center"/>
            <w:hideMark/>
          </w:tcPr>
          <w:p w14:paraId="47BD3298"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0.028</w:t>
            </w:r>
          </w:p>
        </w:tc>
      </w:tr>
      <w:tr w:rsidR="00820C51" w:rsidRPr="00BE50B8" w14:paraId="10A121DC" w14:textId="77777777" w:rsidTr="00D30385">
        <w:trPr>
          <w:trHeight w:val="262"/>
        </w:trPr>
        <w:tc>
          <w:tcPr>
            <w:tcW w:w="3686" w:type="dxa"/>
            <w:tcBorders>
              <w:top w:val="nil"/>
              <w:left w:val="nil"/>
              <w:bottom w:val="nil"/>
              <w:right w:val="nil"/>
            </w:tcBorders>
            <w:shd w:val="clear" w:color="auto" w:fill="auto"/>
            <w:noWrap/>
            <w:vAlign w:val="center"/>
            <w:hideMark/>
          </w:tcPr>
          <w:p w14:paraId="0F099F63" w14:textId="77777777" w:rsidR="00820C51" w:rsidRPr="00BE50B8" w:rsidRDefault="00820C51" w:rsidP="00D30385">
            <w:pPr>
              <w:spacing w:after="0"/>
              <w:rPr>
                <w:rFonts w:ascii="Times New Roman" w:eastAsia="Times New Roman" w:hAnsi="Times New Roman" w:cs="Times New Roman"/>
                <w:color w:val="000000"/>
                <w:sz w:val="20"/>
                <w:szCs w:val="20"/>
                <w:lang w:val="en-US"/>
              </w:rPr>
            </w:pPr>
            <w:r w:rsidRPr="00BE50B8">
              <w:rPr>
                <w:rFonts w:ascii="Times New Roman" w:eastAsia="Times New Roman" w:hAnsi="Times New Roman" w:cs="Times New Roman"/>
                <w:color w:val="000000"/>
                <w:sz w:val="20"/>
                <w:szCs w:val="20"/>
                <w:lang w:val="en-US"/>
              </w:rPr>
              <w:t>Bullied or cyber bullied (12 months)</w:t>
            </w:r>
          </w:p>
        </w:tc>
        <w:tc>
          <w:tcPr>
            <w:tcW w:w="1766" w:type="dxa"/>
            <w:tcBorders>
              <w:top w:val="nil"/>
              <w:left w:val="nil"/>
              <w:bottom w:val="nil"/>
              <w:right w:val="nil"/>
            </w:tcBorders>
            <w:vAlign w:val="center"/>
          </w:tcPr>
          <w:p w14:paraId="7F343F8D" w14:textId="77777777" w:rsidR="00820C51" w:rsidRPr="00BE50B8" w:rsidRDefault="00820C51" w:rsidP="00D30385">
            <w:pPr>
              <w:spacing w:after="0"/>
              <w:rPr>
                <w:rFonts w:ascii="Times New Roman" w:eastAsia="Times New Roman" w:hAnsi="Times New Roman" w:cs="Times New Roman"/>
                <w:color w:val="000000"/>
                <w:sz w:val="20"/>
                <w:szCs w:val="20"/>
                <w:lang w:val="en-US"/>
              </w:rPr>
            </w:pPr>
            <w:r w:rsidRPr="00BE50B8">
              <w:rPr>
                <w:rFonts w:ascii="Times New Roman" w:eastAsia="Times New Roman" w:hAnsi="Times New Roman" w:cs="Times New Roman"/>
                <w:color w:val="000000"/>
                <w:sz w:val="20"/>
                <w:szCs w:val="20"/>
                <w:lang w:val="en-US"/>
              </w:rPr>
              <w:t>No</w:t>
            </w:r>
          </w:p>
        </w:tc>
        <w:tc>
          <w:tcPr>
            <w:tcW w:w="1636" w:type="dxa"/>
            <w:tcBorders>
              <w:top w:val="nil"/>
              <w:left w:val="nil"/>
              <w:bottom w:val="nil"/>
              <w:right w:val="nil"/>
            </w:tcBorders>
            <w:vAlign w:val="center"/>
          </w:tcPr>
          <w:p w14:paraId="1276F2F8"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sz w:val="20"/>
                <w:szCs w:val="20"/>
              </w:rPr>
              <w:t>Reference</w:t>
            </w:r>
          </w:p>
        </w:tc>
        <w:tc>
          <w:tcPr>
            <w:tcW w:w="1051" w:type="dxa"/>
            <w:tcBorders>
              <w:top w:val="nil"/>
              <w:left w:val="nil"/>
              <w:bottom w:val="nil"/>
              <w:right w:val="nil"/>
            </w:tcBorders>
            <w:vAlign w:val="center"/>
          </w:tcPr>
          <w:p w14:paraId="7853D98D"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p>
        </w:tc>
        <w:tc>
          <w:tcPr>
            <w:tcW w:w="1751" w:type="dxa"/>
            <w:tcBorders>
              <w:top w:val="nil"/>
              <w:left w:val="nil"/>
              <w:bottom w:val="nil"/>
              <w:right w:val="nil"/>
            </w:tcBorders>
            <w:shd w:val="clear" w:color="auto" w:fill="auto"/>
            <w:noWrap/>
            <w:vAlign w:val="center"/>
            <w:hideMark/>
          </w:tcPr>
          <w:p w14:paraId="43CDDEAC"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sz w:val="20"/>
                <w:szCs w:val="20"/>
              </w:rPr>
              <w:t>Reference</w:t>
            </w:r>
          </w:p>
        </w:tc>
        <w:tc>
          <w:tcPr>
            <w:tcW w:w="1073" w:type="dxa"/>
            <w:tcBorders>
              <w:top w:val="nil"/>
              <w:left w:val="nil"/>
              <w:bottom w:val="nil"/>
              <w:right w:val="nil"/>
            </w:tcBorders>
            <w:shd w:val="clear" w:color="auto" w:fill="auto"/>
            <w:noWrap/>
            <w:vAlign w:val="center"/>
            <w:hideMark/>
          </w:tcPr>
          <w:p w14:paraId="4BE44E6A" w14:textId="77777777" w:rsidR="00820C51" w:rsidRPr="00BE50B8" w:rsidRDefault="00820C51" w:rsidP="00D30385">
            <w:pPr>
              <w:spacing w:after="0"/>
              <w:jc w:val="center"/>
              <w:rPr>
                <w:rFonts w:ascii="Times New Roman" w:eastAsia="Times New Roman" w:hAnsi="Times New Roman" w:cs="Times New Roman"/>
                <w:sz w:val="20"/>
                <w:szCs w:val="20"/>
                <w:lang w:val="en-US"/>
              </w:rPr>
            </w:pPr>
          </w:p>
        </w:tc>
      </w:tr>
      <w:tr w:rsidR="00820C51" w:rsidRPr="00BE50B8" w14:paraId="6789CC91" w14:textId="77777777" w:rsidTr="00D30385">
        <w:trPr>
          <w:trHeight w:val="262"/>
        </w:trPr>
        <w:tc>
          <w:tcPr>
            <w:tcW w:w="3686" w:type="dxa"/>
            <w:tcBorders>
              <w:top w:val="nil"/>
              <w:left w:val="nil"/>
              <w:bottom w:val="nil"/>
              <w:right w:val="nil"/>
            </w:tcBorders>
            <w:shd w:val="clear" w:color="auto" w:fill="auto"/>
            <w:noWrap/>
            <w:vAlign w:val="center"/>
            <w:hideMark/>
          </w:tcPr>
          <w:p w14:paraId="109CB73D" w14:textId="77777777" w:rsidR="00820C51" w:rsidRPr="00BE50B8" w:rsidRDefault="00820C51" w:rsidP="00D30385">
            <w:pPr>
              <w:spacing w:after="0"/>
              <w:rPr>
                <w:rFonts w:ascii="Times New Roman" w:eastAsia="Times New Roman" w:hAnsi="Times New Roman" w:cs="Times New Roman"/>
                <w:color w:val="000000"/>
                <w:sz w:val="20"/>
                <w:szCs w:val="20"/>
                <w:lang w:val="en-US"/>
              </w:rPr>
            </w:pPr>
          </w:p>
        </w:tc>
        <w:tc>
          <w:tcPr>
            <w:tcW w:w="1766" w:type="dxa"/>
            <w:tcBorders>
              <w:top w:val="nil"/>
              <w:left w:val="nil"/>
              <w:bottom w:val="nil"/>
              <w:right w:val="nil"/>
            </w:tcBorders>
            <w:vAlign w:val="center"/>
          </w:tcPr>
          <w:p w14:paraId="672E491E" w14:textId="77777777" w:rsidR="00820C51" w:rsidRPr="00BE50B8" w:rsidRDefault="00820C51" w:rsidP="00D30385">
            <w:pPr>
              <w:spacing w:after="0"/>
              <w:rPr>
                <w:rFonts w:ascii="Times New Roman" w:eastAsia="Times New Roman" w:hAnsi="Times New Roman" w:cs="Times New Roman"/>
                <w:color w:val="000000"/>
                <w:sz w:val="20"/>
                <w:szCs w:val="20"/>
                <w:lang w:val="en-US"/>
              </w:rPr>
            </w:pPr>
            <w:r w:rsidRPr="00BE50B8">
              <w:rPr>
                <w:rFonts w:ascii="Times New Roman" w:eastAsia="Times New Roman" w:hAnsi="Times New Roman" w:cs="Times New Roman"/>
                <w:color w:val="000000"/>
                <w:sz w:val="20"/>
                <w:szCs w:val="20"/>
                <w:lang w:val="en-US"/>
              </w:rPr>
              <w:t>Yes</w:t>
            </w:r>
          </w:p>
        </w:tc>
        <w:tc>
          <w:tcPr>
            <w:tcW w:w="1636" w:type="dxa"/>
            <w:tcBorders>
              <w:top w:val="nil"/>
              <w:left w:val="nil"/>
              <w:bottom w:val="nil"/>
              <w:right w:val="nil"/>
            </w:tcBorders>
            <w:vAlign w:val="center"/>
          </w:tcPr>
          <w:p w14:paraId="75B7F94F"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3.6 (2.7-4.8)</w:t>
            </w:r>
          </w:p>
        </w:tc>
        <w:tc>
          <w:tcPr>
            <w:tcW w:w="1051" w:type="dxa"/>
            <w:tcBorders>
              <w:top w:val="nil"/>
              <w:left w:val="nil"/>
              <w:bottom w:val="nil"/>
              <w:right w:val="nil"/>
            </w:tcBorders>
            <w:vAlign w:val="center"/>
          </w:tcPr>
          <w:p w14:paraId="2DE43DBE"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&lt;0.001</w:t>
            </w:r>
          </w:p>
        </w:tc>
        <w:tc>
          <w:tcPr>
            <w:tcW w:w="1751" w:type="dxa"/>
            <w:tcBorders>
              <w:top w:val="nil"/>
              <w:left w:val="nil"/>
              <w:bottom w:val="nil"/>
              <w:right w:val="nil"/>
            </w:tcBorders>
            <w:shd w:val="clear" w:color="auto" w:fill="auto"/>
            <w:noWrap/>
            <w:vAlign w:val="center"/>
            <w:hideMark/>
          </w:tcPr>
          <w:p w14:paraId="2821672F"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1.5 (1.0-2.2)</w:t>
            </w:r>
          </w:p>
        </w:tc>
        <w:tc>
          <w:tcPr>
            <w:tcW w:w="1073" w:type="dxa"/>
            <w:tcBorders>
              <w:top w:val="nil"/>
              <w:left w:val="nil"/>
              <w:bottom w:val="nil"/>
              <w:right w:val="nil"/>
            </w:tcBorders>
            <w:shd w:val="clear" w:color="auto" w:fill="auto"/>
            <w:noWrap/>
            <w:vAlign w:val="center"/>
            <w:hideMark/>
          </w:tcPr>
          <w:p w14:paraId="248042A7"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0.039</w:t>
            </w:r>
          </w:p>
        </w:tc>
      </w:tr>
      <w:tr w:rsidR="00820C51" w:rsidRPr="00BE50B8" w14:paraId="6C49945F" w14:textId="77777777" w:rsidTr="00D30385">
        <w:trPr>
          <w:trHeight w:val="262"/>
        </w:trPr>
        <w:tc>
          <w:tcPr>
            <w:tcW w:w="3686" w:type="dxa"/>
            <w:tcBorders>
              <w:top w:val="nil"/>
              <w:left w:val="nil"/>
              <w:bottom w:val="nil"/>
              <w:right w:val="nil"/>
            </w:tcBorders>
            <w:shd w:val="clear" w:color="auto" w:fill="auto"/>
            <w:noWrap/>
            <w:vAlign w:val="center"/>
            <w:hideMark/>
          </w:tcPr>
          <w:p w14:paraId="2C79D6F4" w14:textId="77777777" w:rsidR="00820C51" w:rsidRPr="00BE50B8" w:rsidRDefault="00820C51" w:rsidP="00D30385">
            <w:pPr>
              <w:spacing w:after="0"/>
              <w:rPr>
                <w:rFonts w:ascii="Times New Roman" w:eastAsia="Times New Roman" w:hAnsi="Times New Roman" w:cs="Times New Roman"/>
                <w:color w:val="000000"/>
                <w:sz w:val="20"/>
                <w:szCs w:val="20"/>
                <w:vertAlign w:val="superscript"/>
                <w:lang w:val="en-US"/>
              </w:rPr>
            </w:pPr>
            <w:r w:rsidRPr="00BE50B8">
              <w:rPr>
                <w:rFonts w:ascii="Times New Roman" w:eastAsia="Times New Roman" w:hAnsi="Times New Roman" w:cs="Times New Roman"/>
                <w:color w:val="000000"/>
                <w:sz w:val="20"/>
                <w:szCs w:val="20"/>
                <w:lang w:val="en-US"/>
              </w:rPr>
              <w:t xml:space="preserve">Family connectedness </w:t>
            </w:r>
            <w:r w:rsidRPr="00BE50B8">
              <w:rPr>
                <w:rFonts w:ascii="Times New Roman" w:eastAsia="Times New Roman" w:hAnsi="Times New Roman" w:cs="Times New Roman"/>
                <w:color w:val="000000"/>
                <w:sz w:val="20"/>
                <w:szCs w:val="20"/>
                <w:vertAlign w:val="superscript"/>
                <w:lang w:val="en-US"/>
              </w:rPr>
              <w:t>c</w:t>
            </w:r>
          </w:p>
        </w:tc>
        <w:tc>
          <w:tcPr>
            <w:tcW w:w="1766" w:type="dxa"/>
            <w:tcBorders>
              <w:top w:val="nil"/>
              <w:left w:val="nil"/>
              <w:bottom w:val="nil"/>
              <w:right w:val="nil"/>
            </w:tcBorders>
            <w:vAlign w:val="center"/>
          </w:tcPr>
          <w:p w14:paraId="59382748" w14:textId="77777777" w:rsidR="00820C51" w:rsidRPr="00BE50B8" w:rsidRDefault="00820C51" w:rsidP="00D30385">
            <w:pPr>
              <w:spacing w:after="0"/>
              <w:rPr>
                <w:rFonts w:ascii="Times New Roman" w:eastAsia="Times New Roman" w:hAnsi="Times New Roman" w:cs="Times New Roman"/>
                <w:color w:val="000000"/>
                <w:sz w:val="20"/>
                <w:szCs w:val="20"/>
                <w:lang w:val="en-US"/>
              </w:rPr>
            </w:pPr>
            <w:r w:rsidRPr="00BE50B8">
              <w:rPr>
                <w:rFonts w:ascii="Times New Roman" w:eastAsia="Times New Roman" w:hAnsi="Times New Roman" w:cs="Times New Roman"/>
                <w:color w:val="000000"/>
                <w:sz w:val="20"/>
                <w:szCs w:val="20"/>
                <w:lang w:val="en-US"/>
              </w:rPr>
              <w:t>Always</w:t>
            </w:r>
          </w:p>
        </w:tc>
        <w:tc>
          <w:tcPr>
            <w:tcW w:w="1636" w:type="dxa"/>
            <w:tcBorders>
              <w:top w:val="nil"/>
              <w:left w:val="nil"/>
              <w:bottom w:val="nil"/>
              <w:right w:val="nil"/>
            </w:tcBorders>
            <w:vAlign w:val="center"/>
          </w:tcPr>
          <w:p w14:paraId="5A47CA6C"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sz w:val="20"/>
                <w:szCs w:val="20"/>
              </w:rPr>
              <w:t>Reference</w:t>
            </w:r>
          </w:p>
        </w:tc>
        <w:tc>
          <w:tcPr>
            <w:tcW w:w="1051" w:type="dxa"/>
            <w:tcBorders>
              <w:top w:val="nil"/>
              <w:left w:val="nil"/>
              <w:bottom w:val="nil"/>
              <w:right w:val="nil"/>
            </w:tcBorders>
            <w:vAlign w:val="center"/>
          </w:tcPr>
          <w:p w14:paraId="0F2D8633" w14:textId="3538A1F0" w:rsidR="00820C51" w:rsidRPr="00BE50B8" w:rsidRDefault="00E70E39"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&lt;0.001*</w:t>
            </w:r>
          </w:p>
        </w:tc>
        <w:tc>
          <w:tcPr>
            <w:tcW w:w="1751" w:type="dxa"/>
            <w:tcBorders>
              <w:top w:val="nil"/>
              <w:left w:val="nil"/>
              <w:bottom w:val="nil"/>
              <w:right w:val="nil"/>
            </w:tcBorders>
            <w:shd w:val="clear" w:color="auto" w:fill="auto"/>
            <w:noWrap/>
            <w:vAlign w:val="center"/>
            <w:hideMark/>
          </w:tcPr>
          <w:p w14:paraId="60821AC2"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sz w:val="20"/>
                <w:szCs w:val="20"/>
              </w:rPr>
              <w:t>Reference</w:t>
            </w:r>
          </w:p>
        </w:tc>
        <w:tc>
          <w:tcPr>
            <w:tcW w:w="1073" w:type="dxa"/>
            <w:tcBorders>
              <w:top w:val="nil"/>
              <w:left w:val="nil"/>
              <w:bottom w:val="nil"/>
              <w:right w:val="nil"/>
            </w:tcBorders>
            <w:shd w:val="clear" w:color="auto" w:fill="auto"/>
            <w:noWrap/>
            <w:vAlign w:val="center"/>
            <w:hideMark/>
          </w:tcPr>
          <w:p w14:paraId="7A496235" w14:textId="77777777" w:rsidR="00820C51" w:rsidRPr="00BE50B8" w:rsidRDefault="00820C51" w:rsidP="00D30385">
            <w:pPr>
              <w:spacing w:after="0"/>
              <w:jc w:val="center"/>
              <w:rPr>
                <w:rFonts w:ascii="Times New Roman" w:eastAsia="Times New Roman" w:hAnsi="Times New Roman" w:cs="Times New Roman"/>
                <w:sz w:val="20"/>
                <w:szCs w:val="20"/>
                <w:lang w:val="en-US"/>
              </w:rPr>
            </w:pPr>
            <w:r w:rsidRPr="00BE50B8">
              <w:rPr>
                <w:rFonts w:ascii="Times New Roman" w:eastAsia="Times New Roman" w:hAnsi="Times New Roman" w:cs="Times New Roman"/>
                <w:sz w:val="20"/>
                <w:szCs w:val="20"/>
                <w:lang w:val="en-US"/>
              </w:rPr>
              <w:t>0.001*</w:t>
            </w:r>
          </w:p>
        </w:tc>
      </w:tr>
      <w:tr w:rsidR="00820C51" w:rsidRPr="00BE50B8" w14:paraId="085ADE12" w14:textId="77777777" w:rsidTr="00D30385">
        <w:trPr>
          <w:trHeight w:val="262"/>
        </w:trPr>
        <w:tc>
          <w:tcPr>
            <w:tcW w:w="3686" w:type="dxa"/>
            <w:tcBorders>
              <w:top w:val="nil"/>
              <w:left w:val="nil"/>
              <w:bottom w:val="nil"/>
              <w:right w:val="nil"/>
            </w:tcBorders>
            <w:shd w:val="clear" w:color="auto" w:fill="auto"/>
            <w:noWrap/>
            <w:vAlign w:val="center"/>
          </w:tcPr>
          <w:p w14:paraId="5DCDE9EF" w14:textId="77777777" w:rsidR="00820C51" w:rsidRPr="00BE50B8" w:rsidRDefault="00820C51" w:rsidP="00D30385">
            <w:pPr>
              <w:spacing w:after="0"/>
              <w:rPr>
                <w:rFonts w:ascii="Times New Roman" w:eastAsia="Times New Roman" w:hAnsi="Times New Roman" w:cs="Times New Roman"/>
                <w:color w:val="000000"/>
                <w:sz w:val="20"/>
                <w:szCs w:val="20"/>
                <w:lang w:val="en-US"/>
              </w:rPr>
            </w:pPr>
          </w:p>
        </w:tc>
        <w:tc>
          <w:tcPr>
            <w:tcW w:w="1766" w:type="dxa"/>
            <w:tcBorders>
              <w:top w:val="nil"/>
              <w:left w:val="nil"/>
              <w:bottom w:val="nil"/>
              <w:right w:val="nil"/>
            </w:tcBorders>
            <w:vAlign w:val="center"/>
          </w:tcPr>
          <w:p w14:paraId="3F94658B" w14:textId="77777777" w:rsidR="00820C51" w:rsidRPr="00BE50B8" w:rsidRDefault="00820C51" w:rsidP="00D30385">
            <w:pPr>
              <w:spacing w:after="0"/>
              <w:rPr>
                <w:rFonts w:ascii="Times New Roman" w:eastAsia="Times New Roman" w:hAnsi="Times New Roman" w:cs="Times New Roman"/>
                <w:color w:val="000000"/>
                <w:sz w:val="20"/>
                <w:szCs w:val="20"/>
                <w:lang w:val="en-US"/>
              </w:rPr>
            </w:pPr>
            <w:r w:rsidRPr="00BE50B8">
              <w:rPr>
                <w:rFonts w:ascii="Times New Roman" w:eastAsia="Times New Roman" w:hAnsi="Times New Roman" w:cs="Times New Roman"/>
                <w:color w:val="000000"/>
                <w:sz w:val="20"/>
                <w:szCs w:val="20"/>
                <w:lang w:val="en-US"/>
              </w:rPr>
              <w:t>Mostly</w:t>
            </w:r>
          </w:p>
        </w:tc>
        <w:tc>
          <w:tcPr>
            <w:tcW w:w="1636" w:type="dxa"/>
            <w:tcBorders>
              <w:top w:val="nil"/>
              <w:left w:val="nil"/>
              <w:bottom w:val="nil"/>
              <w:right w:val="nil"/>
            </w:tcBorders>
            <w:vAlign w:val="center"/>
          </w:tcPr>
          <w:p w14:paraId="3B0858AB"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3.0 (2.1-4.5)</w:t>
            </w:r>
          </w:p>
        </w:tc>
        <w:tc>
          <w:tcPr>
            <w:tcW w:w="1051" w:type="dxa"/>
            <w:tcBorders>
              <w:top w:val="nil"/>
              <w:left w:val="nil"/>
              <w:bottom w:val="nil"/>
              <w:right w:val="nil"/>
            </w:tcBorders>
            <w:vAlign w:val="center"/>
          </w:tcPr>
          <w:p w14:paraId="4A3E636C"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&lt;0.001</w:t>
            </w:r>
          </w:p>
        </w:tc>
        <w:tc>
          <w:tcPr>
            <w:tcW w:w="1751" w:type="dxa"/>
            <w:tcBorders>
              <w:top w:val="nil"/>
              <w:left w:val="nil"/>
              <w:bottom w:val="nil"/>
              <w:right w:val="nil"/>
            </w:tcBorders>
            <w:shd w:val="clear" w:color="auto" w:fill="auto"/>
            <w:noWrap/>
            <w:vAlign w:val="center"/>
            <w:hideMark/>
          </w:tcPr>
          <w:p w14:paraId="56791521"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1.5 (1.0-2.4)</w:t>
            </w:r>
          </w:p>
        </w:tc>
        <w:tc>
          <w:tcPr>
            <w:tcW w:w="1073" w:type="dxa"/>
            <w:tcBorders>
              <w:top w:val="nil"/>
              <w:left w:val="nil"/>
              <w:bottom w:val="nil"/>
              <w:right w:val="nil"/>
            </w:tcBorders>
            <w:shd w:val="clear" w:color="auto" w:fill="auto"/>
            <w:noWrap/>
            <w:vAlign w:val="center"/>
            <w:hideMark/>
          </w:tcPr>
          <w:p w14:paraId="7E2C663B"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0.080</w:t>
            </w:r>
          </w:p>
        </w:tc>
      </w:tr>
      <w:tr w:rsidR="00820C51" w:rsidRPr="00BE50B8" w14:paraId="0873FE2E" w14:textId="77777777" w:rsidTr="00D30385">
        <w:trPr>
          <w:trHeight w:val="262"/>
        </w:trPr>
        <w:tc>
          <w:tcPr>
            <w:tcW w:w="3686" w:type="dxa"/>
            <w:tcBorders>
              <w:top w:val="nil"/>
              <w:left w:val="nil"/>
              <w:bottom w:val="nil"/>
              <w:right w:val="nil"/>
            </w:tcBorders>
            <w:shd w:val="clear" w:color="auto" w:fill="auto"/>
            <w:noWrap/>
            <w:vAlign w:val="center"/>
          </w:tcPr>
          <w:p w14:paraId="21061D1A" w14:textId="77777777" w:rsidR="00820C51" w:rsidRPr="00BE50B8" w:rsidRDefault="00820C51" w:rsidP="00D30385">
            <w:pPr>
              <w:spacing w:after="0"/>
              <w:rPr>
                <w:rFonts w:ascii="Times New Roman" w:eastAsia="Times New Roman" w:hAnsi="Times New Roman" w:cs="Times New Roman"/>
                <w:color w:val="000000"/>
                <w:sz w:val="20"/>
                <w:szCs w:val="20"/>
                <w:lang w:val="en-US"/>
              </w:rPr>
            </w:pPr>
          </w:p>
        </w:tc>
        <w:tc>
          <w:tcPr>
            <w:tcW w:w="1766" w:type="dxa"/>
            <w:tcBorders>
              <w:top w:val="nil"/>
              <w:left w:val="nil"/>
              <w:bottom w:val="nil"/>
              <w:right w:val="nil"/>
            </w:tcBorders>
            <w:vAlign w:val="center"/>
          </w:tcPr>
          <w:p w14:paraId="029729A5" w14:textId="77777777" w:rsidR="00820C51" w:rsidRPr="00BE50B8" w:rsidRDefault="00820C51" w:rsidP="00D30385">
            <w:pPr>
              <w:spacing w:after="0"/>
              <w:rPr>
                <w:rFonts w:ascii="Times New Roman" w:eastAsia="Times New Roman" w:hAnsi="Times New Roman" w:cs="Times New Roman"/>
                <w:color w:val="000000"/>
                <w:sz w:val="20"/>
                <w:szCs w:val="20"/>
                <w:lang w:val="en-US"/>
              </w:rPr>
            </w:pPr>
            <w:r w:rsidRPr="00BE50B8">
              <w:rPr>
                <w:rFonts w:ascii="Times New Roman" w:eastAsia="Times New Roman" w:hAnsi="Times New Roman" w:cs="Times New Roman"/>
                <w:color w:val="000000"/>
                <w:sz w:val="20"/>
                <w:szCs w:val="20"/>
                <w:lang w:val="en-US"/>
              </w:rPr>
              <w:t>Sometimes</w:t>
            </w:r>
          </w:p>
        </w:tc>
        <w:tc>
          <w:tcPr>
            <w:tcW w:w="1636" w:type="dxa"/>
            <w:tcBorders>
              <w:top w:val="nil"/>
              <w:left w:val="nil"/>
              <w:bottom w:val="nil"/>
              <w:right w:val="nil"/>
            </w:tcBorders>
            <w:vAlign w:val="center"/>
          </w:tcPr>
          <w:p w14:paraId="7C253F15"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11.0 (7.2-16.8)</w:t>
            </w:r>
          </w:p>
        </w:tc>
        <w:tc>
          <w:tcPr>
            <w:tcW w:w="1051" w:type="dxa"/>
            <w:tcBorders>
              <w:top w:val="nil"/>
              <w:left w:val="nil"/>
              <w:bottom w:val="nil"/>
              <w:right w:val="nil"/>
            </w:tcBorders>
            <w:vAlign w:val="center"/>
          </w:tcPr>
          <w:p w14:paraId="3BF205E9"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&lt;0.001</w:t>
            </w:r>
          </w:p>
        </w:tc>
        <w:tc>
          <w:tcPr>
            <w:tcW w:w="1751" w:type="dxa"/>
            <w:tcBorders>
              <w:top w:val="nil"/>
              <w:left w:val="nil"/>
              <w:bottom w:val="nil"/>
              <w:right w:val="nil"/>
            </w:tcBorders>
            <w:shd w:val="clear" w:color="auto" w:fill="auto"/>
            <w:noWrap/>
            <w:vAlign w:val="center"/>
            <w:hideMark/>
          </w:tcPr>
          <w:p w14:paraId="4ED9A12C"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2.3 (1.4-3.7)</w:t>
            </w:r>
          </w:p>
        </w:tc>
        <w:tc>
          <w:tcPr>
            <w:tcW w:w="1073" w:type="dxa"/>
            <w:tcBorders>
              <w:top w:val="nil"/>
              <w:left w:val="nil"/>
              <w:bottom w:val="nil"/>
              <w:right w:val="nil"/>
            </w:tcBorders>
            <w:shd w:val="clear" w:color="auto" w:fill="auto"/>
            <w:noWrap/>
            <w:vAlign w:val="center"/>
            <w:hideMark/>
          </w:tcPr>
          <w:p w14:paraId="0E08F38C"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0.001</w:t>
            </w:r>
          </w:p>
        </w:tc>
      </w:tr>
      <w:tr w:rsidR="00820C51" w:rsidRPr="00BE50B8" w14:paraId="5E628C63" w14:textId="77777777" w:rsidTr="00D30385">
        <w:trPr>
          <w:trHeight w:val="262"/>
        </w:trPr>
        <w:tc>
          <w:tcPr>
            <w:tcW w:w="3686" w:type="dxa"/>
            <w:tcBorders>
              <w:top w:val="nil"/>
              <w:left w:val="nil"/>
              <w:bottom w:val="nil"/>
              <w:right w:val="nil"/>
            </w:tcBorders>
            <w:shd w:val="clear" w:color="auto" w:fill="auto"/>
            <w:noWrap/>
            <w:vAlign w:val="center"/>
            <w:hideMark/>
          </w:tcPr>
          <w:p w14:paraId="64EAE6A7" w14:textId="77777777" w:rsidR="00820C51" w:rsidRPr="00BE50B8" w:rsidRDefault="00820C51" w:rsidP="00D30385">
            <w:pPr>
              <w:spacing w:after="0"/>
              <w:rPr>
                <w:rFonts w:ascii="Times New Roman" w:eastAsia="Times New Roman" w:hAnsi="Times New Roman" w:cs="Times New Roman"/>
                <w:color w:val="000000"/>
                <w:sz w:val="20"/>
                <w:szCs w:val="20"/>
                <w:lang w:val="en-US"/>
              </w:rPr>
            </w:pPr>
          </w:p>
        </w:tc>
        <w:tc>
          <w:tcPr>
            <w:tcW w:w="1766" w:type="dxa"/>
            <w:tcBorders>
              <w:top w:val="nil"/>
              <w:left w:val="nil"/>
              <w:bottom w:val="nil"/>
              <w:right w:val="nil"/>
            </w:tcBorders>
            <w:vAlign w:val="center"/>
          </w:tcPr>
          <w:p w14:paraId="229F7A7F" w14:textId="77777777" w:rsidR="00820C51" w:rsidRPr="00BE50B8" w:rsidRDefault="00820C51" w:rsidP="00D30385">
            <w:pPr>
              <w:spacing w:after="0"/>
              <w:rPr>
                <w:rFonts w:ascii="Times New Roman" w:eastAsia="Times New Roman" w:hAnsi="Times New Roman" w:cs="Times New Roman"/>
                <w:color w:val="000000"/>
                <w:sz w:val="20"/>
                <w:szCs w:val="20"/>
                <w:lang w:val="en-US"/>
              </w:rPr>
            </w:pPr>
            <w:r w:rsidRPr="00BE50B8">
              <w:rPr>
                <w:rFonts w:ascii="Times New Roman" w:eastAsia="Times New Roman" w:hAnsi="Times New Roman" w:cs="Times New Roman"/>
                <w:color w:val="000000"/>
                <w:sz w:val="20"/>
                <w:szCs w:val="20"/>
                <w:lang w:val="en-US"/>
              </w:rPr>
              <w:t>Hardly ever/never</w:t>
            </w:r>
          </w:p>
        </w:tc>
        <w:tc>
          <w:tcPr>
            <w:tcW w:w="1636" w:type="dxa"/>
            <w:tcBorders>
              <w:top w:val="nil"/>
              <w:left w:val="nil"/>
              <w:bottom w:val="nil"/>
              <w:right w:val="nil"/>
            </w:tcBorders>
            <w:vAlign w:val="center"/>
          </w:tcPr>
          <w:p w14:paraId="5B2B2E34"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24.0 (13.9-41.4)</w:t>
            </w:r>
          </w:p>
        </w:tc>
        <w:tc>
          <w:tcPr>
            <w:tcW w:w="1051" w:type="dxa"/>
            <w:tcBorders>
              <w:top w:val="nil"/>
              <w:left w:val="nil"/>
              <w:bottom w:val="nil"/>
              <w:right w:val="nil"/>
            </w:tcBorders>
            <w:vAlign w:val="center"/>
          </w:tcPr>
          <w:p w14:paraId="22987974"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&lt;0.001</w:t>
            </w:r>
          </w:p>
        </w:tc>
        <w:tc>
          <w:tcPr>
            <w:tcW w:w="1751" w:type="dxa"/>
            <w:tcBorders>
              <w:top w:val="nil"/>
              <w:left w:val="nil"/>
              <w:bottom w:val="nil"/>
              <w:right w:val="nil"/>
            </w:tcBorders>
            <w:shd w:val="clear" w:color="auto" w:fill="auto"/>
            <w:noWrap/>
            <w:vAlign w:val="center"/>
            <w:hideMark/>
          </w:tcPr>
          <w:p w14:paraId="4E781495"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3.6 (1.6-7.7)</w:t>
            </w:r>
          </w:p>
        </w:tc>
        <w:tc>
          <w:tcPr>
            <w:tcW w:w="1073" w:type="dxa"/>
            <w:tcBorders>
              <w:top w:val="nil"/>
              <w:left w:val="nil"/>
              <w:bottom w:val="nil"/>
              <w:right w:val="nil"/>
            </w:tcBorders>
            <w:shd w:val="clear" w:color="auto" w:fill="auto"/>
            <w:noWrap/>
            <w:vAlign w:val="center"/>
            <w:hideMark/>
          </w:tcPr>
          <w:p w14:paraId="6FBA6FDE"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0.001</w:t>
            </w:r>
          </w:p>
        </w:tc>
      </w:tr>
      <w:tr w:rsidR="00820C51" w:rsidRPr="00BE50B8" w14:paraId="75AE0F82" w14:textId="77777777" w:rsidTr="00D30385">
        <w:trPr>
          <w:trHeight w:val="262"/>
        </w:trPr>
        <w:tc>
          <w:tcPr>
            <w:tcW w:w="3686" w:type="dxa"/>
            <w:tcBorders>
              <w:top w:val="nil"/>
              <w:left w:val="nil"/>
              <w:bottom w:val="nil"/>
              <w:right w:val="nil"/>
            </w:tcBorders>
            <w:shd w:val="clear" w:color="auto" w:fill="auto"/>
            <w:noWrap/>
            <w:vAlign w:val="center"/>
            <w:hideMark/>
          </w:tcPr>
          <w:p w14:paraId="05B08BCF" w14:textId="77777777" w:rsidR="00820C51" w:rsidRPr="00BE50B8" w:rsidRDefault="00820C51" w:rsidP="00D30385">
            <w:pPr>
              <w:spacing w:after="0"/>
              <w:rPr>
                <w:rFonts w:ascii="Times New Roman" w:eastAsia="Times New Roman" w:hAnsi="Times New Roman" w:cs="Times New Roman"/>
                <w:color w:val="000000"/>
                <w:sz w:val="20"/>
                <w:szCs w:val="20"/>
                <w:vertAlign w:val="superscript"/>
                <w:lang w:val="en-US"/>
              </w:rPr>
            </w:pPr>
            <w:r w:rsidRPr="00BE50B8">
              <w:rPr>
                <w:rFonts w:ascii="Times New Roman" w:eastAsia="Times New Roman" w:hAnsi="Times New Roman" w:cs="Times New Roman"/>
                <w:color w:val="000000"/>
                <w:sz w:val="20"/>
                <w:szCs w:val="20"/>
                <w:lang w:val="en-US"/>
              </w:rPr>
              <w:t xml:space="preserve">Building conditions in area </w:t>
            </w:r>
            <w:r w:rsidRPr="00BE50B8">
              <w:rPr>
                <w:rFonts w:ascii="Times New Roman" w:eastAsia="Times New Roman" w:hAnsi="Times New Roman" w:cs="Times New Roman"/>
                <w:color w:val="000000"/>
                <w:sz w:val="20"/>
                <w:szCs w:val="20"/>
                <w:vertAlign w:val="superscript"/>
                <w:lang w:val="en-US"/>
              </w:rPr>
              <w:t>d</w:t>
            </w:r>
          </w:p>
        </w:tc>
        <w:tc>
          <w:tcPr>
            <w:tcW w:w="1766" w:type="dxa"/>
            <w:tcBorders>
              <w:top w:val="nil"/>
              <w:left w:val="nil"/>
              <w:bottom w:val="nil"/>
              <w:right w:val="nil"/>
            </w:tcBorders>
            <w:vAlign w:val="center"/>
          </w:tcPr>
          <w:p w14:paraId="60F02F82" w14:textId="77777777" w:rsidR="00820C51" w:rsidRPr="00BE50B8" w:rsidRDefault="00820C51" w:rsidP="00D30385">
            <w:pPr>
              <w:spacing w:after="0"/>
              <w:rPr>
                <w:rFonts w:ascii="Times New Roman" w:eastAsia="Times New Roman" w:hAnsi="Times New Roman" w:cs="Times New Roman"/>
                <w:color w:val="000000"/>
                <w:sz w:val="20"/>
                <w:szCs w:val="20"/>
                <w:lang w:val="en-US"/>
              </w:rPr>
            </w:pPr>
            <w:r w:rsidRPr="00BE50B8">
              <w:rPr>
                <w:rFonts w:ascii="Times New Roman" w:eastAsia="Times New Roman" w:hAnsi="Times New Roman" w:cs="Times New Roman"/>
                <w:color w:val="000000"/>
                <w:sz w:val="20"/>
                <w:szCs w:val="20"/>
                <w:lang w:val="en-US"/>
              </w:rPr>
              <w:t>Immaculate</w:t>
            </w:r>
          </w:p>
        </w:tc>
        <w:tc>
          <w:tcPr>
            <w:tcW w:w="1636" w:type="dxa"/>
            <w:tcBorders>
              <w:top w:val="nil"/>
              <w:left w:val="nil"/>
              <w:bottom w:val="nil"/>
              <w:right w:val="nil"/>
            </w:tcBorders>
            <w:vAlign w:val="center"/>
          </w:tcPr>
          <w:p w14:paraId="795B679D"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Reference</w:t>
            </w:r>
          </w:p>
        </w:tc>
        <w:tc>
          <w:tcPr>
            <w:tcW w:w="1051" w:type="dxa"/>
            <w:tcBorders>
              <w:top w:val="nil"/>
              <w:left w:val="nil"/>
              <w:bottom w:val="nil"/>
              <w:right w:val="nil"/>
            </w:tcBorders>
            <w:vAlign w:val="center"/>
          </w:tcPr>
          <w:p w14:paraId="42A2E6A0"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p>
        </w:tc>
        <w:tc>
          <w:tcPr>
            <w:tcW w:w="1751" w:type="dxa"/>
            <w:tcBorders>
              <w:top w:val="nil"/>
              <w:left w:val="nil"/>
              <w:bottom w:val="nil"/>
              <w:right w:val="nil"/>
            </w:tcBorders>
            <w:shd w:val="clear" w:color="auto" w:fill="auto"/>
            <w:noWrap/>
            <w:vAlign w:val="center"/>
            <w:hideMark/>
          </w:tcPr>
          <w:p w14:paraId="7E7653E0"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Reference</w:t>
            </w:r>
          </w:p>
        </w:tc>
        <w:tc>
          <w:tcPr>
            <w:tcW w:w="1073" w:type="dxa"/>
            <w:tcBorders>
              <w:top w:val="nil"/>
              <w:left w:val="nil"/>
              <w:bottom w:val="nil"/>
              <w:right w:val="nil"/>
            </w:tcBorders>
            <w:shd w:val="clear" w:color="auto" w:fill="auto"/>
            <w:noWrap/>
            <w:vAlign w:val="center"/>
            <w:hideMark/>
          </w:tcPr>
          <w:p w14:paraId="1C7CAAB8" w14:textId="77777777" w:rsidR="00820C51" w:rsidRPr="00BE50B8" w:rsidRDefault="00820C51" w:rsidP="00D30385">
            <w:pPr>
              <w:spacing w:after="0"/>
              <w:jc w:val="center"/>
              <w:rPr>
                <w:rFonts w:ascii="Times New Roman" w:eastAsia="Times New Roman" w:hAnsi="Times New Roman" w:cs="Times New Roman"/>
                <w:sz w:val="20"/>
                <w:szCs w:val="20"/>
                <w:lang w:val="en-US"/>
              </w:rPr>
            </w:pPr>
            <w:r w:rsidRPr="00BE50B8">
              <w:rPr>
                <w:rFonts w:ascii="Times New Roman" w:eastAsia="Times New Roman" w:hAnsi="Times New Roman" w:cs="Times New Roman"/>
                <w:sz w:val="20"/>
                <w:szCs w:val="20"/>
                <w:lang w:val="en-US"/>
              </w:rPr>
              <w:t>0.010*</w:t>
            </w:r>
          </w:p>
        </w:tc>
      </w:tr>
      <w:tr w:rsidR="00820C51" w:rsidRPr="00BE50B8" w14:paraId="37758890" w14:textId="77777777" w:rsidTr="00D30385">
        <w:trPr>
          <w:trHeight w:val="262"/>
        </w:trPr>
        <w:tc>
          <w:tcPr>
            <w:tcW w:w="3686" w:type="dxa"/>
            <w:tcBorders>
              <w:top w:val="nil"/>
              <w:left w:val="nil"/>
              <w:bottom w:val="nil"/>
              <w:right w:val="nil"/>
            </w:tcBorders>
            <w:shd w:val="clear" w:color="auto" w:fill="auto"/>
            <w:noWrap/>
            <w:vAlign w:val="center"/>
          </w:tcPr>
          <w:p w14:paraId="3195F70C" w14:textId="77777777" w:rsidR="00820C51" w:rsidRPr="00BE50B8" w:rsidRDefault="00820C51" w:rsidP="00D30385">
            <w:pPr>
              <w:spacing w:after="0"/>
              <w:rPr>
                <w:rFonts w:ascii="Times New Roman" w:eastAsia="Times New Roman" w:hAnsi="Times New Roman" w:cs="Times New Roman"/>
                <w:color w:val="000000"/>
                <w:sz w:val="20"/>
                <w:szCs w:val="20"/>
                <w:lang w:val="en-US"/>
              </w:rPr>
            </w:pPr>
          </w:p>
        </w:tc>
        <w:tc>
          <w:tcPr>
            <w:tcW w:w="1766" w:type="dxa"/>
            <w:tcBorders>
              <w:top w:val="nil"/>
              <w:left w:val="nil"/>
              <w:bottom w:val="nil"/>
              <w:right w:val="nil"/>
            </w:tcBorders>
            <w:vAlign w:val="center"/>
          </w:tcPr>
          <w:p w14:paraId="613354E9" w14:textId="77777777" w:rsidR="00820C51" w:rsidRPr="00BE50B8" w:rsidRDefault="00820C51" w:rsidP="00D30385">
            <w:pPr>
              <w:spacing w:after="0"/>
              <w:rPr>
                <w:rFonts w:ascii="Times New Roman" w:eastAsia="Times New Roman" w:hAnsi="Times New Roman" w:cs="Times New Roman"/>
                <w:color w:val="000000"/>
                <w:sz w:val="20"/>
                <w:szCs w:val="20"/>
                <w:lang w:val="en-US"/>
              </w:rPr>
            </w:pPr>
            <w:r w:rsidRPr="00BE50B8">
              <w:rPr>
                <w:rFonts w:ascii="Times New Roman" w:eastAsia="Times New Roman" w:hAnsi="Times New Roman" w:cs="Times New Roman"/>
                <w:color w:val="000000"/>
                <w:sz w:val="20"/>
                <w:szCs w:val="20"/>
                <w:lang w:val="en-US"/>
              </w:rPr>
              <w:t xml:space="preserve">Well-kept </w:t>
            </w:r>
          </w:p>
        </w:tc>
        <w:tc>
          <w:tcPr>
            <w:tcW w:w="1636" w:type="dxa"/>
            <w:tcBorders>
              <w:top w:val="nil"/>
              <w:left w:val="nil"/>
              <w:bottom w:val="nil"/>
              <w:right w:val="nil"/>
            </w:tcBorders>
            <w:vAlign w:val="center"/>
          </w:tcPr>
          <w:p w14:paraId="094D486A"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sz w:val="20"/>
                <w:szCs w:val="20"/>
              </w:rPr>
              <w:t>0.7 (0.5-1.0)</w:t>
            </w:r>
          </w:p>
        </w:tc>
        <w:tc>
          <w:tcPr>
            <w:tcW w:w="1051" w:type="dxa"/>
            <w:tcBorders>
              <w:top w:val="nil"/>
              <w:left w:val="nil"/>
              <w:bottom w:val="nil"/>
              <w:right w:val="nil"/>
            </w:tcBorders>
            <w:vAlign w:val="center"/>
          </w:tcPr>
          <w:p w14:paraId="74DFAED8"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sz w:val="20"/>
                <w:szCs w:val="20"/>
              </w:rPr>
              <w:t>0.056</w:t>
            </w:r>
          </w:p>
        </w:tc>
        <w:tc>
          <w:tcPr>
            <w:tcW w:w="1751" w:type="dxa"/>
            <w:tcBorders>
              <w:top w:val="nil"/>
              <w:left w:val="nil"/>
              <w:bottom w:val="nil"/>
              <w:right w:val="nil"/>
            </w:tcBorders>
            <w:shd w:val="clear" w:color="auto" w:fill="auto"/>
            <w:noWrap/>
            <w:vAlign w:val="center"/>
            <w:hideMark/>
          </w:tcPr>
          <w:p w14:paraId="44439858"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sz w:val="20"/>
                <w:szCs w:val="20"/>
              </w:rPr>
              <w:t>0.5 (0.4-0.8)</w:t>
            </w:r>
          </w:p>
        </w:tc>
        <w:tc>
          <w:tcPr>
            <w:tcW w:w="1073" w:type="dxa"/>
            <w:tcBorders>
              <w:top w:val="nil"/>
              <w:left w:val="nil"/>
              <w:bottom w:val="nil"/>
              <w:right w:val="nil"/>
            </w:tcBorders>
            <w:shd w:val="clear" w:color="auto" w:fill="auto"/>
            <w:noWrap/>
            <w:vAlign w:val="center"/>
            <w:hideMark/>
          </w:tcPr>
          <w:p w14:paraId="703835D1"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sz w:val="20"/>
                <w:szCs w:val="20"/>
              </w:rPr>
              <w:t>0.006</w:t>
            </w:r>
          </w:p>
        </w:tc>
      </w:tr>
      <w:tr w:rsidR="00820C51" w:rsidRPr="00BE50B8" w14:paraId="2703B044" w14:textId="77777777" w:rsidTr="00D30385">
        <w:trPr>
          <w:trHeight w:val="262"/>
        </w:trPr>
        <w:tc>
          <w:tcPr>
            <w:tcW w:w="3686" w:type="dxa"/>
            <w:tcBorders>
              <w:top w:val="nil"/>
              <w:left w:val="nil"/>
              <w:bottom w:val="nil"/>
              <w:right w:val="nil"/>
            </w:tcBorders>
            <w:shd w:val="clear" w:color="auto" w:fill="auto"/>
            <w:noWrap/>
            <w:vAlign w:val="center"/>
          </w:tcPr>
          <w:p w14:paraId="3304DD0C" w14:textId="77777777" w:rsidR="00820C51" w:rsidRPr="00BE50B8" w:rsidRDefault="00820C51" w:rsidP="00D30385">
            <w:pPr>
              <w:spacing w:after="0"/>
              <w:rPr>
                <w:rFonts w:ascii="Times New Roman" w:eastAsia="Times New Roman" w:hAnsi="Times New Roman" w:cs="Times New Roman"/>
                <w:color w:val="000000"/>
                <w:sz w:val="20"/>
                <w:szCs w:val="20"/>
                <w:lang w:val="en-US"/>
              </w:rPr>
            </w:pPr>
          </w:p>
        </w:tc>
        <w:tc>
          <w:tcPr>
            <w:tcW w:w="1766" w:type="dxa"/>
            <w:tcBorders>
              <w:top w:val="nil"/>
              <w:left w:val="nil"/>
              <w:bottom w:val="nil"/>
              <w:right w:val="nil"/>
            </w:tcBorders>
            <w:vAlign w:val="center"/>
          </w:tcPr>
          <w:p w14:paraId="5CA0DBF1" w14:textId="77777777" w:rsidR="00820C51" w:rsidRPr="00BE50B8" w:rsidRDefault="00820C51" w:rsidP="00D30385">
            <w:pPr>
              <w:spacing w:after="0"/>
              <w:rPr>
                <w:rFonts w:ascii="Times New Roman" w:eastAsia="Times New Roman" w:hAnsi="Times New Roman" w:cs="Times New Roman"/>
                <w:color w:val="000000"/>
                <w:sz w:val="20"/>
                <w:szCs w:val="20"/>
                <w:lang w:val="en-US"/>
              </w:rPr>
            </w:pPr>
            <w:r w:rsidRPr="00BE50B8">
              <w:rPr>
                <w:rFonts w:ascii="Times New Roman" w:eastAsia="Times New Roman" w:hAnsi="Times New Roman" w:cs="Times New Roman"/>
                <w:color w:val="000000"/>
                <w:sz w:val="20"/>
                <w:szCs w:val="20"/>
                <w:lang w:val="en-US"/>
              </w:rPr>
              <w:t xml:space="preserve">Fair </w:t>
            </w:r>
          </w:p>
        </w:tc>
        <w:tc>
          <w:tcPr>
            <w:tcW w:w="1636" w:type="dxa"/>
            <w:tcBorders>
              <w:top w:val="nil"/>
              <w:left w:val="nil"/>
              <w:bottom w:val="nil"/>
              <w:right w:val="nil"/>
            </w:tcBorders>
            <w:vAlign w:val="center"/>
          </w:tcPr>
          <w:p w14:paraId="22228A70"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0.8 (0.5-1.2)</w:t>
            </w:r>
          </w:p>
        </w:tc>
        <w:tc>
          <w:tcPr>
            <w:tcW w:w="1051" w:type="dxa"/>
            <w:tcBorders>
              <w:top w:val="nil"/>
              <w:left w:val="nil"/>
              <w:bottom w:val="nil"/>
              <w:right w:val="nil"/>
            </w:tcBorders>
            <w:vAlign w:val="center"/>
          </w:tcPr>
          <w:p w14:paraId="2225B505"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0.220</w:t>
            </w:r>
          </w:p>
        </w:tc>
        <w:tc>
          <w:tcPr>
            <w:tcW w:w="1751" w:type="dxa"/>
            <w:tcBorders>
              <w:top w:val="nil"/>
              <w:left w:val="nil"/>
              <w:bottom w:val="nil"/>
              <w:right w:val="nil"/>
            </w:tcBorders>
            <w:shd w:val="clear" w:color="auto" w:fill="auto"/>
            <w:noWrap/>
            <w:vAlign w:val="center"/>
            <w:hideMark/>
          </w:tcPr>
          <w:p w14:paraId="1B9E3B7D"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0.6 (0.4-1.0)</w:t>
            </w:r>
          </w:p>
        </w:tc>
        <w:tc>
          <w:tcPr>
            <w:tcW w:w="1073" w:type="dxa"/>
            <w:tcBorders>
              <w:top w:val="nil"/>
              <w:left w:val="nil"/>
              <w:bottom w:val="nil"/>
              <w:right w:val="nil"/>
            </w:tcBorders>
            <w:shd w:val="clear" w:color="auto" w:fill="auto"/>
            <w:noWrap/>
            <w:vAlign w:val="center"/>
            <w:hideMark/>
          </w:tcPr>
          <w:p w14:paraId="205CE681"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0.042</w:t>
            </w:r>
          </w:p>
        </w:tc>
      </w:tr>
      <w:tr w:rsidR="00820C51" w:rsidRPr="00BE50B8" w14:paraId="365012F0" w14:textId="77777777" w:rsidTr="00D30385">
        <w:trPr>
          <w:trHeight w:val="262"/>
        </w:trPr>
        <w:tc>
          <w:tcPr>
            <w:tcW w:w="3686" w:type="dxa"/>
            <w:tcBorders>
              <w:top w:val="nil"/>
              <w:left w:val="nil"/>
              <w:bottom w:val="nil"/>
              <w:right w:val="nil"/>
            </w:tcBorders>
            <w:shd w:val="clear" w:color="auto" w:fill="auto"/>
            <w:noWrap/>
            <w:vAlign w:val="center"/>
          </w:tcPr>
          <w:p w14:paraId="538DEC88" w14:textId="77777777" w:rsidR="00820C51" w:rsidRPr="00BE50B8" w:rsidRDefault="00820C51" w:rsidP="00D30385">
            <w:pPr>
              <w:spacing w:after="0"/>
              <w:rPr>
                <w:rFonts w:ascii="Times New Roman" w:eastAsia="Times New Roman" w:hAnsi="Times New Roman" w:cs="Times New Roman"/>
                <w:color w:val="000000"/>
                <w:sz w:val="20"/>
                <w:szCs w:val="20"/>
                <w:lang w:val="en-US"/>
              </w:rPr>
            </w:pPr>
          </w:p>
        </w:tc>
        <w:tc>
          <w:tcPr>
            <w:tcW w:w="1766" w:type="dxa"/>
            <w:tcBorders>
              <w:top w:val="nil"/>
              <w:left w:val="nil"/>
              <w:bottom w:val="nil"/>
              <w:right w:val="nil"/>
            </w:tcBorders>
            <w:vAlign w:val="center"/>
          </w:tcPr>
          <w:p w14:paraId="06B7F05B" w14:textId="77777777" w:rsidR="00820C51" w:rsidRPr="00BE50B8" w:rsidRDefault="00820C51" w:rsidP="00D30385">
            <w:pPr>
              <w:spacing w:after="0"/>
              <w:rPr>
                <w:rFonts w:ascii="Times New Roman" w:eastAsia="Times New Roman" w:hAnsi="Times New Roman" w:cs="Times New Roman"/>
                <w:color w:val="000000"/>
                <w:sz w:val="20"/>
                <w:szCs w:val="20"/>
                <w:lang w:val="en-US"/>
              </w:rPr>
            </w:pPr>
            <w:r w:rsidRPr="00BE50B8">
              <w:rPr>
                <w:rFonts w:ascii="Times New Roman" w:eastAsia="Times New Roman" w:hAnsi="Times New Roman" w:cs="Times New Roman"/>
                <w:color w:val="000000"/>
                <w:sz w:val="20"/>
                <w:szCs w:val="20"/>
                <w:lang w:val="en-US"/>
              </w:rPr>
              <w:t xml:space="preserve">Poor </w:t>
            </w:r>
          </w:p>
        </w:tc>
        <w:tc>
          <w:tcPr>
            <w:tcW w:w="1636" w:type="dxa"/>
            <w:tcBorders>
              <w:top w:val="nil"/>
              <w:left w:val="nil"/>
              <w:bottom w:val="nil"/>
              <w:right w:val="nil"/>
            </w:tcBorders>
            <w:vAlign w:val="center"/>
          </w:tcPr>
          <w:p w14:paraId="598C8975"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sz w:val="20"/>
                <w:szCs w:val="20"/>
              </w:rPr>
              <w:t>1.9 (0.9-4.1)</w:t>
            </w:r>
          </w:p>
        </w:tc>
        <w:tc>
          <w:tcPr>
            <w:tcW w:w="1051" w:type="dxa"/>
            <w:tcBorders>
              <w:top w:val="nil"/>
              <w:left w:val="nil"/>
              <w:bottom w:val="nil"/>
              <w:right w:val="nil"/>
            </w:tcBorders>
            <w:vAlign w:val="center"/>
          </w:tcPr>
          <w:p w14:paraId="7F822265"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sz w:val="20"/>
                <w:szCs w:val="20"/>
              </w:rPr>
              <w:t>0.114</w:t>
            </w:r>
          </w:p>
        </w:tc>
        <w:tc>
          <w:tcPr>
            <w:tcW w:w="1751" w:type="dxa"/>
            <w:tcBorders>
              <w:top w:val="nil"/>
              <w:left w:val="nil"/>
              <w:bottom w:val="nil"/>
              <w:right w:val="nil"/>
            </w:tcBorders>
            <w:shd w:val="clear" w:color="auto" w:fill="auto"/>
            <w:noWrap/>
            <w:vAlign w:val="center"/>
            <w:hideMark/>
          </w:tcPr>
          <w:p w14:paraId="3E6E752D"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sz w:val="20"/>
                <w:szCs w:val="20"/>
              </w:rPr>
              <w:t>1.6 (0.6-4.3)</w:t>
            </w:r>
          </w:p>
        </w:tc>
        <w:tc>
          <w:tcPr>
            <w:tcW w:w="1073" w:type="dxa"/>
            <w:tcBorders>
              <w:top w:val="nil"/>
              <w:left w:val="nil"/>
              <w:bottom w:val="nil"/>
              <w:right w:val="nil"/>
            </w:tcBorders>
            <w:shd w:val="clear" w:color="auto" w:fill="auto"/>
            <w:noWrap/>
            <w:vAlign w:val="center"/>
            <w:hideMark/>
          </w:tcPr>
          <w:p w14:paraId="2E921C2F"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sz w:val="20"/>
                <w:szCs w:val="20"/>
              </w:rPr>
              <w:t>0.323</w:t>
            </w:r>
          </w:p>
        </w:tc>
      </w:tr>
      <w:tr w:rsidR="00820C51" w:rsidRPr="00BE50B8" w14:paraId="5D610386" w14:textId="77777777" w:rsidTr="00D30385">
        <w:trPr>
          <w:trHeight w:val="262"/>
        </w:trPr>
        <w:tc>
          <w:tcPr>
            <w:tcW w:w="3686" w:type="dxa"/>
            <w:tcBorders>
              <w:top w:val="nil"/>
              <w:left w:val="nil"/>
              <w:bottom w:val="nil"/>
              <w:right w:val="nil"/>
            </w:tcBorders>
            <w:shd w:val="clear" w:color="auto" w:fill="auto"/>
            <w:noWrap/>
            <w:hideMark/>
          </w:tcPr>
          <w:p w14:paraId="38F34F30" w14:textId="77777777" w:rsidR="00820C51" w:rsidRPr="00BE50B8" w:rsidRDefault="00820C51" w:rsidP="00D30385">
            <w:pPr>
              <w:spacing w:after="0"/>
              <w:rPr>
                <w:rFonts w:ascii="Times New Roman" w:eastAsia="Times New Roman" w:hAnsi="Times New Roman" w:cs="Times New Roman"/>
                <w:color w:val="000000"/>
                <w:sz w:val="20"/>
                <w:szCs w:val="20"/>
                <w:lang w:val="en-US"/>
              </w:rPr>
            </w:pPr>
            <w:r w:rsidRPr="00BE50B8">
              <w:rPr>
                <w:rFonts w:ascii="Times New Roman" w:eastAsia="Times New Roman" w:hAnsi="Times New Roman" w:cs="Times New Roman"/>
                <w:color w:val="000000"/>
                <w:sz w:val="20"/>
                <w:szCs w:val="20"/>
                <w:lang w:val="en-US"/>
              </w:rPr>
              <w:t>Family category</w:t>
            </w:r>
          </w:p>
        </w:tc>
        <w:tc>
          <w:tcPr>
            <w:tcW w:w="1766" w:type="dxa"/>
            <w:tcBorders>
              <w:top w:val="nil"/>
              <w:left w:val="nil"/>
              <w:bottom w:val="nil"/>
              <w:right w:val="nil"/>
            </w:tcBorders>
            <w:vAlign w:val="center"/>
          </w:tcPr>
          <w:p w14:paraId="6931C1A5" w14:textId="77777777" w:rsidR="00820C51" w:rsidRPr="00BE50B8" w:rsidRDefault="00820C51" w:rsidP="00D30385">
            <w:pPr>
              <w:spacing w:after="0"/>
              <w:rPr>
                <w:rFonts w:ascii="Times New Roman" w:eastAsia="Times New Roman" w:hAnsi="Times New Roman" w:cs="Times New Roman"/>
                <w:color w:val="000000"/>
                <w:sz w:val="20"/>
                <w:szCs w:val="20"/>
                <w:lang w:val="en-US"/>
              </w:rPr>
            </w:pPr>
            <w:r w:rsidRPr="00BE50B8">
              <w:rPr>
                <w:rFonts w:ascii="Times New Roman" w:eastAsia="Times New Roman" w:hAnsi="Times New Roman" w:cs="Times New Roman"/>
                <w:color w:val="000000"/>
                <w:sz w:val="20"/>
                <w:szCs w:val="20"/>
                <w:lang w:val="en-US"/>
              </w:rPr>
              <w:t xml:space="preserve">Two biological parents </w:t>
            </w:r>
          </w:p>
        </w:tc>
        <w:tc>
          <w:tcPr>
            <w:tcW w:w="1636" w:type="dxa"/>
            <w:tcBorders>
              <w:top w:val="nil"/>
              <w:left w:val="nil"/>
              <w:bottom w:val="nil"/>
              <w:right w:val="nil"/>
            </w:tcBorders>
            <w:vAlign w:val="center"/>
          </w:tcPr>
          <w:p w14:paraId="34DED5A5"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sz w:val="20"/>
                <w:szCs w:val="20"/>
              </w:rPr>
              <w:t>Reference</w:t>
            </w:r>
          </w:p>
        </w:tc>
        <w:tc>
          <w:tcPr>
            <w:tcW w:w="1051" w:type="dxa"/>
            <w:tcBorders>
              <w:top w:val="nil"/>
              <w:left w:val="nil"/>
              <w:bottom w:val="nil"/>
              <w:right w:val="nil"/>
            </w:tcBorders>
            <w:vAlign w:val="center"/>
          </w:tcPr>
          <w:p w14:paraId="63B6FAB3" w14:textId="72E3E297" w:rsidR="00820C51" w:rsidRPr="00BE50B8" w:rsidRDefault="00E70E39"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&lt;0.001*</w:t>
            </w:r>
          </w:p>
        </w:tc>
        <w:tc>
          <w:tcPr>
            <w:tcW w:w="1751" w:type="dxa"/>
            <w:tcBorders>
              <w:top w:val="nil"/>
              <w:left w:val="nil"/>
              <w:bottom w:val="nil"/>
              <w:right w:val="nil"/>
            </w:tcBorders>
            <w:shd w:val="clear" w:color="auto" w:fill="auto"/>
            <w:noWrap/>
            <w:vAlign w:val="center"/>
            <w:hideMark/>
          </w:tcPr>
          <w:p w14:paraId="7DBC841C"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sz w:val="20"/>
                <w:szCs w:val="20"/>
              </w:rPr>
              <w:t>Reference</w:t>
            </w:r>
          </w:p>
        </w:tc>
        <w:tc>
          <w:tcPr>
            <w:tcW w:w="1073" w:type="dxa"/>
            <w:tcBorders>
              <w:top w:val="nil"/>
              <w:left w:val="nil"/>
              <w:bottom w:val="nil"/>
              <w:right w:val="nil"/>
            </w:tcBorders>
            <w:shd w:val="clear" w:color="auto" w:fill="auto"/>
            <w:noWrap/>
            <w:vAlign w:val="center"/>
            <w:hideMark/>
          </w:tcPr>
          <w:p w14:paraId="44251344" w14:textId="77777777" w:rsidR="00820C51" w:rsidRPr="00BE50B8" w:rsidRDefault="00820C51" w:rsidP="00D30385">
            <w:pPr>
              <w:spacing w:after="0"/>
              <w:jc w:val="center"/>
              <w:rPr>
                <w:rFonts w:ascii="Times New Roman" w:eastAsia="Times New Roman" w:hAnsi="Times New Roman" w:cs="Times New Roman"/>
                <w:sz w:val="20"/>
                <w:szCs w:val="20"/>
                <w:lang w:val="en-US"/>
              </w:rPr>
            </w:pPr>
            <w:r w:rsidRPr="00BE50B8">
              <w:rPr>
                <w:rFonts w:ascii="Times New Roman" w:eastAsia="Times New Roman" w:hAnsi="Times New Roman" w:cs="Times New Roman"/>
                <w:sz w:val="20"/>
                <w:szCs w:val="20"/>
                <w:lang w:val="en-US"/>
              </w:rPr>
              <w:t>0.078*</w:t>
            </w:r>
          </w:p>
        </w:tc>
      </w:tr>
      <w:tr w:rsidR="00820C51" w:rsidRPr="00BE50B8" w14:paraId="5B40D7B8" w14:textId="77777777" w:rsidTr="00D30385">
        <w:trPr>
          <w:trHeight w:val="262"/>
        </w:trPr>
        <w:tc>
          <w:tcPr>
            <w:tcW w:w="3686" w:type="dxa"/>
            <w:tcBorders>
              <w:top w:val="nil"/>
              <w:left w:val="nil"/>
              <w:bottom w:val="nil"/>
              <w:right w:val="nil"/>
            </w:tcBorders>
            <w:shd w:val="clear" w:color="auto" w:fill="auto"/>
            <w:noWrap/>
            <w:vAlign w:val="center"/>
          </w:tcPr>
          <w:p w14:paraId="6DD11421" w14:textId="77777777" w:rsidR="00820C51" w:rsidRPr="00BE50B8" w:rsidRDefault="00820C51" w:rsidP="00D30385">
            <w:pPr>
              <w:spacing w:after="0"/>
              <w:rPr>
                <w:rFonts w:ascii="Times New Roman" w:eastAsia="Times New Roman" w:hAnsi="Times New Roman" w:cs="Times New Roman"/>
                <w:color w:val="000000"/>
                <w:sz w:val="20"/>
                <w:szCs w:val="20"/>
                <w:lang w:val="en-US"/>
              </w:rPr>
            </w:pPr>
          </w:p>
        </w:tc>
        <w:tc>
          <w:tcPr>
            <w:tcW w:w="1766" w:type="dxa"/>
            <w:tcBorders>
              <w:top w:val="nil"/>
              <w:left w:val="nil"/>
              <w:bottom w:val="nil"/>
              <w:right w:val="nil"/>
            </w:tcBorders>
            <w:vAlign w:val="center"/>
          </w:tcPr>
          <w:p w14:paraId="08FE17C6" w14:textId="77777777" w:rsidR="00820C51" w:rsidRPr="00BE50B8" w:rsidRDefault="00820C51" w:rsidP="00D30385">
            <w:pPr>
              <w:spacing w:after="0"/>
              <w:rPr>
                <w:rFonts w:ascii="Times New Roman" w:eastAsia="Times New Roman" w:hAnsi="Times New Roman" w:cs="Times New Roman"/>
                <w:color w:val="000000"/>
                <w:sz w:val="20"/>
                <w:szCs w:val="20"/>
                <w:lang w:val="en-US"/>
              </w:rPr>
            </w:pPr>
            <w:r w:rsidRPr="00BE50B8">
              <w:rPr>
                <w:rFonts w:ascii="Times New Roman" w:eastAsia="Times New Roman" w:hAnsi="Times New Roman" w:cs="Times New Roman"/>
                <w:color w:val="000000"/>
                <w:sz w:val="20"/>
                <w:szCs w:val="20"/>
                <w:lang w:val="en-US"/>
              </w:rPr>
              <w:t>Blended/step/other</w:t>
            </w:r>
          </w:p>
        </w:tc>
        <w:tc>
          <w:tcPr>
            <w:tcW w:w="1636" w:type="dxa"/>
            <w:tcBorders>
              <w:top w:val="nil"/>
              <w:left w:val="nil"/>
              <w:bottom w:val="nil"/>
              <w:right w:val="nil"/>
            </w:tcBorders>
            <w:vAlign w:val="center"/>
          </w:tcPr>
          <w:p w14:paraId="16E2BC0F"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2.4 (1.6-3.7)</w:t>
            </w:r>
          </w:p>
        </w:tc>
        <w:tc>
          <w:tcPr>
            <w:tcW w:w="1051" w:type="dxa"/>
            <w:tcBorders>
              <w:top w:val="nil"/>
              <w:left w:val="nil"/>
              <w:bottom w:val="nil"/>
              <w:right w:val="nil"/>
            </w:tcBorders>
            <w:vAlign w:val="center"/>
          </w:tcPr>
          <w:p w14:paraId="1355369C"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&lt;0.001</w:t>
            </w:r>
          </w:p>
        </w:tc>
        <w:tc>
          <w:tcPr>
            <w:tcW w:w="1751" w:type="dxa"/>
            <w:tcBorders>
              <w:top w:val="nil"/>
              <w:left w:val="nil"/>
              <w:bottom w:val="nil"/>
              <w:right w:val="nil"/>
            </w:tcBorders>
            <w:shd w:val="clear" w:color="auto" w:fill="auto"/>
            <w:noWrap/>
            <w:vAlign w:val="center"/>
            <w:hideMark/>
          </w:tcPr>
          <w:p w14:paraId="471CCA20"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1.9 (1.1-3.2)</w:t>
            </w:r>
          </w:p>
        </w:tc>
        <w:tc>
          <w:tcPr>
            <w:tcW w:w="1073" w:type="dxa"/>
            <w:tcBorders>
              <w:top w:val="nil"/>
              <w:left w:val="nil"/>
              <w:bottom w:val="nil"/>
              <w:right w:val="nil"/>
            </w:tcBorders>
            <w:shd w:val="clear" w:color="auto" w:fill="auto"/>
            <w:noWrap/>
            <w:vAlign w:val="center"/>
            <w:hideMark/>
          </w:tcPr>
          <w:p w14:paraId="36830418"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0.015</w:t>
            </w:r>
          </w:p>
        </w:tc>
      </w:tr>
      <w:tr w:rsidR="00820C51" w:rsidRPr="00BE50B8" w14:paraId="061B55EB" w14:textId="77777777" w:rsidTr="00D30385">
        <w:trPr>
          <w:trHeight w:val="262"/>
        </w:trPr>
        <w:tc>
          <w:tcPr>
            <w:tcW w:w="3686" w:type="dxa"/>
            <w:tcBorders>
              <w:top w:val="nil"/>
              <w:left w:val="nil"/>
              <w:bottom w:val="nil"/>
              <w:right w:val="nil"/>
            </w:tcBorders>
            <w:shd w:val="clear" w:color="auto" w:fill="auto"/>
            <w:noWrap/>
            <w:vAlign w:val="center"/>
          </w:tcPr>
          <w:p w14:paraId="61A0A73A" w14:textId="77777777" w:rsidR="00820C51" w:rsidRPr="00BE50B8" w:rsidRDefault="00820C51" w:rsidP="00D30385">
            <w:pPr>
              <w:spacing w:after="0"/>
              <w:rPr>
                <w:rFonts w:ascii="Times New Roman" w:eastAsia="Times New Roman" w:hAnsi="Times New Roman" w:cs="Times New Roman"/>
                <w:color w:val="000000"/>
                <w:sz w:val="20"/>
                <w:szCs w:val="20"/>
                <w:lang w:val="en-US"/>
              </w:rPr>
            </w:pPr>
          </w:p>
        </w:tc>
        <w:tc>
          <w:tcPr>
            <w:tcW w:w="1766" w:type="dxa"/>
            <w:tcBorders>
              <w:top w:val="nil"/>
              <w:left w:val="nil"/>
              <w:bottom w:val="nil"/>
              <w:right w:val="nil"/>
            </w:tcBorders>
            <w:vAlign w:val="center"/>
          </w:tcPr>
          <w:p w14:paraId="6B3C3FCC" w14:textId="77777777" w:rsidR="00820C51" w:rsidRPr="00BE50B8" w:rsidRDefault="00820C51" w:rsidP="00D30385">
            <w:pPr>
              <w:spacing w:after="0"/>
              <w:rPr>
                <w:rFonts w:ascii="Times New Roman" w:eastAsia="Times New Roman" w:hAnsi="Times New Roman" w:cs="Times New Roman"/>
                <w:color w:val="000000"/>
                <w:sz w:val="20"/>
                <w:szCs w:val="20"/>
                <w:lang w:val="en-US"/>
              </w:rPr>
            </w:pPr>
            <w:r w:rsidRPr="00BE50B8">
              <w:rPr>
                <w:rFonts w:ascii="Times New Roman" w:eastAsia="Times New Roman" w:hAnsi="Times New Roman" w:cs="Times New Roman"/>
                <w:color w:val="000000"/>
                <w:sz w:val="20"/>
                <w:szCs w:val="20"/>
                <w:lang w:val="en-US"/>
              </w:rPr>
              <w:t>Sole parent</w:t>
            </w:r>
          </w:p>
        </w:tc>
        <w:tc>
          <w:tcPr>
            <w:tcW w:w="1636" w:type="dxa"/>
            <w:tcBorders>
              <w:top w:val="nil"/>
              <w:left w:val="nil"/>
              <w:bottom w:val="nil"/>
              <w:right w:val="nil"/>
            </w:tcBorders>
            <w:vAlign w:val="center"/>
          </w:tcPr>
          <w:p w14:paraId="01686C40"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1.8 (1.3-2.5)</w:t>
            </w:r>
          </w:p>
        </w:tc>
        <w:tc>
          <w:tcPr>
            <w:tcW w:w="1051" w:type="dxa"/>
            <w:tcBorders>
              <w:top w:val="nil"/>
              <w:left w:val="nil"/>
              <w:bottom w:val="nil"/>
              <w:right w:val="nil"/>
            </w:tcBorders>
            <w:vAlign w:val="center"/>
          </w:tcPr>
          <w:p w14:paraId="1E0D7F89"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&lt;0.001</w:t>
            </w:r>
          </w:p>
        </w:tc>
        <w:tc>
          <w:tcPr>
            <w:tcW w:w="1751" w:type="dxa"/>
            <w:tcBorders>
              <w:top w:val="nil"/>
              <w:left w:val="nil"/>
              <w:bottom w:val="nil"/>
              <w:right w:val="nil"/>
            </w:tcBorders>
            <w:shd w:val="clear" w:color="auto" w:fill="auto"/>
            <w:noWrap/>
            <w:vAlign w:val="center"/>
            <w:hideMark/>
          </w:tcPr>
          <w:p w14:paraId="06E26BAA"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1.0 (0.7-1.6)</w:t>
            </w:r>
          </w:p>
        </w:tc>
        <w:tc>
          <w:tcPr>
            <w:tcW w:w="1073" w:type="dxa"/>
            <w:tcBorders>
              <w:top w:val="nil"/>
              <w:left w:val="nil"/>
              <w:bottom w:val="nil"/>
              <w:right w:val="nil"/>
            </w:tcBorders>
            <w:shd w:val="clear" w:color="auto" w:fill="auto"/>
            <w:noWrap/>
            <w:vAlign w:val="center"/>
            <w:hideMark/>
          </w:tcPr>
          <w:p w14:paraId="3748FCE9" w14:textId="77777777" w:rsidR="00820C51" w:rsidRPr="00BE50B8" w:rsidRDefault="00820C51" w:rsidP="00D30385">
            <w:pPr>
              <w:spacing w:after="0"/>
              <w:jc w:val="center"/>
              <w:rPr>
                <w:rFonts w:ascii="Times New Roman" w:eastAsia="Times New Roman" w:hAnsi="Times New Roman" w:cs="Times New Roman"/>
                <w:color w:val="000000"/>
                <w:sz w:val="20"/>
                <w:szCs w:val="20"/>
                <w:lang w:val="en-US"/>
              </w:rPr>
            </w:pPr>
            <w:r w:rsidRPr="00BE50B8">
              <w:rPr>
                <w:rFonts w:ascii="Times New Roman" w:hAnsi="Times New Roman" w:cs="Times New Roman"/>
                <w:color w:val="000000"/>
                <w:sz w:val="20"/>
                <w:szCs w:val="20"/>
              </w:rPr>
              <w:t>0.824</w:t>
            </w:r>
          </w:p>
        </w:tc>
      </w:tr>
      <w:tr w:rsidR="00820C51" w:rsidRPr="00BE50B8" w14:paraId="2D02C4D5" w14:textId="77777777" w:rsidTr="00D30385">
        <w:trPr>
          <w:trHeight w:val="262"/>
        </w:trPr>
        <w:tc>
          <w:tcPr>
            <w:tcW w:w="3686" w:type="dxa"/>
            <w:tcBorders>
              <w:top w:val="nil"/>
              <w:left w:val="nil"/>
              <w:bottom w:val="nil"/>
              <w:right w:val="nil"/>
            </w:tcBorders>
            <w:shd w:val="clear" w:color="auto" w:fill="auto"/>
            <w:noWrap/>
          </w:tcPr>
          <w:p w14:paraId="61BBDD4E" w14:textId="77777777" w:rsidR="00820C51" w:rsidRPr="00BE50B8" w:rsidRDefault="00820C51" w:rsidP="00D30385">
            <w:pPr>
              <w:spacing w:after="0"/>
              <w:rPr>
                <w:rFonts w:ascii="Times New Roman" w:eastAsia="Times New Roman" w:hAnsi="Times New Roman" w:cs="Times New Roman"/>
                <w:color w:val="000000"/>
                <w:sz w:val="20"/>
                <w:szCs w:val="20"/>
                <w:lang w:val="en-US"/>
              </w:rPr>
            </w:pPr>
            <w:r w:rsidRPr="00BE50B8">
              <w:rPr>
                <w:rFonts w:ascii="Times New Roman" w:eastAsia="Times New Roman" w:hAnsi="Times New Roman" w:cs="Times New Roman"/>
                <w:color w:val="000000"/>
                <w:sz w:val="20"/>
                <w:szCs w:val="20"/>
                <w:lang w:val="en-US"/>
              </w:rPr>
              <w:lastRenderedPageBreak/>
              <w:t>Aboriginal and/or Torres Strait Islander Status</w:t>
            </w:r>
          </w:p>
        </w:tc>
        <w:tc>
          <w:tcPr>
            <w:tcW w:w="1766" w:type="dxa"/>
            <w:tcBorders>
              <w:top w:val="nil"/>
              <w:left w:val="nil"/>
              <w:bottom w:val="nil"/>
              <w:right w:val="nil"/>
            </w:tcBorders>
          </w:tcPr>
          <w:p w14:paraId="7F25D75E" w14:textId="77777777" w:rsidR="00820C51" w:rsidRPr="00BE50B8" w:rsidRDefault="00820C51" w:rsidP="00D30385">
            <w:pPr>
              <w:spacing w:after="0"/>
              <w:rPr>
                <w:rFonts w:ascii="Times New Roman" w:eastAsia="Times New Roman" w:hAnsi="Times New Roman" w:cs="Times New Roman"/>
                <w:color w:val="000000"/>
                <w:sz w:val="20"/>
                <w:szCs w:val="20"/>
                <w:lang w:val="en-US"/>
              </w:rPr>
            </w:pPr>
            <w:r w:rsidRPr="00BE50B8">
              <w:rPr>
                <w:rFonts w:ascii="Times New Roman" w:eastAsia="Times New Roman" w:hAnsi="Times New Roman" w:cs="Times New Roman"/>
                <w:color w:val="000000"/>
                <w:sz w:val="20"/>
                <w:szCs w:val="20"/>
                <w:lang w:val="en-US"/>
              </w:rPr>
              <w:t>-</w:t>
            </w:r>
          </w:p>
        </w:tc>
        <w:tc>
          <w:tcPr>
            <w:tcW w:w="1636" w:type="dxa"/>
            <w:tcBorders>
              <w:top w:val="nil"/>
              <w:left w:val="nil"/>
              <w:bottom w:val="nil"/>
              <w:right w:val="nil"/>
            </w:tcBorders>
          </w:tcPr>
          <w:p w14:paraId="69C42FC6" w14:textId="77777777" w:rsidR="00820C51" w:rsidRPr="00BE50B8" w:rsidRDefault="00820C51" w:rsidP="00D30385">
            <w:pPr>
              <w:spacing w:after="0"/>
              <w:jc w:val="center"/>
              <w:rPr>
                <w:rFonts w:ascii="Times New Roman" w:hAnsi="Times New Roman" w:cs="Times New Roman"/>
                <w:color w:val="000000"/>
                <w:sz w:val="20"/>
                <w:szCs w:val="20"/>
              </w:rPr>
            </w:pPr>
            <w:r w:rsidRPr="00BE50B8">
              <w:rPr>
                <w:rFonts w:ascii="Times New Roman" w:hAnsi="Times New Roman" w:cs="Times New Roman"/>
                <w:sz w:val="20"/>
                <w:szCs w:val="20"/>
              </w:rPr>
              <w:t>1.7 (1.0-2.9)</w:t>
            </w:r>
          </w:p>
        </w:tc>
        <w:tc>
          <w:tcPr>
            <w:tcW w:w="1051" w:type="dxa"/>
            <w:tcBorders>
              <w:top w:val="nil"/>
              <w:left w:val="nil"/>
              <w:bottom w:val="nil"/>
              <w:right w:val="nil"/>
            </w:tcBorders>
          </w:tcPr>
          <w:p w14:paraId="2669BE3C" w14:textId="77777777" w:rsidR="00820C51" w:rsidRPr="00BE50B8" w:rsidRDefault="00820C51" w:rsidP="00D30385">
            <w:pPr>
              <w:spacing w:after="0"/>
              <w:jc w:val="center"/>
              <w:rPr>
                <w:rFonts w:ascii="Times New Roman" w:hAnsi="Times New Roman" w:cs="Times New Roman"/>
                <w:color w:val="000000"/>
                <w:sz w:val="20"/>
                <w:szCs w:val="20"/>
              </w:rPr>
            </w:pPr>
            <w:r w:rsidRPr="00BE50B8">
              <w:rPr>
                <w:rFonts w:ascii="Times New Roman" w:hAnsi="Times New Roman" w:cs="Times New Roman"/>
                <w:sz w:val="20"/>
                <w:szCs w:val="20"/>
              </w:rPr>
              <w:t>0.068</w:t>
            </w:r>
          </w:p>
        </w:tc>
        <w:tc>
          <w:tcPr>
            <w:tcW w:w="1751" w:type="dxa"/>
            <w:tcBorders>
              <w:top w:val="nil"/>
              <w:left w:val="nil"/>
              <w:bottom w:val="nil"/>
              <w:right w:val="nil"/>
            </w:tcBorders>
            <w:shd w:val="clear" w:color="auto" w:fill="auto"/>
            <w:noWrap/>
          </w:tcPr>
          <w:p w14:paraId="41B3CE93" w14:textId="77777777" w:rsidR="00820C51" w:rsidRPr="00BE50B8" w:rsidRDefault="00820C51" w:rsidP="00D30385">
            <w:pPr>
              <w:spacing w:after="0"/>
              <w:jc w:val="center"/>
              <w:rPr>
                <w:rFonts w:ascii="Times New Roman" w:hAnsi="Times New Roman" w:cs="Times New Roman"/>
                <w:color w:val="000000"/>
                <w:sz w:val="20"/>
                <w:szCs w:val="20"/>
              </w:rPr>
            </w:pPr>
            <w:r w:rsidRPr="00BE50B8">
              <w:rPr>
                <w:rFonts w:ascii="Times New Roman" w:hAnsi="Times New Roman" w:cs="Times New Roman"/>
                <w:color w:val="000000"/>
                <w:sz w:val="20"/>
                <w:szCs w:val="20"/>
              </w:rPr>
              <w:t>-</w:t>
            </w:r>
          </w:p>
        </w:tc>
        <w:tc>
          <w:tcPr>
            <w:tcW w:w="1073" w:type="dxa"/>
            <w:tcBorders>
              <w:top w:val="nil"/>
              <w:left w:val="nil"/>
              <w:bottom w:val="nil"/>
              <w:right w:val="nil"/>
            </w:tcBorders>
            <w:shd w:val="clear" w:color="auto" w:fill="auto"/>
            <w:noWrap/>
          </w:tcPr>
          <w:p w14:paraId="2A08C1E2" w14:textId="77777777" w:rsidR="00820C51" w:rsidRPr="00BE50B8" w:rsidRDefault="00820C51" w:rsidP="00D30385">
            <w:pPr>
              <w:spacing w:after="0"/>
              <w:jc w:val="center"/>
              <w:rPr>
                <w:rFonts w:ascii="Times New Roman" w:hAnsi="Times New Roman" w:cs="Times New Roman"/>
                <w:color w:val="000000"/>
                <w:sz w:val="20"/>
                <w:szCs w:val="20"/>
              </w:rPr>
            </w:pPr>
            <w:r w:rsidRPr="00BE50B8">
              <w:rPr>
                <w:rFonts w:ascii="Times New Roman" w:hAnsi="Times New Roman" w:cs="Times New Roman"/>
                <w:color w:val="000000"/>
                <w:sz w:val="20"/>
                <w:szCs w:val="20"/>
              </w:rPr>
              <w:t>-</w:t>
            </w:r>
          </w:p>
        </w:tc>
      </w:tr>
      <w:tr w:rsidR="00820C51" w:rsidRPr="00BE50B8" w14:paraId="7237C9B5" w14:textId="77777777" w:rsidTr="00D30385">
        <w:trPr>
          <w:trHeight w:val="262"/>
        </w:trPr>
        <w:tc>
          <w:tcPr>
            <w:tcW w:w="3686" w:type="dxa"/>
            <w:tcBorders>
              <w:top w:val="nil"/>
              <w:left w:val="nil"/>
              <w:bottom w:val="single" w:sz="4" w:space="0" w:color="auto"/>
              <w:right w:val="nil"/>
            </w:tcBorders>
            <w:shd w:val="clear" w:color="auto" w:fill="auto"/>
            <w:noWrap/>
            <w:vAlign w:val="center"/>
          </w:tcPr>
          <w:p w14:paraId="5E45EF07" w14:textId="77777777" w:rsidR="00820C51" w:rsidRPr="00BE50B8" w:rsidRDefault="00820C51" w:rsidP="00D30385">
            <w:pPr>
              <w:spacing w:after="0"/>
              <w:rPr>
                <w:rFonts w:ascii="Times New Roman" w:eastAsia="Times New Roman" w:hAnsi="Times New Roman" w:cs="Times New Roman"/>
                <w:color w:val="000000"/>
                <w:sz w:val="20"/>
                <w:szCs w:val="20"/>
                <w:vertAlign w:val="superscript"/>
                <w:lang w:val="en-US"/>
              </w:rPr>
            </w:pPr>
            <w:r w:rsidRPr="00BE50B8">
              <w:rPr>
                <w:rFonts w:ascii="Times New Roman" w:eastAsia="Times New Roman" w:hAnsi="Times New Roman" w:cs="Times New Roman"/>
                <w:color w:val="000000"/>
                <w:sz w:val="20"/>
                <w:szCs w:val="20"/>
                <w:lang w:val="en-US"/>
              </w:rPr>
              <w:t xml:space="preserve">Remoteness </w:t>
            </w:r>
            <w:r w:rsidRPr="00BE50B8">
              <w:rPr>
                <w:rFonts w:ascii="Times New Roman" w:eastAsia="Times New Roman" w:hAnsi="Times New Roman" w:cs="Times New Roman"/>
                <w:color w:val="000000"/>
                <w:sz w:val="20"/>
                <w:szCs w:val="20"/>
                <w:vertAlign w:val="superscript"/>
                <w:lang w:val="en-US"/>
              </w:rPr>
              <w:t>e</w:t>
            </w:r>
          </w:p>
        </w:tc>
        <w:tc>
          <w:tcPr>
            <w:tcW w:w="1766" w:type="dxa"/>
            <w:tcBorders>
              <w:top w:val="nil"/>
              <w:left w:val="nil"/>
              <w:bottom w:val="single" w:sz="4" w:space="0" w:color="auto"/>
              <w:right w:val="nil"/>
            </w:tcBorders>
            <w:vAlign w:val="center"/>
          </w:tcPr>
          <w:p w14:paraId="3BEFBC9B" w14:textId="77777777" w:rsidR="00820C51" w:rsidRPr="00BE50B8" w:rsidRDefault="00820C51" w:rsidP="00D30385">
            <w:pPr>
              <w:spacing w:after="0"/>
              <w:rPr>
                <w:rFonts w:ascii="Times New Roman" w:eastAsia="Times New Roman" w:hAnsi="Times New Roman" w:cs="Times New Roman"/>
                <w:color w:val="000000"/>
                <w:sz w:val="20"/>
                <w:szCs w:val="20"/>
                <w:lang w:val="en-US"/>
              </w:rPr>
            </w:pPr>
            <w:r w:rsidRPr="00BE50B8">
              <w:rPr>
                <w:rFonts w:ascii="Times New Roman" w:eastAsia="Times New Roman" w:hAnsi="Times New Roman" w:cs="Times New Roman"/>
                <w:color w:val="000000"/>
                <w:sz w:val="20"/>
                <w:szCs w:val="20"/>
                <w:lang w:val="en-US"/>
              </w:rPr>
              <w:t>-</w:t>
            </w:r>
          </w:p>
        </w:tc>
        <w:tc>
          <w:tcPr>
            <w:tcW w:w="1636" w:type="dxa"/>
            <w:tcBorders>
              <w:top w:val="nil"/>
              <w:left w:val="nil"/>
              <w:bottom w:val="single" w:sz="4" w:space="0" w:color="auto"/>
              <w:right w:val="nil"/>
            </w:tcBorders>
            <w:vAlign w:val="center"/>
          </w:tcPr>
          <w:p w14:paraId="772350B6" w14:textId="77777777" w:rsidR="00820C51" w:rsidRPr="00BE50B8" w:rsidRDefault="00820C51" w:rsidP="00D30385">
            <w:pPr>
              <w:spacing w:after="0"/>
              <w:jc w:val="center"/>
              <w:rPr>
                <w:rFonts w:ascii="Times New Roman" w:hAnsi="Times New Roman" w:cs="Times New Roman"/>
                <w:sz w:val="20"/>
                <w:szCs w:val="20"/>
              </w:rPr>
            </w:pPr>
            <w:r w:rsidRPr="00BE50B8">
              <w:rPr>
                <w:rFonts w:ascii="Times New Roman" w:hAnsi="Times New Roman" w:cs="Times New Roman"/>
                <w:sz w:val="20"/>
                <w:szCs w:val="20"/>
              </w:rPr>
              <w:t>1.1 (0.8-1.5)</w:t>
            </w:r>
          </w:p>
        </w:tc>
        <w:tc>
          <w:tcPr>
            <w:tcW w:w="1051" w:type="dxa"/>
            <w:tcBorders>
              <w:top w:val="nil"/>
              <w:left w:val="nil"/>
              <w:bottom w:val="single" w:sz="4" w:space="0" w:color="auto"/>
              <w:right w:val="nil"/>
            </w:tcBorders>
            <w:vAlign w:val="center"/>
          </w:tcPr>
          <w:p w14:paraId="20DC3E1F" w14:textId="77777777" w:rsidR="00820C51" w:rsidRPr="00BE50B8" w:rsidRDefault="00820C51" w:rsidP="00D30385">
            <w:pPr>
              <w:spacing w:after="0"/>
              <w:jc w:val="center"/>
              <w:rPr>
                <w:rFonts w:ascii="Times New Roman" w:hAnsi="Times New Roman" w:cs="Times New Roman"/>
                <w:sz w:val="20"/>
                <w:szCs w:val="20"/>
              </w:rPr>
            </w:pPr>
            <w:r w:rsidRPr="00BE50B8">
              <w:rPr>
                <w:rFonts w:ascii="Times New Roman" w:hAnsi="Times New Roman" w:cs="Times New Roman"/>
                <w:sz w:val="20"/>
                <w:szCs w:val="20"/>
              </w:rPr>
              <w:t>0.59</w:t>
            </w:r>
          </w:p>
        </w:tc>
        <w:tc>
          <w:tcPr>
            <w:tcW w:w="1751" w:type="dxa"/>
            <w:tcBorders>
              <w:top w:val="nil"/>
              <w:left w:val="nil"/>
              <w:bottom w:val="single" w:sz="4" w:space="0" w:color="auto"/>
              <w:right w:val="nil"/>
            </w:tcBorders>
            <w:shd w:val="clear" w:color="auto" w:fill="auto"/>
            <w:noWrap/>
            <w:vAlign w:val="center"/>
          </w:tcPr>
          <w:p w14:paraId="3C47E33C" w14:textId="77777777" w:rsidR="00820C51" w:rsidRPr="00BE50B8" w:rsidRDefault="00820C51" w:rsidP="00D30385">
            <w:pPr>
              <w:spacing w:after="0"/>
              <w:jc w:val="center"/>
              <w:rPr>
                <w:rFonts w:ascii="Times New Roman" w:hAnsi="Times New Roman" w:cs="Times New Roman"/>
                <w:color w:val="000000"/>
                <w:sz w:val="20"/>
                <w:szCs w:val="20"/>
              </w:rPr>
            </w:pPr>
            <w:r w:rsidRPr="00BE50B8">
              <w:rPr>
                <w:rFonts w:ascii="Times New Roman" w:hAnsi="Times New Roman" w:cs="Times New Roman"/>
                <w:color w:val="000000"/>
                <w:sz w:val="20"/>
                <w:szCs w:val="20"/>
              </w:rPr>
              <w:t>-</w:t>
            </w:r>
          </w:p>
        </w:tc>
        <w:tc>
          <w:tcPr>
            <w:tcW w:w="1073" w:type="dxa"/>
            <w:tcBorders>
              <w:top w:val="nil"/>
              <w:left w:val="nil"/>
              <w:bottom w:val="single" w:sz="4" w:space="0" w:color="auto"/>
              <w:right w:val="nil"/>
            </w:tcBorders>
            <w:shd w:val="clear" w:color="auto" w:fill="auto"/>
            <w:noWrap/>
            <w:vAlign w:val="center"/>
          </w:tcPr>
          <w:p w14:paraId="2CE54293" w14:textId="77777777" w:rsidR="00820C51" w:rsidRPr="00BE50B8" w:rsidRDefault="00820C51" w:rsidP="00D30385">
            <w:pPr>
              <w:spacing w:after="0"/>
              <w:jc w:val="center"/>
              <w:rPr>
                <w:rFonts w:ascii="Times New Roman" w:hAnsi="Times New Roman" w:cs="Times New Roman"/>
                <w:color w:val="000000"/>
                <w:sz w:val="20"/>
                <w:szCs w:val="20"/>
              </w:rPr>
            </w:pPr>
            <w:r w:rsidRPr="00BE50B8">
              <w:rPr>
                <w:rFonts w:ascii="Times New Roman" w:hAnsi="Times New Roman" w:cs="Times New Roman"/>
                <w:color w:val="000000"/>
                <w:sz w:val="20"/>
                <w:szCs w:val="20"/>
              </w:rPr>
              <w:t>-</w:t>
            </w:r>
          </w:p>
        </w:tc>
      </w:tr>
    </w:tbl>
    <w:p w14:paraId="61420975" w14:textId="77777777" w:rsidR="00820C51" w:rsidRPr="00E44767" w:rsidRDefault="00820C51" w:rsidP="00820C51">
      <w:pPr>
        <w:spacing w:after="0"/>
        <w:ind w:right="3606"/>
        <w:rPr>
          <w:rFonts w:ascii="Arial Narrow" w:hAnsi="Arial Narrow" w:cs="Arial"/>
          <w:sz w:val="20"/>
          <w:szCs w:val="20"/>
        </w:rPr>
      </w:pPr>
    </w:p>
    <w:p w14:paraId="3D71AC24" w14:textId="77777777" w:rsidR="00820C51" w:rsidRPr="00411CA9" w:rsidRDefault="00820C51" w:rsidP="00820C51">
      <w:pPr>
        <w:ind w:left="-567" w:right="3610"/>
        <w:rPr>
          <w:rFonts w:ascii="Times New Roman" w:hAnsi="Times New Roman" w:cs="Times New Roman"/>
          <w:sz w:val="16"/>
          <w:szCs w:val="16"/>
        </w:rPr>
      </w:pPr>
      <w:r w:rsidRPr="00411CA9">
        <w:rPr>
          <w:rFonts w:ascii="Times New Roman" w:hAnsi="Times New Roman" w:cs="Times New Roman"/>
          <w:sz w:val="16"/>
          <w:szCs w:val="16"/>
        </w:rPr>
        <w:t>Note. Aboriginal and/or Torres Strait Islander Status and Remoteness did not remain in the multivariable model; *Overall Wald p-value; YMM = Young Minds Matter Survey</w:t>
      </w:r>
      <w:r w:rsidRPr="00411CA9">
        <w:rPr>
          <w:rFonts w:ascii="Times New Roman" w:hAnsi="Times New Roman" w:cs="Times New Roman"/>
          <w:sz w:val="16"/>
          <w:szCs w:val="16"/>
          <w:shd w:val="clear" w:color="auto" w:fill="FFFFFF"/>
        </w:rPr>
        <w:t xml:space="preserve">; OR = odds ratio; 95% CI = 95% confidence interval. </w:t>
      </w:r>
    </w:p>
    <w:p w14:paraId="4CE5A45D" w14:textId="77777777" w:rsidR="00820C51" w:rsidRPr="00411CA9" w:rsidRDefault="00820C51" w:rsidP="00820C51">
      <w:pPr>
        <w:spacing w:after="0"/>
        <w:ind w:left="-567" w:right="3610"/>
        <w:rPr>
          <w:rFonts w:ascii="Times New Roman" w:hAnsi="Times New Roman" w:cs="Times New Roman"/>
          <w:sz w:val="16"/>
          <w:szCs w:val="16"/>
        </w:rPr>
      </w:pPr>
      <w:r w:rsidRPr="00411CA9">
        <w:rPr>
          <w:rFonts w:ascii="Times New Roman" w:hAnsi="Times New Roman" w:cs="Times New Roman"/>
          <w:sz w:val="16"/>
          <w:szCs w:val="16"/>
          <w:vertAlign w:val="superscript"/>
        </w:rPr>
        <w:t xml:space="preserve">a </w:t>
      </w:r>
      <w:r w:rsidRPr="00411CA9">
        <w:rPr>
          <w:rFonts w:ascii="Times New Roman" w:hAnsi="Times New Roman" w:cs="Times New Roman"/>
          <w:sz w:val="16"/>
          <w:szCs w:val="16"/>
        </w:rPr>
        <w:t xml:space="preserve">Diagnostic Interview Schedule for Children (DISC-IV) major depression (youth-reported and parent-reported, past 12 months); </w:t>
      </w:r>
      <w:r w:rsidRPr="00411CA9">
        <w:rPr>
          <w:rFonts w:ascii="Times New Roman" w:hAnsi="Times New Roman" w:cs="Times New Roman"/>
          <w:sz w:val="16"/>
          <w:szCs w:val="16"/>
          <w:vertAlign w:val="superscript"/>
        </w:rPr>
        <w:t>b</w:t>
      </w:r>
      <w:r w:rsidRPr="00411CA9">
        <w:rPr>
          <w:rFonts w:ascii="Times New Roman" w:hAnsi="Times New Roman" w:cs="Times New Roman"/>
          <w:sz w:val="16"/>
          <w:szCs w:val="16"/>
        </w:rPr>
        <w:t xml:space="preserve"> Psychological distress ABS categorises (low, moderate, high, very high), as measured using Kessler-10-item psychological distress scale (K-10); </w:t>
      </w:r>
      <w:r w:rsidRPr="00411CA9">
        <w:rPr>
          <w:rFonts w:ascii="Times New Roman" w:hAnsi="Times New Roman" w:cs="Times New Roman"/>
          <w:sz w:val="16"/>
          <w:szCs w:val="16"/>
          <w:vertAlign w:val="superscript"/>
        </w:rPr>
        <w:t xml:space="preserve">c </w:t>
      </w:r>
      <w:r w:rsidRPr="00411CA9">
        <w:rPr>
          <w:rFonts w:ascii="Times New Roman" w:hAnsi="Times New Roman" w:cs="Times New Roman"/>
          <w:sz w:val="16"/>
          <w:szCs w:val="16"/>
        </w:rPr>
        <w:t xml:space="preserve">Family connectedness:  self-rated by young people in the YMM survey (The next few questions are about your family: ‘Do you feel like there are people who are there for you?’ All the time/always, most of the time, sometimes, hardly ever, never); </w:t>
      </w:r>
      <w:r w:rsidRPr="00411CA9">
        <w:rPr>
          <w:rFonts w:ascii="Times New Roman" w:hAnsi="Times New Roman" w:cs="Times New Roman"/>
          <w:sz w:val="16"/>
          <w:szCs w:val="16"/>
          <w:vertAlign w:val="superscript"/>
        </w:rPr>
        <w:t>d</w:t>
      </w:r>
      <w:r w:rsidRPr="00411CA9">
        <w:rPr>
          <w:rFonts w:ascii="Times New Roman" w:hAnsi="Times New Roman" w:cs="Times New Roman"/>
          <w:sz w:val="16"/>
          <w:szCs w:val="16"/>
        </w:rPr>
        <w:t xml:space="preserve"> Building conditions in area: YMM interviewer-rated based on buildings in the area (‘What is the general condition of most of the buildings in this SA1?’ Immaculate, well-kept &amp; clean (in good repair), fair, poor and in need of repair, badly deteriorated); </w:t>
      </w:r>
      <w:r w:rsidRPr="00411CA9">
        <w:rPr>
          <w:rFonts w:ascii="Times New Roman" w:hAnsi="Times New Roman" w:cs="Times New Roman"/>
          <w:sz w:val="16"/>
          <w:szCs w:val="16"/>
          <w:vertAlign w:val="superscript"/>
        </w:rPr>
        <w:t xml:space="preserve">e </w:t>
      </w:r>
      <w:r w:rsidRPr="00411CA9">
        <w:rPr>
          <w:rFonts w:ascii="Times New Roman" w:hAnsi="Times New Roman" w:cs="Times New Roman"/>
          <w:sz w:val="16"/>
          <w:szCs w:val="16"/>
        </w:rPr>
        <w:t>ARIA remoteness index (major cities, inner regional, outer regional, remote).</w:t>
      </w:r>
    </w:p>
    <w:p w14:paraId="20DF61F9" w14:textId="77777777" w:rsidR="00820C51" w:rsidRDefault="00820C51" w:rsidP="00820C51"/>
    <w:p w14:paraId="34BE4D4C" w14:textId="713775EA" w:rsidR="00820C51" w:rsidRDefault="00820C51" w:rsidP="00820C51"/>
    <w:p w14:paraId="77B38252" w14:textId="3C9B8EC8" w:rsidR="00820C51" w:rsidRDefault="00820C51" w:rsidP="00820C51"/>
    <w:p w14:paraId="36C16666" w14:textId="3482256E" w:rsidR="00820C51" w:rsidRDefault="00820C51" w:rsidP="00820C51"/>
    <w:p w14:paraId="7FE2C6A6" w14:textId="39EBB867" w:rsidR="00820C51" w:rsidRDefault="00820C51" w:rsidP="00820C51"/>
    <w:p w14:paraId="230E290D" w14:textId="7149A532" w:rsidR="00820C51" w:rsidRDefault="00820C51" w:rsidP="00820C51"/>
    <w:p w14:paraId="31536853" w14:textId="67D6070D" w:rsidR="00820C51" w:rsidRDefault="00820C51" w:rsidP="00820C51"/>
    <w:p w14:paraId="18D961D4" w14:textId="668ACF44" w:rsidR="00820C51" w:rsidRDefault="00820C51" w:rsidP="00820C51"/>
    <w:p w14:paraId="763E47F4" w14:textId="4E5B5D31" w:rsidR="00820C51" w:rsidRDefault="00820C51" w:rsidP="00820C51"/>
    <w:p w14:paraId="2212FCE4" w14:textId="4D7C735F" w:rsidR="00820C51" w:rsidRDefault="00820C51" w:rsidP="00820C51"/>
    <w:p w14:paraId="3A62D45C" w14:textId="7C79A6E2" w:rsidR="00820C51" w:rsidRDefault="00820C51" w:rsidP="00820C51"/>
    <w:p w14:paraId="620427A8" w14:textId="5472461A" w:rsidR="00820C51" w:rsidRDefault="00820C51" w:rsidP="00820C51"/>
    <w:p w14:paraId="3EF826C4" w14:textId="77777777" w:rsidR="00820C51" w:rsidRDefault="00820C51" w:rsidP="00820C51"/>
    <w:p w14:paraId="672B07DA" w14:textId="77777777" w:rsidR="00820C51" w:rsidRDefault="00820C51" w:rsidP="00820C51"/>
    <w:p w14:paraId="3AB915E6" w14:textId="63FC59F3" w:rsidR="00820C51" w:rsidRPr="00231EB1" w:rsidRDefault="00820C51" w:rsidP="00E70E39">
      <w:pPr>
        <w:spacing w:after="0"/>
        <w:ind w:right="3326"/>
        <w:rPr>
          <w:rFonts w:ascii="Times New Roman" w:hAnsi="Times New Roman" w:cs="Times New Roman"/>
        </w:rPr>
      </w:pPr>
      <w:r w:rsidRPr="00231EB1">
        <w:rPr>
          <w:rFonts w:ascii="Times New Roman" w:hAnsi="Times New Roman" w:cs="Times New Roman"/>
          <w:b/>
          <w:bCs/>
        </w:rPr>
        <w:lastRenderedPageBreak/>
        <w:t xml:space="preserve">Table </w:t>
      </w:r>
      <w:r>
        <w:rPr>
          <w:rFonts w:ascii="Times New Roman" w:hAnsi="Times New Roman" w:cs="Times New Roman"/>
          <w:b/>
          <w:bCs/>
        </w:rPr>
        <w:t>S3</w:t>
      </w:r>
      <w:r w:rsidRPr="00231EB1">
        <w:rPr>
          <w:rFonts w:ascii="Times New Roman" w:hAnsi="Times New Roman" w:cs="Times New Roman"/>
          <w:b/>
          <w:bCs/>
        </w:rPr>
        <w:t>.</w:t>
      </w:r>
      <w:r w:rsidRPr="00231EB1">
        <w:rPr>
          <w:rFonts w:ascii="Times New Roman" w:hAnsi="Times New Roman" w:cs="Times New Roman"/>
        </w:rPr>
        <w:t xml:space="preserve"> Distribution and univariate associations between auxiliary variables and individual-level self-harm</w:t>
      </w:r>
      <w:r w:rsidR="00E70E39">
        <w:rPr>
          <w:rFonts w:ascii="Times New Roman" w:hAnsi="Times New Roman" w:cs="Times New Roman"/>
        </w:rPr>
        <w:t xml:space="preserve"> in the YMM sample (n=2,578 individuals in 540 SA1s)</w:t>
      </w:r>
    </w:p>
    <w:tbl>
      <w:tblPr>
        <w:tblW w:w="10631" w:type="dxa"/>
        <w:tblLayout w:type="fixed"/>
        <w:tblLook w:val="04A0" w:firstRow="1" w:lastRow="0" w:firstColumn="1" w:lastColumn="0" w:noHBand="0" w:noVBand="1"/>
      </w:tblPr>
      <w:tblGrid>
        <w:gridCol w:w="2343"/>
        <w:gridCol w:w="2902"/>
        <w:gridCol w:w="1276"/>
        <w:gridCol w:w="1362"/>
        <w:gridCol w:w="1473"/>
        <w:gridCol w:w="1275"/>
      </w:tblGrid>
      <w:tr w:rsidR="00820C51" w:rsidRPr="00231EB1" w14:paraId="153C7C1C" w14:textId="77777777" w:rsidTr="00486373">
        <w:trPr>
          <w:trHeight w:val="586"/>
          <w:tblHeader/>
        </w:trPr>
        <w:tc>
          <w:tcPr>
            <w:tcW w:w="2343" w:type="dxa"/>
            <w:tcBorders>
              <w:top w:val="single" w:sz="4" w:space="0" w:color="auto"/>
              <w:left w:val="nil"/>
              <w:right w:val="nil"/>
            </w:tcBorders>
            <w:shd w:val="clear" w:color="auto" w:fill="D9D9D9" w:themeFill="background1" w:themeFillShade="D9"/>
            <w:noWrap/>
            <w:vAlign w:val="center"/>
            <w:hideMark/>
          </w:tcPr>
          <w:p w14:paraId="6AFFAB8D" w14:textId="77777777" w:rsidR="00820C51" w:rsidRPr="00231EB1" w:rsidRDefault="00820C51" w:rsidP="00D30385">
            <w:pPr>
              <w:spacing w:after="0"/>
              <w:rPr>
                <w:rFonts w:ascii="Times New Roman" w:eastAsia="Times New Roman" w:hAnsi="Times New Roman" w:cs="Times New Roman"/>
                <w:b/>
                <w:bCs/>
                <w:sz w:val="20"/>
                <w:szCs w:val="20"/>
                <w:lang w:val="en-US"/>
              </w:rPr>
            </w:pPr>
            <w:r w:rsidRPr="00231EB1">
              <w:rPr>
                <w:rFonts w:ascii="Times New Roman" w:eastAsia="Times New Roman" w:hAnsi="Times New Roman" w:cs="Times New Roman"/>
                <w:b/>
                <w:bCs/>
                <w:sz w:val="20"/>
                <w:szCs w:val="20"/>
                <w:lang w:val="en-US"/>
              </w:rPr>
              <w:t>SA1-level Variable</w:t>
            </w:r>
          </w:p>
        </w:tc>
        <w:tc>
          <w:tcPr>
            <w:tcW w:w="2902" w:type="dxa"/>
            <w:tcBorders>
              <w:top w:val="single" w:sz="4" w:space="0" w:color="auto"/>
              <w:left w:val="nil"/>
              <w:right w:val="nil"/>
            </w:tcBorders>
            <w:shd w:val="clear" w:color="auto" w:fill="D9D9D9" w:themeFill="background1" w:themeFillShade="D9"/>
            <w:noWrap/>
            <w:vAlign w:val="center"/>
            <w:hideMark/>
          </w:tcPr>
          <w:p w14:paraId="6D653E53" w14:textId="77777777" w:rsidR="00820C51" w:rsidRPr="00231EB1" w:rsidRDefault="00820C51" w:rsidP="00D30385">
            <w:pPr>
              <w:spacing w:after="0"/>
              <w:rPr>
                <w:rFonts w:ascii="Times New Roman" w:eastAsia="Times New Roman" w:hAnsi="Times New Roman" w:cs="Times New Roman"/>
                <w:b/>
                <w:bCs/>
                <w:sz w:val="20"/>
                <w:szCs w:val="20"/>
                <w:lang w:val="en-US"/>
              </w:rPr>
            </w:pPr>
            <w:r w:rsidRPr="00231EB1">
              <w:rPr>
                <w:rFonts w:ascii="Times New Roman" w:eastAsia="Times New Roman" w:hAnsi="Times New Roman" w:cs="Times New Roman"/>
                <w:b/>
                <w:bCs/>
                <w:sz w:val="20"/>
                <w:szCs w:val="20"/>
                <w:lang w:val="en-US"/>
              </w:rPr>
              <w:t>Category</w:t>
            </w:r>
          </w:p>
        </w:tc>
        <w:tc>
          <w:tcPr>
            <w:tcW w:w="1276" w:type="dxa"/>
            <w:tcBorders>
              <w:top w:val="single" w:sz="4" w:space="0" w:color="auto"/>
              <w:left w:val="nil"/>
              <w:right w:val="nil"/>
            </w:tcBorders>
            <w:shd w:val="clear" w:color="auto" w:fill="D9D9D9" w:themeFill="background1" w:themeFillShade="D9"/>
            <w:noWrap/>
            <w:vAlign w:val="center"/>
            <w:hideMark/>
          </w:tcPr>
          <w:p w14:paraId="6014EAF7" w14:textId="77777777" w:rsidR="00820C51" w:rsidRPr="00231EB1" w:rsidRDefault="00820C51" w:rsidP="00D30385">
            <w:pPr>
              <w:spacing w:after="0"/>
              <w:jc w:val="center"/>
              <w:rPr>
                <w:rFonts w:ascii="Times New Roman" w:eastAsia="Times New Roman" w:hAnsi="Times New Roman" w:cs="Times New Roman"/>
                <w:b/>
                <w:bCs/>
                <w:sz w:val="20"/>
                <w:szCs w:val="20"/>
                <w:lang w:val="en-US"/>
              </w:rPr>
            </w:pPr>
            <w:r w:rsidRPr="00231EB1">
              <w:rPr>
                <w:rFonts w:ascii="Times New Roman" w:eastAsia="Times New Roman" w:hAnsi="Times New Roman" w:cs="Times New Roman"/>
                <w:b/>
                <w:bCs/>
                <w:sz w:val="20"/>
                <w:szCs w:val="20"/>
                <w:lang w:val="en-US"/>
              </w:rPr>
              <w:t>Proportion</w:t>
            </w:r>
          </w:p>
        </w:tc>
        <w:tc>
          <w:tcPr>
            <w:tcW w:w="1362" w:type="dxa"/>
            <w:tcBorders>
              <w:top w:val="single" w:sz="4" w:space="0" w:color="auto"/>
              <w:left w:val="nil"/>
              <w:right w:val="nil"/>
            </w:tcBorders>
            <w:shd w:val="clear" w:color="auto" w:fill="D9D9D9" w:themeFill="background1" w:themeFillShade="D9"/>
            <w:noWrap/>
            <w:vAlign w:val="center"/>
            <w:hideMark/>
          </w:tcPr>
          <w:p w14:paraId="1D86E677" w14:textId="77777777" w:rsidR="00820C51" w:rsidRPr="00231EB1" w:rsidRDefault="00820C51" w:rsidP="00D30385">
            <w:pPr>
              <w:spacing w:after="0"/>
              <w:ind w:left="179"/>
              <w:rPr>
                <w:rFonts w:ascii="Times New Roman" w:eastAsia="Times New Roman" w:hAnsi="Times New Roman" w:cs="Times New Roman"/>
                <w:b/>
                <w:bCs/>
                <w:sz w:val="20"/>
                <w:szCs w:val="20"/>
                <w:lang w:val="en-US"/>
              </w:rPr>
            </w:pPr>
            <w:r w:rsidRPr="00231EB1">
              <w:rPr>
                <w:rFonts w:ascii="Times New Roman" w:eastAsia="Times New Roman" w:hAnsi="Times New Roman" w:cs="Times New Roman"/>
                <w:b/>
                <w:bCs/>
                <w:sz w:val="20"/>
                <w:szCs w:val="20"/>
                <w:lang w:val="en-US"/>
              </w:rPr>
              <w:t>95% CI</w:t>
            </w:r>
          </w:p>
        </w:tc>
        <w:tc>
          <w:tcPr>
            <w:tcW w:w="1473" w:type="dxa"/>
            <w:tcBorders>
              <w:top w:val="single" w:sz="4" w:space="0" w:color="auto"/>
              <w:left w:val="nil"/>
              <w:right w:val="nil"/>
            </w:tcBorders>
            <w:shd w:val="clear" w:color="auto" w:fill="D9D9D9" w:themeFill="background1" w:themeFillShade="D9"/>
            <w:noWrap/>
            <w:vAlign w:val="center"/>
            <w:hideMark/>
          </w:tcPr>
          <w:p w14:paraId="5B4429D0" w14:textId="77777777" w:rsidR="00820C51" w:rsidRPr="00231EB1" w:rsidRDefault="00820C51" w:rsidP="00D30385">
            <w:pPr>
              <w:spacing w:after="0"/>
              <w:ind w:left="89"/>
              <w:rPr>
                <w:rFonts w:ascii="Times New Roman" w:eastAsia="Times New Roman" w:hAnsi="Times New Roman" w:cs="Times New Roman"/>
                <w:b/>
                <w:bCs/>
                <w:sz w:val="20"/>
                <w:szCs w:val="20"/>
                <w:lang w:val="en-US"/>
              </w:rPr>
            </w:pPr>
            <w:r w:rsidRPr="00231EB1">
              <w:rPr>
                <w:rFonts w:ascii="Times New Roman" w:eastAsia="Times New Roman" w:hAnsi="Times New Roman" w:cs="Times New Roman"/>
                <w:b/>
                <w:bCs/>
                <w:sz w:val="20"/>
                <w:szCs w:val="20"/>
                <w:lang w:val="en-US"/>
              </w:rPr>
              <w:t>OR (95% CI)</w:t>
            </w:r>
          </w:p>
        </w:tc>
        <w:tc>
          <w:tcPr>
            <w:tcW w:w="1275" w:type="dxa"/>
            <w:tcBorders>
              <w:top w:val="single" w:sz="4" w:space="0" w:color="auto"/>
              <w:left w:val="nil"/>
              <w:right w:val="nil"/>
            </w:tcBorders>
            <w:shd w:val="clear" w:color="auto" w:fill="D9D9D9" w:themeFill="background1" w:themeFillShade="D9"/>
            <w:noWrap/>
            <w:vAlign w:val="center"/>
            <w:hideMark/>
          </w:tcPr>
          <w:p w14:paraId="6104EE72" w14:textId="77777777" w:rsidR="00820C51" w:rsidRPr="00231EB1" w:rsidRDefault="00820C51" w:rsidP="00D30385">
            <w:pPr>
              <w:spacing w:after="0"/>
              <w:ind w:left="178" w:right="-524" w:firstLine="247"/>
              <w:rPr>
                <w:rFonts w:ascii="Times New Roman" w:eastAsia="Times New Roman" w:hAnsi="Times New Roman" w:cs="Times New Roman"/>
                <w:b/>
                <w:bCs/>
                <w:sz w:val="20"/>
                <w:szCs w:val="20"/>
                <w:lang w:val="en-US"/>
              </w:rPr>
            </w:pPr>
            <w:r w:rsidRPr="00231EB1">
              <w:rPr>
                <w:rFonts w:ascii="Times New Roman" w:eastAsia="Times New Roman" w:hAnsi="Times New Roman" w:cs="Times New Roman"/>
                <w:b/>
                <w:bCs/>
                <w:sz w:val="20"/>
                <w:szCs w:val="20"/>
                <w:lang w:val="en-US"/>
              </w:rPr>
              <w:t>p-value</w:t>
            </w:r>
          </w:p>
        </w:tc>
      </w:tr>
      <w:tr w:rsidR="00820C51" w:rsidRPr="00231EB1" w14:paraId="3250906F" w14:textId="77777777" w:rsidTr="00486373">
        <w:trPr>
          <w:trHeight w:val="288"/>
        </w:trPr>
        <w:tc>
          <w:tcPr>
            <w:tcW w:w="2343" w:type="dxa"/>
            <w:tcBorders>
              <w:top w:val="single" w:sz="4" w:space="0" w:color="auto"/>
              <w:left w:val="nil"/>
              <w:bottom w:val="nil"/>
              <w:right w:val="nil"/>
            </w:tcBorders>
            <w:shd w:val="clear" w:color="auto" w:fill="auto"/>
            <w:noWrap/>
            <w:vAlign w:val="center"/>
            <w:hideMark/>
          </w:tcPr>
          <w:p w14:paraId="4C71F8D7" w14:textId="77777777" w:rsidR="00820C51" w:rsidRPr="00231EB1" w:rsidRDefault="00820C51" w:rsidP="00D30385">
            <w:pPr>
              <w:spacing w:after="0"/>
              <w:rPr>
                <w:rFonts w:ascii="Times New Roman" w:eastAsia="Times New Roman" w:hAnsi="Times New Roman" w:cs="Times New Roman"/>
                <w:sz w:val="20"/>
                <w:szCs w:val="20"/>
                <w:vertAlign w:val="superscript"/>
                <w:lang w:val="en-US"/>
              </w:rPr>
            </w:pPr>
            <w:r w:rsidRPr="00231EB1">
              <w:rPr>
                <w:rFonts w:ascii="Times New Roman" w:eastAsia="Times New Roman" w:hAnsi="Times New Roman" w:cs="Times New Roman"/>
                <w:sz w:val="20"/>
                <w:szCs w:val="20"/>
                <w:lang w:val="en-US"/>
              </w:rPr>
              <w:t xml:space="preserve">IRSD quintile </w:t>
            </w:r>
            <w:r w:rsidRPr="00231EB1">
              <w:rPr>
                <w:rFonts w:ascii="Times New Roman" w:eastAsia="Times New Roman" w:hAnsi="Times New Roman" w:cs="Times New Roman"/>
                <w:sz w:val="20"/>
                <w:szCs w:val="20"/>
                <w:vertAlign w:val="superscript"/>
                <w:lang w:val="en-US"/>
              </w:rPr>
              <w:t>a</w:t>
            </w:r>
          </w:p>
        </w:tc>
        <w:tc>
          <w:tcPr>
            <w:tcW w:w="2902" w:type="dxa"/>
            <w:tcBorders>
              <w:top w:val="single" w:sz="4" w:space="0" w:color="auto"/>
              <w:left w:val="nil"/>
              <w:bottom w:val="nil"/>
              <w:right w:val="nil"/>
            </w:tcBorders>
            <w:shd w:val="clear" w:color="auto" w:fill="auto"/>
            <w:noWrap/>
            <w:vAlign w:val="center"/>
            <w:hideMark/>
          </w:tcPr>
          <w:p w14:paraId="4B643290"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 xml:space="preserve">Lowest quintile </w:t>
            </w:r>
          </w:p>
        </w:tc>
        <w:tc>
          <w:tcPr>
            <w:tcW w:w="1276" w:type="dxa"/>
            <w:tcBorders>
              <w:top w:val="single" w:sz="4" w:space="0" w:color="auto"/>
              <w:left w:val="nil"/>
              <w:bottom w:val="nil"/>
              <w:right w:val="nil"/>
            </w:tcBorders>
            <w:shd w:val="clear" w:color="auto" w:fill="auto"/>
            <w:noWrap/>
            <w:vAlign w:val="center"/>
            <w:hideMark/>
          </w:tcPr>
          <w:p w14:paraId="5DF48BB6" w14:textId="77777777" w:rsidR="00820C51" w:rsidRPr="00231EB1" w:rsidRDefault="00820C51"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0.16</w:t>
            </w:r>
          </w:p>
        </w:tc>
        <w:tc>
          <w:tcPr>
            <w:tcW w:w="1362" w:type="dxa"/>
            <w:tcBorders>
              <w:top w:val="single" w:sz="4" w:space="0" w:color="auto"/>
              <w:left w:val="nil"/>
              <w:bottom w:val="nil"/>
              <w:right w:val="nil"/>
            </w:tcBorders>
            <w:shd w:val="clear" w:color="auto" w:fill="auto"/>
            <w:noWrap/>
            <w:vAlign w:val="center"/>
            <w:hideMark/>
          </w:tcPr>
          <w:p w14:paraId="09A0B750" w14:textId="77777777" w:rsidR="00820C51" w:rsidRPr="00231EB1" w:rsidRDefault="00820C51"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0.13-0.21</w:t>
            </w:r>
          </w:p>
        </w:tc>
        <w:tc>
          <w:tcPr>
            <w:tcW w:w="1473" w:type="dxa"/>
            <w:tcBorders>
              <w:top w:val="single" w:sz="4" w:space="0" w:color="auto"/>
              <w:left w:val="nil"/>
              <w:bottom w:val="nil"/>
              <w:right w:val="nil"/>
            </w:tcBorders>
            <w:shd w:val="clear" w:color="auto" w:fill="auto"/>
            <w:noWrap/>
            <w:vAlign w:val="center"/>
            <w:hideMark/>
          </w:tcPr>
          <w:p w14:paraId="75A524A4" w14:textId="77777777" w:rsidR="00820C51" w:rsidRPr="00231EB1" w:rsidRDefault="00820C51"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Reference</w:t>
            </w:r>
          </w:p>
        </w:tc>
        <w:tc>
          <w:tcPr>
            <w:tcW w:w="1275" w:type="dxa"/>
            <w:tcBorders>
              <w:top w:val="single" w:sz="4" w:space="0" w:color="auto"/>
              <w:left w:val="nil"/>
              <w:bottom w:val="nil"/>
              <w:right w:val="nil"/>
            </w:tcBorders>
            <w:shd w:val="clear" w:color="auto" w:fill="auto"/>
            <w:noWrap/>
            <w:vAlign w:val="center"/>
            <w:hideMark/>
          </w:tcPr>
          <w:p w14:paraId="5B7BAAB4" w14:textId="1B5CAE2B" w:rsidR="00820C51" w:rsidRPr="00231EB1" w:rsidRDefault="00820C51" w:rsidP="00D30385">
            <w:pPr>
              <w:spacing w:after="0"/>
              <w:jc w:val="right"/>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0.6</w:t>
            </w:r>
            <w:r w:rsidR="00E70E39">
              <w:rPr>
                <w:rFonts w:ascii="Times New Roman" w:eastAsia="Times New Roman" w:hAnsi="Times New Roman" w:cs="Times New Roman"/>
                <w:sz w:val="20"/>
                <w:szCs w:val="20"/>
                <w:lang w:val="en-US"/>
              </w:rPr>
              <w:t>6*</w:t>
            </w:r>
          </w:p>
        </w:tc>
      </w:tr>
      <w:tr w:rsidR="00820C51" w:rsidRPr="00231EB1" w14:paraId="252E653E" w14:textId="77777777" w:rsidTr="00486373">
        <w:trPr>
          <w:trHeight w:val="288"/>
        </w:trPr>
        <w:tc>
          <w:tcPr>
            <w:tcW w:w="2343" w:type="dxa"/>
            <w:tcBorders>
              <w:top w:val="nil"/>
              <w:left w:val="nil"/>
              <w:bottom w:val="nil"/>
              <w:right w:val="nil"/>
            </w:tcBorders>
            <w:shd w:val="clear" w:color="auto" w:fill="auto"/>
            <w:noWrap/>
            <w:vAlign w:val="center"/>
            <w:hideMark/>
          </w:tcPr>
          <w:p w14:paraId="57C1D262" w14:textId="77777777" w:rsidR="00820C51" w:rsidRPr="00231EB1" w:rsidRDefault="00820C51" w:rsidP="00D30385">
            <w:pPr>
              <w:spacing w:after="0"/>
              <w:jc w:val="right"/>
              <w:rPr>
                <w:rFonts w:ascii="Times New Roman" w:eastAsia="Times New Roman" w:hAnsi="Times New Roman" w:cs="Times New Roman"/>
                <w:sz w:val="20"/>
                <w:szCs w:val="20"/>
                <w:lang w:val="en-US"/>
              </w:rPr>
            </w:pPr>
          </w:p>
        </w:tc>
        <w:tc>
          <w:tcPr>
            <w:tcW w:w="2902" w:type="dxa"/>
            <w:tcBorders>
              <w:top w:val="nil"/>
              <w:left w:val="nil"/>
              <w:bottom w:val="nil"/>
              <w:right w:val="nil"/>
            </w:tcBorders>
            <w:shd w:val="clear" w:color="auto" w:fill="auto"/>
            <w:noWrap/>
            <w:vAlign w:val="center"/>
            <w:hideMark/>
          </w:tcPr>
          <w:p w14:paraId="41B0CE32"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Quintile 2</w:t>
            </w:r>
          </w:p>
        </w:tc>
        <w:tc>
          <w:tcPr>
            <w:tcW w:w="1276" w:type="dxa"/>
            <w:tcBorders>
              <w:top w:val="nil"/>
              <w:left w:val="nil"/>
              <w:bottom w:val="nil"/>
              <w:right w:val="nil"/>
            </w:tcBorders>
            <w:shd w:val="clear" w:color="auto" w:fill="auto"/>
            <w:noWrap/>
            <w:vAlign w:val="center"/>
            <w:hideMark/>
          </w:tcPr>
          <w:p w14:paraId="36E330C7" w14:textId="77777777" w:rsidR="00820C51" w:rsidRPr="00231EB1" w:rsidRDefault="00820C51"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0.19</w:t>
            </w:r>
          </w:p>
        </w:tc>
        <w:tc>
          <w:tcPr>
            <w:tcW w:w="1362" w:type="dxa"/>
            <w:tcBorders>
              <w:top w:val="nil"/>
              <w:left w:val="nil"/>
              <w:bottom w:val="nil"/>
              <w:right w:val="nil"/>
            </w:tcBorders>
            <w:shd w:val="clear" w:color="auto" w:fill="auto"/>
            <w:noWrap/>
            <w:vAlign w:val="center"/>
            <w:hideMark/>
          </w:tcPr>
          <w:p w14:paraId="44D30940" w14:textId="77777777" w:rsidR="00820C51" w:rsidRPr="00231EB1" w:rsidRDefault="00820C51"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0.15-0.24</w:t>
            </w:r>
          </w:p>
        </w:tc>
        <w:tc>
          <w:tcPr>
            <w:tcW w:w="1473" w:type="dxa"/>
            <w:tcBorders>
              <w:top w:val="nil"/>
              <w:left w:val="nil"/>
              <w:bottom w:val="nil"/>
              <w:right w:val="nil"/>
            </w:tcBorders>
            <w:shd w:val="clear" w:color="auto" w:fill="auto"/>
            <w:noWrap/>
            <w:vAlign w:val="center"/>
            <w:hideMark/>
          </w:tcPr>
          <w:p w14:paraId="6F16B69C" w14:textId="77777777" w:rsidR="00820C51" w:rsidRPr="00231EB1" w:rsidRDefault="00820C51"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0.8 (0.5-1.4)</w:t>
            </w:r>
          </w:p>
        </w:tc>
        <w:tc>
          <w:tcPr>
            <w:tcW w:w="1275" w:type="dxa"/>
            <w:tcBorders>
              <w:top w:val="nil"/>
              <w:left w:val="nil"/>
              <w:bottom w:val="nil"/>
              <w:right w:val="nil"/>
            </w:tcBorders>
            <w:shd w:val="clear" w:color="auto" w:fill="auto"/>
            <w:noWrap/>
            <w:vAlign w:val="center"/>
            <w:hideMark/>
          </w:tcPr>
          <w:p w14:paraId="5568811F" w14:textId="77777777" w:rsidR="00820C51" w:rsidRPr="00231EB1" w:rsidRDefault="00820C51" w:rsidP="00D30385">
            <w:pPr>
              <w:spacing w:after="0"/>
              <w:jc w:val="right"/>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0.46</w:t>
            </w:r>
          </w:p>
        </w:tc>
      </w:tr>
      <w:tr w:rsidR="00820C51" w:rsidRPr="00231EB1" w14:paraId="14CFD576" w14:textId="77777777" w:rsidTr="00486373">
        <w:trPr>
          <w:trHeight w:val="288"/>
        </w:trPr>
        <w:tc>
          <w:tcPr>
            <w:tcW w:w="2343" w:type="dxa"/>
            <w:tcBorders>
              <w:top w:val="nil"/>
              <w:left w:val="nil"/>
              <w:bottom w:val="nil"/>
              <w:right w:val="nil"/>
            </w:tcBorders>
            <w:shd w:val="clear" w:color="auto" w:fill="auto"/>
            <w:noWrap/>
            <w:vAlign w:val="center"/>
            <w:hideMark/>
          </w:tcPr>
          <w:p w14:paraId="7FEED356" w14:textId="77777777" w:rsidR="00820C51" w:rsidRPr="00231EB1" w:rsidRDefault="00820C51" w:rsidP="00D30385">
            <w:pPr>
              <w:spacing w:after="0"/>
              <w:rPr>
                <w:rFonts w:ascii="Times New Roman" w:eastAsia="Times New Roman" w:hAnsi="Times New Roman" w:cs="Times New Roman"/>
                <w:sz w:val="20"/>
                <w:szCs w:val="20"/>
                <w:lang w:val="en-US"/>
              </w:rPr>
            </w:pPr>
          </w:p>
        </w:tc>
        <w:tc>
          <w:tcPr>
            <w:tcW w:w="2902" w:type="dxa"/>
            <w:tcBorders>
              <w:top w:val="nil"/>
              <w:left w:val="nil"/>
              <w:bottom w:val="nil"/>
              <w:right w:val="nil"/>
            </w:tcBorders>
            <w:shd w:val="clear" w:color="auto" w:fill="auto"/>
            <w:noWrap/>
            <w:vAlign w:val="center"/>
            <w:hideMark/>
          </w:tcPr>
          <w:p w14:paraId="082E85F4"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Quintile 3</w:t>
            </w:r>
          </w:p>
        </w:tc>
        <w:tc>
          <w:tcPr>
            <w:tcW w:w="1276" w:type="dxa"/>
            <w:tcBorders>
              <w:top w:val="nil"/>
              <w:left w:val="nil"/>
              <w:bottom w:val="nil"/>
              <w:right w:val="nil"/>
            </w:tcBorders>
            <w:shd w:val="clear" w:color="auto" w:fill="auto"/>
            <w:noWrap/>
            <w:vAlign w:val="center"/>
            <w:hideMark/>
          </w:tcPr>
          <w:p w14:paraId="7BD590EB" w14:textId="77777777" w:rsidR="00820C51" w:rsidRPr="00231EB1" w:rsidRDefault="00820C51"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0.18</w:t>
            </w:r>
          </w:p>
        </w:tc>
        <w:tc>
          <w:tcPr>
            <w:tcW w:w="1362" w:type="dxa"/>
            <w:tcBorders>
              <w:top w:val="nil"/>
              <w:left w:val="nil"/>
              <w:bottom w:val="nil"/>
              <w:right w:val="nil"/>
            </w:tcBorders>
            <w:shd w:val="clear" w:color="auto" w:fill="auto"/>
            <w:noWrap/>
            <w:vAlign w:val="center"/>
            <w:hideMark/>
          </w:tcPr>
          <w:p w14:paraId="4B2578D0" w14:textId="77777777" w:rsidR="00820C51" w:rsidRPr="00231EB1" w:rsidRDefault="00820C51"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0.14-0.23</w:t>
            </w:r>
          </w:p>
        </w:tc>
        <w:tc>
          <w:tcPr>
            <w:tcW w:w="1473" w:type="dxa"/>
            <w:tcBorders>
              <w:top w:val="nil"/>
              <w:left w:val="nil"/>
              <w:bottom w:val="nil"/>
              <w:right w:val="nil"/>
            </w:tcBorders>
            <w:shd w:val="clear" w:color="auto" w:fill="auto"/>
            <w:noWrap/>
            <w:vAlign w:val="center"/>
            <w:hideMark/>
          </w:tcPr>
          <w:p w14:paraId="77989DB3" w14:textId="77777777" w:rsidR="00820C51" w:rsidRPr="00231EB1" w:rsidRDefault="00820C51"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0.7 (0.4-1.2)</w:t>
            </w:r>
          </w:p>
        </w:tc>
        <w:tc>
          <w:tcPr>
            <w:tcW w:w="1275" w:type="dxa"/>
            <w:tcBorders>
              <w:top w:val="nil"/>
              <w:left w:val="nil"/>
              <w:bottom w:val="nil"/>
              <w:right w:val="nil"/>
            </w:tcBorders>
            <w:shd w:val="clear" w:color="auto" w:fill="auto"/>
            <w:noWrap/>
            <w:vAlign w:val="center"/>
            <w:hideMark/>
          </w:tcPr>
          <w:p w14:paraId="34E6C993" w14:textId="77777777" w:rsidR="00820C51" w:rsidRPr="00231EB1" w:rsidRDefault="00820C51" w:rsidP="00D30385">
            <w:pPr>
              <w:spacing w:after="0"/>
              <w:jc w:val="right"/>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0.23</w:t>
            </w:r>
          </w:p>
        </w:tc>
      </w:tr>
      <w:tr w:rsidR="00820C51" w:rsidRPr="00231EB1" w14:paraId="049A4D9C" w14:textId="77777777" w:rsidTr="00486373">
        <w:trPr>
          <w:trHeight w:val="288"/>
        </w:trPr>
        <w:tc>
          <w:tcPr>
            <w:tcW w:w="2343" w:type="dxa"/>
            <w:tcBorders>
              <w:top w:val="nil"/>
              <w:left w:val="nil"/>
              <w:bottom w:val="nil"/>
              <w:right w:val="nil"/>
            </w:tcBorders>
            <w:shd w:val="clear" w:color="auto" w:fill="auto"/>
            <w:noWrap/>
            <w:vAlign w:val="center"/>
            <w:hideMark/>
          </w:tcPr>
          <w:p w14:paraId="043CC72B" w14:textId="77777777" w:rsidR="00820C51" w:rsidRPr="00231EB1" w:rsidRDefault="00820C51" w:rsidP="00D30385">
            <w:pPr>
              <w:spacing w:after="0"/>
              <w:rPr>
                <w:rFonts w:ascii="Times New Roman" w:eastAsia="Times New Roman" w:hAnsi="Times New Roman" w:cs="Times New Roman"/>
                <w:sz w:val="20"/>
                <w:szCs w:val="20"/>
                <w:lang w:val="en-US"/>
              </w:rPr>
            </w:pPr>
          </w:p>
        </w:tc>
        <w:tc>
          <w:tcPr>
            <w:tcW w:w="2902" w:type="dxa"/>
            <w:tcBorders>
              <w:top w:val="nil"/>
              <w:left w:val="nil"/>
              <w:bottom w:val="nil"/>
              <w:right w:val="nil"/>
            </w:tcBorders>
            <w:shd w:val="clear" w:color="auto" w:fill="auto"/>
            <w:noWrap/>
            <w:vAlign w:val="center"/>
            <w:hideMark/>
          </w:tcPr>
          <w:p w14:paraId="2AB1720C"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Quintile 4</w:t>
            </w:r>
          </w:p>
        </w:tc>
        <w:tc>
          <w:tcPr>
            <w:tcW w:w="1276" w:type="dxa"/>
            <w:tcBorders>
              <w:top w:val="nil"/>
              <w:left w:val="nil"/>
              <w:bottom w:val="nil"/>
              <w:right w:val="nil"/>
            </w:tcBorders>
            <w:shd w:val="clear" w:color="auto" w:fill="auto"/>
            <w:noWrap/>
            <w:vAlign w:val="center"/>
            <w:hideMark/>
          </w:tcPr>
          <w:p w14:paraId="7470FD63" w14:textId="77777777" w:rsidR="00820C51" w:rsidRPr="00231EB1" w:rsidRDefault="00820C51"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0.23</w:t>
            </w:r>
          </w:p>
        </w:tc>
        <w:tc>
          <w:tcPr>
            <w:tcW w:w="1362" w:type="dxa"/>
            <w:tcBorders>
              <w:top w:val="nil"/>
              <w:left w:val="nil"/>
              <w:bottom w:val="nil"/>
              <w:right w:val="nil"/>
            </w:tcBorders>
            <w:shd w:val="clear" w:color="auto" w:fill="auto"/>
            <w:noWrap/>
            <w:vAlign w:val="center"/>
            <w:hideMark/>
          </w:tcPr>
          <w:p w14:paraId="2DB5C6A9" w14:textId="77777777" w:rsidR="00820C51" w:rsidRPr="00231EB1" w:rsidRDefault="00820C51"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0.18-0.28</w:t>
            </w:r>
          </w:p>
        </w:tc>
        <w:tc>
          <w:tcPr>
            <w:tcW w:w="1473" w:type="dxa"/>
            <w:tcBorders>
              <w:top w:val="nil"/>
              <w:left w:val="nil"/>
              <w:bottom w:val="nil"/>
              <w:right w:val="nil"/>
            </w:tcBorders>
            <w:shd w:val="clear" w:color="auto" w:fill="auto"/>
            <w:noWrap/>
            <w:vAlign w:val="center"/>
            <w:hideMark/>
          </w:tcPr>
          <w:p w14:paraId="31931970" w14:textId="77777777" w:rsidR="00820C51" w:rsidRPr="00231EB1" w:rsidRDefault="00820C51"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0.7 (0.4-1.1)</w:t>
            </w:r>
          </w:p>
        </w:tc>
        <w:tc>
          <w:tcPr>
            <w:tcW w:w="1275" w:type="dxa"/>
            <w:tcBorders>
              <w:top w:val="nil"/>
              <w:left w:val="nil"/>
              <w:bottom w:val="nil"/>
              <w:right w:val="nil"/>
            </w:tcBorders>
            <w:shd w:val="clear" w:color="auto" w:fill="auto"/>
            <w:noWrap/>
            <w:vAlign w:val="center"/>
            <w:hideMark/>
          </w:tcPr>
          <w:p w14:paraId="7343A192" w14:textId="77777777" w:rsidR="00820C51" w:rsidRPr="00231EB1" w:rsidRDefault="00820C51" w:rsidP="00D30385">
            <w:pPr>
              <w:spacing w:after="0"/>
              <w:jc w:val="right"/>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0.16</w:t>
            </w:r>
          </w:p>
        </w:tc>
      </w:tr>
      <w:tr w:rsidR="00820C51" w:rsidRPr="00231EB1" w14:paraId="70F9291C" w14:textId="77777777" w:rsidTr="00486373">
        <w:trPr>
          <w:trHeight w:val="288"/>
        </w:trPr>
        <w:tc>
          <w:tcPr>
            <w:tcW w:w="2343" w:type="dxa"/>
            <w:vMerge w:val="restart"/>
            <w:tcBorders>
              <w:top w:val="nil"/>
              <w:left w:val="nil"/>
              <w:right w:val="nil"/>
            </w:tcBorders>
            <w:shd w:val="clear" w:color="auto" w:fill="auto"/>
            <w:noWrap/>
            <w:hideMark/>
          </w:tcPr>
          <w:p w14:paraId="2EA01EFB" w14:textId="77777777" w:rsidR="00820C51" w:rsidRPr="00231EB1" w:rsidRDefault="00820C51" w:rsidP="00D30385">
            <w:pPr>
              <w:spacing w:after="0"/>
              <w:rPr>
                <w:rFonts w:ascii="Times New Roman" w:eastAsia="Times New Roman" w:hAnsi="Times New Roman" w:cs="Times New Roman"/>
                <w:sz w:val="20"/>
                <w:szCs w:val="20"/>
                <w:lang w:val="en-US"/>
              </w:rPr>
            </w:pPr>
          </w:p>
          <w:p w14:paraId="4FD15DB2"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 xml:space="preserve">IRSAD quintile </w:t>
            </w:r>
            <w:r w:rsidRPr="00231EB1">
              <w:rPr>
                <w:rFonts w:ascii="Times New Roman" w:eastAsia="Times New Roman" w:hAnsi="Times New Roman" w:cs="Times New Roman"/>
                <w:sz w:val="20"/>
                <w:szCs w:val="20"/>
                <w:vertAlign w:val="superscript"/>
                <w:lang w:val="en-US"/>
              </w:rPr>
              <w:t>a</w:t>
            </w:r>
          </w:p>
        </w:tc>
        <w:tc>
          <w:tcPr>
            <w:tcW w:w="2902" w:type="dxa"/>
            <w:tcBorders>
              <w:top w:val="nil"/>
              <w:left w:val="nil"/>
              <w:bottom w:val="nil"/>
              <w:right w:val="nil"/>
            </w:tcBorders>
            <w:shd w:val="clear" w:color="auto" w:fill="auto"/>
            <w:noWrap/>
            <w:vAlign w:val="center"/>
            <w:hideMark/>
          </w:tcPr>
          <w:p w14:paraId="2E045FB0"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 xml:space="preserve">Highest quintile </w:t>
            </w:r>
          </w:p>
        </w:tc>
        <w:tc>
          <w:tcPr>
            <w:tcW w:w="1276" w:type="dxa"/>
            <w:tcBorders>
              <w:top w:val="nil"/>
              <w:left w:val="nil"/>
              <w:bottom w:val="nil"/>
              <w:right w:val="nil"/>
            </w:tcBorders>
            <w:shd w:val="clear" w:color="auto" w:fill="auto"/>
            <w:noWrap/>
            <w:vAlign w:val="center"/>
            <w:hideMark/>
          </w:tcPr>
          <w:p w14:paraId="78D7BD99" w14:textId="77777777" w:rsidR="00820C51" w:rsidRPr="00231EB1" w:rsidRDefault="00820C51"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0.23</w:t>
            </w:r>
          </w:p>
        </w:tc>
        <w:tc>
          <w:tcPr>
            <w:tcW w:w="1362" w:type="dxa"/>
            <w:tcBorders>
              <w:top w:val="nil"/>
              <w:left w:val="nil"/>
              <w:bottom w:val="nil"/>
              <w:right w:val="nil"/>
            </w:tcBorders>
            <w:shd w:val="clear" w:color="auto" w:fill="auto"/>
            <w:noWrap/>
            <w:vAlign w:val="center"/>
            <w:hideMark/>
          </w:tcPr>
          <w:p w14:paraId="07918E8C" w14:textId="77777777" w:rsidR="00820C51" w:rsidRPr="00231EB1" w:rsidRDefault="00820C51"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0.19-0.29</w:t>
            </w:r>
          </w:p>
        </w:tc>
        <w:tc>
          <w:tcPr>
            <w:tcW w:w="1473" w:type="dxa"/>
            <w:tcBorders>
              <w:top w:val="nil"/>
              <w:left w:val="nil"/>
              <w:bottom w:val="nil"/>
              <w:right w:val="nil"/>
            </w:tcBorders>
            <w:shd w:val="clear" w:color="auto" w:fill="auto"/>
            <w:noWrap/>
            <w:vAlign w:val="center"/>
            <w:hideMark/>
          </w:tcPr>
          <w:p w14:paraId="76163CFD" w14:textId="77777777" w:rsidR="00820C51" w:rsidRPr="00231EB1" w:rsidRDefault="00820C51"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0.8 (0.5-1.3)</w:t>
            </w:r>
          </w:p>
        </w:tc>
        <w:tc>
          <w:tcPr>
            <w:tcW w:w="1275" w:type="dxa"/>
            <w:tcBorders>
              <w:top w:val="nil"/>
              <w:left w:val="nil"/>
              <w:bottom w:val="nil"/>
              <w:right w:val="nil"/>
            </w:tcBorders>
            <w:shd w:val="clear" w:color="auto" w:fill="auto"/>
            <w:noWrap/>
            <w:vAlign w:val="center"/>
            <w:hideMark/>
          </w:tcPr>
          <w:p w14:paraId="4E2EB596" w14:textId="77777777" w:rsidR="00820C51" w:rsidRPr="00231EB1" w:rsidRDefault="00820C51" w:rsidP="00D30385">
            <w:pPr>
              <w:spacing w:after="0"/>
              <w:jc w:val="right"/>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0.34</w:t>
            </w:r>
          </w:p>
        </w:tc>
      </w:tr>
      <w:tr w:rsidR="00820C51" w:rsidRPr="00231EB1" w14:paraId="3C6B01E4" w14:textId="77777777" w:rsidTr="00486373">
        <w:trPr>
          <w:trHeight w:val="288"/>
        </w:trPr>
        <w:tc>
          <w:tcPr>
            <w:tcW w:w="2343" w:type="dxa"/>
            <w:vMerge/>
            <w:tcBorders>
              <w:left w:val="nil"/>
              <w:right w:val="nil"/>
            </w:tcBorders>
            <w:shd w:val="clear" w:color="auto" w:fill="auto"/>
            <w:noWrap/>
            <w:vAlign w:val="center"/>
            <w:hideMark/>
          </w:tcPr>
          <w:p w14:paraId="21AB0D69" w14:textId="77777777" w:rsidR="00820C51" w:rsidRPr="00231EB1" w:rsidRDefault="00820C51" w:rsidP="00D30385">
            <w:pPr>
              <w:spacing w:after="0"/>
              <w:rPr>
                <w:rFonts w:ascii="Times New Roman" w:eastAsia="Times New Roman" w:hAnsi="Times New Roman" w:cs="Times New Roman"/>
                <w:sz w:val="20"/>
                <w:szCs w:val="20"/>
                <w:vertAlign w:val="superscript"/>
                <w:lang w:val="en-US"/>
              </w:rPr>
            </w:pPr>
          </w:p>
        </w:tc>
        <w:tc>
          <w:tcPr>
            <w:tcW w:w="2902" w:type="dxa"/>
            <w:tcBorders>
              <w:top w:val="nil"/>
              <w:left w:val="nil"/>
              <w:bottom w:val="nil"/>
              <w:right w:val="nil"/>
            </w:tcBorders>
            <w:shd w:val="clear" w:color="auto" w:fill="auto"/>
            <w:noWrap/>
            <w:vAlign w:val="center"/>
            <w:hideMark/>
          </w:tcPr>
          <w:p w14:paraId="3A2E40E6"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Lowest quintile</w:t>
            </w:r>
          </w:p>
        </w:tc>
        <w:tc>
          <w:tcPr>
            <w:tcW w:w="1276" w:type="dxa"/>
            <w:tcBorders>
              <w:top w:val="nil"/>
              <w:left w:val="nil"/>
              <w:bottom w:val="nil"/>
              <w:right w:val="nil"/>
            </w:tcBorders>
            <w:shd w:val="clear" w:color="auto" w:fill="auto"/>
            <w:noWrap/>
            <w:vAlign w:val="center"/>
            <w:hideMark/>
          </w:tcPr>
          <w:p w14:paraId="1B7C8389" w14:textId="77777777" w:rsidR="00820C51" w:rsidRPr="00231EB1" w:rsidRDefault="00820C51"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0.16</w:t>
            </w:r>
          </w:p>
        </w:tc>
        <w:tc>
          <w:tcPr>
            <w:tcW w:w="1362" w:type="dxa"/>
            <w:tcBorders>
              <w:top w:val="nil"/>
              <w:left w:val="nil"/>
              <w:bottom w:val="nil"/>
              <w:right w:val="nil"/>
            </w:tcBorders>
            <w:shd w:val="clear" w:color="auto" w:fill="auto"/>
            <w:noWrap/>
            <w:vAlign w:val="center"/>
            <w:hideMark/>
          </w:tcPr>
          <w:p w14:paraId="12CED94B" w14:textId="77777777" w:rsidR="00820C51" w:rsidRPr="00231EB1" w:rsidRDefault="00820C51"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0.12-0.20</w:t>
            </w:r>
          </w:p>
        </w:tc>
        <w:tc>
          <w:tcPr>
            <w:tcW w:w="1473" w:type="dxa"/>
            <w:tcBorders>
              <w:top w:val="nil"/>
              <w:left w:val="nil"/>
              <w:bottom w:val="nil"/>
              <w:right w:val="nil"/>
            </w:tcBorders>
            <w:shd w:val="clear" w:color="auto" w:fill="auto"/>
            <w:noWrap/>
            <w:vAlign w:val="center"/>
            <w:hideMark/>
          </w:tcPr>
          <w:p w14:paraId="2472C067" w14:textId="77777777" w:rsidR="00820C51" w:rsidRPr="00231EB1" w:rsidRDefault="00820C51"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Reference</w:t>
            </w:r>
          </w:p>
        </w:tc>
        <w:tc>
          <w:tcPr>
            <w:tcW w:w="1275" w:type="dxa"/>
            <w:tcBorders>
              <w:top w:val="nil"/>
              <w:left w:val="nil"/>
              <w:bottom w:val="nil"/>
              <w:right w:val="nil"/>
            </w:tcBorders>
            <w:shd w:val="clear" w:color="auto" w:fill="auto"/>
            <w:noWrap/>
            <w:vAlign w:val="center"/>
            <w:hideMark/>
          </w:tcPr>
          <w:p w14:paraId="614C050F" w14:textId="6EE302FA" w:rsidR="00820C51" w:rsidRPr="00231EB1" w:rsidRDefault="00820C51" w:rsidP="00D30385">
            <w:pPr>
              <w:spacing w:after="0"/>
              <w:jc w:val="right"/>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0.5</w:t>
            </w:r>
            <w:r w:rsidR="00E70E39">
              <w:rPr>
                <w:rFonts w:ascii="Times New Roman" w:eastAsia="Times New Roman" w:hAnsi="Times New Roman" w:cs="Times New Roman"/>
                <w:sz w:val="20"/>
                <w:szCs w:val="20"/>
                <w:lang w:val="en-US"/>
              </w:rPr>
              <w:t>1*</w:t>
            </w:r>
          </w:p>
        </w:tc>
      </w:tr>
      <w:tr w:rsidR="00820C51" w:rsidRPr="00231EB1" w14:paraId="284EE233" w14:textId="77777777" w:rsidTr="00486373">
        <w:trPr>
          <w:trHeight w:val="288"/>
        </w:trPr>
        <w:tc>
          <w:tcPr>
            <w:tcW w:w="2343" w:type="dxa"/>
            <w:vMerge/>
            <w:tcBorders>
              <w:left w:val="nil"/>
              <w:right w:val="nil"/>
            </w:tcBorders>
            <w:shd w:val="clear" w:color="auto" w:fill="auto"/>
            <w:noWrap/>
            <w:vAlign w:val="center"/>
            <w:hideMark/>
          </w:tcPr>
          <w:p w14:paraId="703461D0" w14:textId="77777777" w:rsidR="00820C51" w:rsidRPr="00231EB1" w:rsidRDefault="00820C51" w:rsidP="00D30385">
            <w:pPr>
              <w:spacing w:after="0"/>
              <w:jc w:val="right"/>
              <w:rPr>
                <w:rFonts w:ascii="Times New Roman" w:eastAsia="Times New Roman" w:hAnsi="Times New Roman" w:cs="Times New Roman"/>
                <w:sz w:val="20"/>
                <w:szCs w:val="20"/>
                <w:lang w:val="en-US"/>
              </w:rPr>
            </w:pPr>
          </w:p>
        </w:tc>
        <w:tc>
          <w:tcPr>
            <w:tcW w:w="2902" w:type="dxa"/>
            <w:tcBorders>
              <w:top w:val="nil"/>
              <w:left w:val="nil"/>
              <w:bottom w:val="nil"/>
              <w:right w:val="nil"/>
            </w:tcBorders>
            <w:shd w:val="clear" w:color="auto" w:fill="auto"/>
            <w:noWrap/>
            <w:vAlign w:val="center"/>
            <w:hideMark/>
          </w:tcPr>
          <w:p w14:paraId="24996E89"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Quintile 2</w:t>
            </w:r>
          </w:p>
        </w:tc>
        <w:tc>
          <w:tcPr>
            <w:tcW w:w="1276" w:type="dxa"/>
            <w:tcBorders>
              <w:top w:val="nil"/>
              <w:left w:val="nil"/>
              <w:bottom w:val="nil"/>
              <w:right w:val="nil"/>
            </w:tcBorders>
            <w:shd w:val="clear" w:color="auto" w:fill="auto"/>
            <w:noWrap/>
            <w:vAlign w:val="center"/>
            <w:hideMark/>
          </w:tcPr>
          <w:p w14:paraId="2D324EEB" w14:textId="77777777" w:rsidR="00820C51" w:rsidRPr="00231EB1" w:rsidRDefault="00820C51"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0.18</w:t>
            </w:r>
          </w:p>
        </w:tc>
        <w:tc>
          <w:tcPr>
            <w:tcW w:w="1362" w:type="dxa"/>
            <w:tcBorders>
              <w:top w:val="nil"/>
              <w:left w:val="nil"/>
              <w:bottom w:val="nil"/>
              <w:right w:val="nil"/>
            </w:tcBorders>
            <w:shd w:val="clear" w:color="auto" w:fill="auto"/>
            <w:noWrap/>
            <w:vAlign w:val="center"/>
            <w:hideMark/>
          </w:tcPr>
          <w:p w14:paraId="7E0A5C58" w14:textId="77777777" w:rsidR="00820C51" w:rsidRPr="00231EB1" w:rsidRDefault="00820C51"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0.15-0.23</w:t>
            </w:r>
          </w:p>
        </w:tc>
        <w:tc>
          <w:tcPr>
            <w:tcW w:w="1473" w:type="dxa"/>
            <w:tcBorders>
              <w:top w:val="nil"/>
              <w:left w:val="nil"/>
              <w:bottom w:val="nil"/>
              <w:right w:val="nil"/>
            </w:tcBorders>
            <w:shd w:val="clear" w:color="auto" w:fill="auto"/>
            <w:noWrap/>
            <w:vAlign w:val="center"/>
            <w:hideMark/>
          </w:tcPr>
          <w:p w14:paraId="6E85870A" w14:textId="77777777" w:rsidR="00820C51" w:rsidRPr="00231EB1" w:rsidRDefault="00820C51"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0.7 (0.4-1.2)</w:t>
            </w:r>
          </w:p>
        </w:tc>
        <w:tc>
          <w:tcPr>
            <w:tcW w:w="1275" w:type="dxa"/>
            <w:tcBorders>
              <w:top w:val="nil"/>
              <w:left w:val="nil"/>
              <w:bottom w:val="nil"/>
              <w:right w:val="nil"/>
            </w:tcBorders>
            <w:shd w:val="clear" w:color="auto" w:fill="auto"/>
            <w:noWrap/>
            <w:vAlign w:val="center"/>
            <w:hideMark/>
          </w:tcPr>
          <w:p w14:paraId="139A7A34" w14:textId="77777777" w:rsidR="00820C51" w:rsidRPr="00231EB1" w:rsidRDefault="00820C51" w:rsidP="00D30385">
            <w:pPr>
              <w:spacing w:after="0"/>
              <w:jc w:val="right"/>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0.25</w:t>
            </w:r>
          </w:p>
        </w:tc>
      </w:tr>
      <w:tr w:rsidR="00820C51" w:rsidRPr="00231EB1" w14:paraId="0A39F222" w14:textId="77777777" w:rsidTr="00486373">
        <w:trPr>
          <w:trHeight w:val="288"/>
        </w:trPr>
        <w:tc>
          <w:tcPr>
            <w:tcW w:w="2343" w:type="dxa"/>
            <w:vMerge/>
            <w:tcBorders>
              <w:left w:val="nil"/>
              <w:right w:val="nil"/>
            </w:tcBorders>
            <w:shd w:val="clear" w:color="auto" w:fill="auto"/>
            <w:noWrap/>
            <w:vAlign w:val="center"/>
            <w:hideMark/>
          </w:tcPr>
          <w:p w14:paraId="7548990A" w14:textId="77777777" w:rsidR="00820C51" w:rsidRPr="00231EB1" w:rsidRDefault="00820C51" w:rsidP="00D30385">
            <w:pPr>
              <w:spacing w:after="0"/>
              <w:rPr>
                <w:rFonts w:ascii="Times New Roman" w:eastAsia="Times New Roman" w:hAnsi="Times New Roman" w:cs="Times New Roman"/>
                <w:sz w:val="20"/>
                <w:szCs w:val="20"/>
                <w:lang w:val="en-US"/>
              </w:rPr>
            </w:pPr>
          </w:p>
        </w:tc>
        <w:tc>
          <w:tcPr>
            <w:tcW w:w="2902" w:type="dxa"/>
            <w:tcBorders>
              <w:top w:val="nil"/>
              <w:left w:val="nil"/>
              <w:bottom w:val="nil"/>
              <w:right w:val="nil"/>
            </w:tcBorders>
            <w:shd w:val="clear" w:color="auto" w:fill="auto"/>
            <w:noWrap/>
            <w:vAlign w:val="center"/>
            <w:hideMark/>
          </w:tcPr>
          <w:p w14:paraId="7D23FEA7"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Quintile 3</w:t>
            </w:r>
          </w:p>
        </w:tc>
        <w:tc>
          <w:tcPr>
            <w:tcW w:w="1276" w:type="dxa"/>
            <w:tcBorders>
              <w:top w:val="nil"/>
              <w:left w:val="nil"/>
              <w:bottom w:val="nil"/>
              <w:right w:val="nil"/>
            </w:tcBorders>
            <w:shd w:val="clear" w:color="auto" w:fill="auto"/>
            <w:noWrap/>
            <w:vAlign w:val="center"/>
            <w:hideMark/>
          </w:tcPr>
          <w:p w14:paraId="68ED4DC4" w14:textId="77777777" w:rsidR="00820C51" w:rsidRPr="00231EB1" w:rsidRDefault="00820C51"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0.21</w:t>
            </w:r>
          </w:p>
        </w:tc>
        <w:tc>
          <w:tcPr>
            <w:tcW w:w="1362" w:type="dxa"/>
            <w:tcBorders>
              <w:top w:val="nil"/>
              <w:left w:val="nil"/>
              <w:bottom w:val="nil"/>
              <w:right w:val="nil"/>
            </w:tcBorders>
            <w:shd w:val="clear" w:color="auto" w:fill="auto"/>
            <w:noWrap/>
            <w:vAlign w:val="center"/>
            <w:hideMark/>
          </w:tcPr>
          <w:p w14:paraId="72CD5734" w14:textId="77777777" w:rsidR="00820C51" w:rsidRPr="00231EB1" w:rsidRDefault="00820C51"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0.17-0.26</w:t>
            </w:r>
          </w:p>
        </w:tc>
        <w:tc>
          <w:tcPr>
            <w:tcW w:w="1473" w:type="dxa"/>
            <w:tcBorders>
              <w:top w:val="nil"/>
              <w:left w:val="nil"/>
              <w:bottom w:val="nil"/>
              <w:right w:val="nil"/>
            </w:tcBorders>
            <w:shd w:val="clear" w:color="auto" w:fill="auto"/>
            <w:noWrap/>
            <w:vAlign w:val="center"/>
            <w:hideMark/>
          </w:tcPr>
          <w:p w14:paraId="4A976186" w14:textId="77777777" w:rsidR="00820C51" w:rsidRPr="00231EB1" w:rsidRDefault="00820C51"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0.7 (0.4-1.1)</w:t>
            </w:r>
          </w:p>
        </w:tc>
        <w:tc>
          <w:tcPr>
            <w:tcW w:w="1275" w:type="dxa"/>
            <w:tcBorders>
              <w:top w:val="nil"/>
              <w:left w:val="nil"/>
              <w:bottom w:val="nil"/>
              <w:right w:val="nil"/>
            </w:tcBorders>
            <w:shd w:val="clear" w:color="auto" w:fill="auto"/>
            <w:noWrap/>
            <w:vAlign w:val="center"/>
            <w:hideMark/>
          </w:tcPr>
          <w:p w14:paraId="2C85206E" w14:textId="77777777" w:rsidR="00820C51" w:rsidRPr="00231EB1" w:rsidRDefault="00820C51" w:rsidP="00D30385">
            <w:pPr>
              <w:spacing w:after="0"/>
              <w:jc w:val="right"/>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0.15</w:t>
            </w:r>
          </w:p>
        </w:tc>
      </w:tr>
      <w:tr w:rsidR="00820C51" w:rsidRPr="00231EB1" w14:paraId="7457D131" w14:textId="77777777" w:rsidTr="00486373">
        <w:trPr>
          <w:trHeight w:val="288"/>
        </w:trPr>
        <w:tc>
          <w:tcPr>
            <w:tcW w:w="2343" w:type="dxa"/>
            <w:vMerge/>
            <w:tcBorders>
              <w:left w:val="nil"/>
              <w:bottom w:val="nil"/>
              <w:right w:val="nil"/>
            </w:tcBorders>
            <w:shd w:val="clear" w:color="auto" w:fill="auto"/>
            <w:noWrap/>
            <w:vAlign w:val="center"/>
            <w:hideMark/>
          </w:tcPr>
          <w:p w14:paraId="6C0AB17B" w14:textId="77777777" w:rsidR="00820C51" w:rsidRPr="00231EB1" w:rsidRDefault="00820C51" w:rsidP="00D30385">
            <w:pPr>
              <w:spacing w:after="0"/>
              <w:rPr>
                <w:rFonts w:ascii="Times New Roman" w:eastAsia="Times New Roman" w:hAnsi="Times New Roman" w:cs="Times New Roman"/>
                <w:sz w:val="20"/>
                <w:szCs w:val="20"/>
                <w:lang w:val="en-US"/>
              </w:rPr>
            </w:pPr>
          </w:p>
        </w:tc>
        <w:tc>
          <w:tcPr>
            <w:tcW w:w="2902" w:type="dxa"/>
            <w:tcBorders>
              <w:top w:val="nil"/>
              <w:left w:val="nil"/>
              <w:bottom w:val="nil"/>
              <w:right w:val="nil"/>
            </w:tcBorders>
            <w:shd w:val="clear" w:color="auto" w:fill="auto"/>
            <w:noWrap/>
            <w:vAlign w:val="center"/>
            <w:hideMark/>
          </w:tcPr>
          <w:p w14:paraId="71479F30"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Quintile 4</w:t>
            </w:r>
          </w:p>
        </w:tc>
        <w:tc>
          <w:tcPr>
            <w:tcW w:w="1276" w:type="dxa"/>
            <w:tcBorders>
              <w:top w:val="nil"/>
              <w:left w:val="nil"/>
              <w:bottom w:val="nil"/>
              <w:right w:val="nil"/>
            </w:tcBorders>
            <w:shd w:val="clear" w:color="auto" w:fill="auto"/>
            <w:noWrap/>
            <w:vAlign w:val="center"/>
            <w:hideMark/>
          </w:tcPr>
          <w:p w14:paraId="63B2D6AB" w14:textId="77777777" w:rsidR="00820C51" w:rsidRPr="00231EB1" w:rsidRDefault="00820C51"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0.22</w:t>
            </w:r>
          </w:p>
        </w:tc>
        <w:tc>
          <w:tcPr>
            <w:tcW w:w="1362" w:type="dxa"/>
            <w:tcBorders>
              <w:top w:val="nil"/>
              <w:left w:val="nil"/>
              <w:bottom w:val="nil"/>
              <w:right w:val="nil"/>
            </w:tcBorders>
            <w:shd w:val="clear" w:color="auto" w:fill="auto"/>
            <w:noWrap/>
            <w:vAlign w:val="center"/>
            <w:hideMark/>
          </w:tcPr>
          <w:p w14:paraId="5EE23D0E" w14:textId="77777777" w:rsidR="00820C51" w:rsidRPr="00231EB1" w:rsidRDefault="00820C51"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0.17-0.27</w:t>
            </w:r>
          </w:p>
        </w:tc>
        <w:tc>
          <w:tcPr>
            <w:tcW w:w="1473" w:type="dxa"/>
            <w:tcBorders>
              <w:top w:val="nil"/>
              <w:left w:val="nil"/>
              <w:bottom w:val="nil"/>
              <w:right w:val="nil"/>
            </w:tcBorders>
            <w:shd w:val="clear" w:color="auto" w:fill="auto"/>
            <w:noWrap/>
            <w:vAlign w:val="center"/>
            <w:hideMark/>
          </w:tcPr>
          <w:p w14:paraId="284D213F" w14:textId="77777777" w:rsidR="00820C51" w:rsidRPr="00231EB1" w:rsidRDefault="00820C51"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0.7 (0.4-1.1)</w:t>
            </w:r>
          </w:p>
        </w:tc>
        <w:tc>
          <w:tcPr>
            <w:tcW w:w="1275" w:type="dxa"/>
            <w:tcBorders>
              <w:top w:val="nil"/>
              <w:left w:val="nil"/>
              <w:bottom w:val="nil"/>
              <w:right w:val="nil"/>
            </w:tcBorders>
            <w:shd w:val="clear" w:color="auto" w:fill="auto"/>
            <w:noWrap/>
            <w:vAlign w:val="center"/>
            <w:hideMark/>
          </w:tcPr>
          <w:p w14:paraId="32013B97" w14:textId="77777777" w:rsidR="00820C51" w:rsidRPr="00231EB1" w:rsidRDefault="00820C51" w:rsidP="00D30385">
            <w:pPr>
              <w:spacing w:after="0"/>
              <w:jc w:val="right"/>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0.12</w:t>
            </w:r>
          </w:p>
        </w:tc>
      </w:tr>
      <w:tr w:rsidR="00820C51" w:rsidRPr="00231EB1" w14:paraId="6FD025A2" w14:textId="77777777" w:rsidTr="00486373">
        <w:trPr>
          <w:trHeight w:val="288"/>
        </w:trPr>
        <w:tc>
          <w:tcPr>
            <w:tcW w:w="2343" w:type="dxa"/>
            <w:vMerge w:val="restart"/>
            <w:tcBorders>
              <w:top w:val="nil"/>
              <w:left w:val="nil"/>
              <w:right w:val="nil"/>
            </w:tcBorders>
            <w:shd w:val="clear" w:color="auto" w:fill="auto"/>
            <w:noWrap/>
            <w:hideMark/>
          </w:tcPr>
          <w:p w14:paraId="68012DA0" w14:textId="77777777" w:rsidR="00820C51" w:rsidRPr="00231EB1" w:rsidRDefault="00820C51" w:rsidP="00D30385">
            <w:pPr>
              <w:spacing w:after="0"/>
              <w:rPr>
                <w:rFonts w:ascii="Times New Roman" w:eastAsia="Times New Roman" w:hAnsi="Times New Roman" w:cs="Times New Roman"/>
                <w:sz w:val="20"/>
                <w:szCs w:val="20"/>
                <w:lang w:val="en-US"/>
              </w:rPr>
            </w:pPr>
          </w:p>
          <w:p w14:paraId="10403177"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 xml:space="preserve">IER quintile </w:t>
            </w:r>
            <w:r w:rsidRPr="00231EB1">
              <w:rPr>
                <w:rFonts w:ascii="Times New Roman" w:eastAsia="Times New Roman" w:hAnsi="Times New Roman" w:cs="Times New Roman"/>
                <w:sz w:val="20"/>
                <w:szCs w:val="20"/>
                <w:vertAlign w:val="superscript"/>
                <w:lang w:val="en-US"/>
              </w:rPr>
              <w:t>a</w:t>
            </w:r>
          </w:p>
        </w:tc>
        <w:tc>
          <w:tcPr>
            <w:tcW w:w="2902" w:type="dxa"/>
            <w:tcBorders>
              <w:top w:val="nil"/>
              <w:left w:val="nil"/>
              <w:bottom w:val="nil"/>
              <w:right w:val="nil"/>
            </w:tcBorders>
            <w:shd w:val="clear" w:color="auto" w:fill="auto"/>
            <w:noWrap/>
            <w:vAlign w:val="center"/>
            <w:hideMark/>
          </w:tcPr>
          <w:p w14:paraId="09B649A5"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Highest quintile</w:t>
            </w:r>
          </w:p>
        </w:tc>
        <w:tc>
          <w:tcPr>
            <w:tcW w:w="1276" w:type="dxa"/>
            <w:tcBorders>
              <w:top w:val="nil"/>
              <w:left w:val="nil"/>
              <w:bottom w:val="nil"/>
              <w:right w:val="nil"/>
            </w:tcBorders>
            <w:shd w:val="clear" w:color="auto" w:fill="auto"/>
            <w:noWrap/>
            <w:vAlign w:val="center"/>
            <w:hideMark/>
          </w:tcPr>
          <w:p w14:paraId="31340740" w14:textId="77777777" w:rsidR="00820C51" w:rsidRPr="00231EB1" w:rsidRDefault="00820C51"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0.23</w:t>
            </w:r>
          </w:p>
        </w:tc>
        <w:tc>
          <w:tcPr>
            <w:tcW w:w="1362" w:type="dxa"/>
            <w:tcBorders>
              <w:top w:val="nil"/>
              <w:left w:val="nil"/>
              <w:bottom w:val="nil"/>
              <w:right w:val="nil"/>
            </w:tcBorders>
            <w:shd w:val="clear" w:color="auto" w:fill="auto"/>
            <w:noWrap/>
            <w:vAlign w:val="center"/>
            <w:hideMark/>
          </w:tcPr>
          <w:p w14:paraId="3406E097" w14:textId="77777777" w:rsidR="00820C51" w:rsidRPr="00231EB1" w:rsidRDefault="00820C51"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0.18-0.28</w:t>
            </w:r>
          </w:p>
        </w:tc>
        <w:tc>
          <w:tcPr>
            <w:tcW w:w="1473" w:type="dxa"/>
            <w:tcBorders>
              <w:top w:val="nil"/>
              <w:left w:val="nil"/>
              <w:bottom w:val="nil"/>
              <w:right w:val="nil"/>
            </w:tcBorders>
            <w:shd w:val="clear" w:color="auto" w:fill="auto"/>
            <w:noWrap/>
            <w:vAlign w:val="center"/>
            <w:hideMark/>
          </w:tcPr>
          <w:p w14:paraId="06E2DF7E" w14:textId="77777777" w:rsidR="00820C51" w:rsidRPr="00231EB1" w:rsidRDefault="00820C51"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0.8 (0.5-1.3)</w:t>
            </w:r>
          </w:p>
        </w:tc>
        <w:tc>
          <w:tcPr>
            <w:tcW w:w="1275" w:type="dxa"/>
            <w:tcBorders>
              <w:top w:val="nil"/>
              <w:left w:val="nil"/>
              <w:bottom w:val="nil"/>
              <w:right w:val="nil"/>
            </w:tcBorders>
            <w:shd w:val="clear" w:color="auto" w:fill="auto"/>
            <w:noWrap/>
            <w:vAlign w:val="center"/>
            <w:hideMark/>
          </w:tcPr>
          <w:p w14:paraId="48A4A80F" w14:textId="77777777" w:rsidR="00820C51" w:rsidRPr="00231EB1" w:rsidRDefault="00820C51" w:rsidP="00D30385">
            <w:pPr>
              <w:spacing w:after="0"/>
              <w:jc w:val="right"/>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0.38</w:t>
            </w:r>
          </w:p>
        </w:tc>
      </w:tr>
      <w:tr w:rsidR="00820C51" w:rsidRPr="00231EB1" w14:paraId="40D5EC04" w14:textId="77777777" w:rsidTr="00486373">
        <w:trPr>
          <w:trHeight w:val="288"/>
        </w:trPr>
        <w:tc>
          <w:tcPr>
            <w:tcW w:w="2343" w:type="dxa"/>
            <w:vMerge/>
            <w:tcBorders>
              <w:left w:val="nil"/>
              <w:right w:val="nil"/>
            </w:tcBorders>
            <w:shd w:val="clear" w:color="auto" w:fill="auto"/>
            <w:noWrap/>
            <w:vAlign w:val="center"/>
            <w:hideMark/>
          </w:tcPr>
          <w:p w14:paraId="1F409E0E" w14:textId="77777777" w:rsidR="00820C51" w:rsidRPr="00231EB1" w:rsidRDefault="00820C51" w:rsidP="00D30385">
            <w:pPr>
              <w:spacing w:after="0"/>
              <w:rPr>
                <w:rFonts w:ascii="Times New Roman" w:eastAsia="Times New Roman" w:hAnsi="Times New Roman" w:cs="Times New Roman"/>
                <w:sz w:val="20"/>
                <w:szCs w:val="20"/>
                <w:vertAlign w:val="superscript"/>
                <w:lang w:val="en-US"/>
              </w:rPr>
            </w:pPr>
          </w:p>
        </w:tc>
        <w:tc>
          <w:tcPr>
            <w:tcW w:w="2902" w:type="dxa"/>
            <w:tcBorders>
              <w:top w:val="nil"/>
              <w:left w:val="nil"/>
              <w:bottom w:val="nil"/>
              <w:right w:val="nil"/>
            </w:tcBorders>
            <w:shd w:val="clear" w:color="auto" w:fill="auto"/>
            <w:noWrap/>
            <w:vAlign w:val="center"/>
            <w:hideMark/>
          </w:tcPr>
          <w:p w14:paraId="0CFC4FA3"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Lowest quintile</w:t>
            </w:r>
          </w:p>
        </w:tc>
        <w:tc>
          <w:tcPr>
            <w:tcW w:w="1276" w:type="dxa"/>
            <w:tcBorders>
              <w:top w:val="nil"/>
              <w:left w:val="nil"/>
              <w:bottom w:val="nil"/>
              <w:right w:val="nil"/>
            </w:tcBorders>
            <w:shd w:val="clear" w:color="auto" w:fill="auto"/>
            <w:noWrap/>
            <w:vAlign w:val="center"/>
            <w:hideMark/>
          </w:tcPr>
          <w:p w14:paraId="4687DDCE" w14:textId="77777777" w:rsidR="00820C51" w:rsidRPr="00231EB1" w:rsidRDefault="00820C51"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0.13</w:t>
            </w:r>
          </w:p>
        </w:tc>
        <w:tc>
          <w:tcPr>
            <w:tcW w:w="1362" w:type="dxa"/>
            <w:tcBorders>
              <w:top w:val="nil"/>
              <w:left w:val="nil"/>
              <w:bottom w:val="nil"/>
              <w:right w:val="nil"/>
            </w:tcBorders>
            <w:shd w:val="clear" w:color="auto" w:fill="auto"/>
            <w:noWrap/>
            <w:vAlign w:val="center"/>
            <w:hideMark/>
          </w:tcPr>
          <w:p w14:paraId="65550D83" w14:textId="77777777" w:rsidR="00820C51" w:rsidRPr="00231EB1" w:rsidRDefault="00820C51"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0.10-0.16</w:t>
            </w:r>
          </w:p>
        </w:tc>
        <w:tc>
          <w:tcPr>
            <w:tcW w:w="1473" w:type="dxa"/>
            <w:tcBorders>
              <w:top w:val="nil"/>
              <w:left w:val="nil"/>
              <w:bottom w:val="nil"/>
              <w:right w:val="nil"/>
            </w:tcBorders>
            <w:shd w:val="clear" w:color="auto" w:fill="auto"/>
            <w:noWrap/>
            <w:vAlign w:val="center"/>
            <w:hideMark/>
          </w:tcPr>
          <w:p w14:paraId="0AF44717" w14:textId="77777777" w:rsidR="00820C51" w:rsidRPr="00231EB1" w:rsidRDefault="00820C51"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Reference</w:t>
            </w:r>
          </w:p>
        </w:tc>
        <w:tc>
          <w:tcPr>
            <w:tcW w:w="1275" w:type="dxa"/>
            <w:tcBorders>
              <w:top w:val="nil"/>
              <w:left w:val="nil"/>
              <w:bottom w:val="nil"/>
              <w:right w:val="nil"/>
            </w:tcBorders>
            <w:shd w:val="clear" w:color="auto" w:fill="auto"/>
            <w:noWrap/>
            <w:vAlign w:val="center"/>
            <w:hideMark/>
          </w:tcPr>
          <w:p w14:paraId="5857F16E" w14:textId="3C8186C1" w:rsidR="00820C51" w:rsidRPr="00231EB1" w:rsidRDefault="00820C51" w:rsidP="00D30385">
            <w:pPr>
              <w:spacing w:after="0"/>
              <w:jc w:val="right"/>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w:t>
            </w:r>
            <w:r w:rsidR="00E70E39">
              <w:rPr>
                <w:rFonts w:ascii="Times New Roman" w:eastAsia="Times New Roman" w:hAnsi="Times New Roman" w:cs="Times New Roman"/>
                <w:sz w:val="20"/>
                <w:szCs w:val="20"/>
                <w:lang w:val="en-US"/>
              </w:rPr>
              <w:t>9*</w:t>
            </w:r>
          </w:p>
        </w:tc>
      </w:tr>
      <w:tr w:rsidR="00820C51" w:rsidRPr="00231EB1" w14:paraId="788120C3" w14:textId="77777777" w:rsidTr="00486373">
        <w:trPr>
          <w:trHeight w:val="288"/>
        </w:trPr>
        <w:tc>
          <w:tcPr>
            <w:tcW w:w="2343" w:type="dxa"/>
            <w:vMerge/>
            <w:tcBorders>
              <w:left w:val="nil"/>
              <w:right w:val="nil"/>
            </w:tcBorders>
            <w:shd w:val="clear" w:color="auto" w:fill="auto"/>
            <w:noWrap/>
            <w:vAlign w:val="center"/>
            <w:hideMark/>
          </w:tcPr>
          <w:p w14:paraId="69CC343C" w14:textId="77777777" w:rsidR="00820C51" w:rsidRPr="00231EB1" w:rsidRDefault="00820C51" w:rsidP="00D30385">
            <w:pPr>
              <w:spacing w:after="0"/>
              <w:jc w:val="right"/>
              <w:rPr>
                <w:rFonts w:ascii="Times New Roman" w:eastAsia="Times New Roman" w:hAnsi="Times New Roman" w:cs="Times New Roman"/>
                <w:sz w:val="20"/>
                <w:szCs w:val="20"/>
                <w:lang w:val="en-US"/>
              </w:rPr>
            </w:pPr>
          </w:p>
        </w:tc>
        <w:tc>
          <w:tcPr>
            <w:tcW w:w="2902" w:type="dxa"/>
            <w:tcBorders>
              <w:top w:val="nil"/>
              <w:left w:val="nil"/>
              <w:bottom w:val="nil"/>
              <w:right w:val="nil"/>
            </w:tcBorders>
            <w:shd w:val="clear" w:color="auto" w:fill="auto"/>
            <w:noWrap/>
            <w:vAlign w:val="center"/>
            <w:hideMark/>
          </w:tcPr>
          <w:p w14:paraId="59FCD962"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Quintile 2</w:t>
            </w:r>
          </w:p>
        </w:tc>
        <w:tc>
          <w:tcPr>
            <w:tcW w:w="1276" w:type="dxa"/>
            <w:tcBorders>
              <w:top w:val="nil"/>
              <w:left w:val="nil"/>
              <w:bottom w:val="nil"/>
              <w:right w:val="nil"/>
            </w:tcBorders>
            <w:shd w:val="clear" w:color="auto" w:fill="auto"/>
            <w:noWrap/>
            <w:vAlign w:val="center"/>
            <w:hideMark/>
          </w:tcPr>
          <w:p w14:paraId="542C5A8B" w14:textId="77777777" w:rsidR="00820C51" w:rsidRPr="00231EB1" w:rsidRDefault="00820C51"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0.15</w:t>
            </w:r>
          </w:p>
        </w:tc>
        <w:tc>
          <w:tcPr>
            <w:tcW w:w="1362" w:type="dxa"/>
            <w:tcBorders>
              <w:top w:val="nil"/>
              <w:left w:val="nil"/>
              <w:bottom w:val="nil"/>
              <w:right w:val="nil"/>
            </w:tcBorders>
            <w:shd w:val="clear" w:color="auto" w:fill="auto"/>
            <w:noWrap/>
            <w:vAlign w:val="center"/>
            <w:hideMark/>
          </w:tcPr>
          <w:p w14:paraId="449A6D73" w14:textId="77777777" w:rsidR="00820C51" w:rsidRPr="00231EB1" w:rsidRDefault="00820C51"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0.12-0.19</w:t>
            </w:r>
          </w:p>
        </w:tc>
        <w:tc>
          <w:tcPr>
            <w:tcW w:w="1473" w:type="dxa"/>
            <w:tcBorders>
              <w:top w:val="nil"/>
              <w:left w:val="nil"/>
              <w:bottom w:val="nil"/>
              <w:right w:val="nil"/>
            </w:tcBorders>
            <w:shd w:val="clear" w:color="auto" w:fill="auto"/>
            <w:noWrap/>
            <w:vAlign w:val="center"/>
            <w:hideMark/>
          </w:tcPr>
          <w:p w14:paraId="73659E47" w14:textId="77777777" w:rsidR="00820C51" w:rsidRPr="00231EB1" w:rsidRDefault="00820C51"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0.9 (0.5-1.6)</w:t>
            </w:r>
          </w:p>
        </w:tc>
        <w:tc>
          <w:tcPr>
            <w:tcW w:w="1275" w:type="dxa"/>
            <w:tcBorders>
              <w:top w:val="nil"/>
              <w:left w:val="nil"/>
              <w:bottom w:val="nil"/>
              <w:right w:val="nil"/>
            </w:tcBorders>
            <w:shd w:val="clear" w:color="auto" w:fill="auto"/>
            <w:noWrap/>
            <w:vAlign w:val="center"/>
            <w:hideMark/>
          </w:tcPr>
          <w:p w14:paraId="1C761144" w14:textId="77777777" w:rsidR="00820C51" w:rsidRPr="00231EB1" w:rsidRDefault="00820C51" w:rsidP="00D30385">
            <w:pPr>
              <w:spacing w:after="0"/>
              <w:jc w:val="right"/>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0.78</w:t>
            </w:r>
          </w:p>
        </w:tc>
      </w:tr>
      <w:tr w:rsidR="00820C51" w:rsidRPr="00231EB1" w14:paraId="135CCE00" w14:textId="77777777" w:rsidTr="00486373">
        <w:trPr>
          <w:trHeight w:val="288"/>
        </w:trPr>
        <w:tc>
          <w:tcPr>
            <w:tcW w:w="2343" w:type="dxa"/>
            <w:vMerge/>
            <w:tcBorders>
              <w:left w:val="nil"/>
              <w:right w:val="nil"/>
            </w:tcBorders>
            <w:shd w:val="clear" w:color="auto" w:fill="auto"/>
            <w:noWrap/>
            <w:vAlign w:val="center"/>
            <w:hideMark/>
          </w:tcPr>
          <w:p w14:paraId="0CD2C87D" w14:textId="77777777" w:rsidR="00820C51" w:rsidRPr="00231EB1" w:rsidRDefault="00820C51" w:rsidP="00D30385">
            <w:pPr>
              <w:spacing w:after="0"/>
              <w:rPr>
                <w:rFonts w:ascii="Times New Roman" w:eastAsia="Times New Roman" w:hAnsi="Times New Roman" w:cs="Times New Roman"/>
                <w:sz w:val="20"/>
                <w:szCs w:val="20"/>
                <w:lang w:val="en-US"/>
              </w:rPr>
            </w:pPr>
          </w:p>
        </w:tc>
        <w:tc>
          <w:tcPr>
            <w:tcW w:w="2902" w:type="dxa"/>
            <w:tcBorders>
              <w:top w:val="nil"/>
              <w:left w:val="nil"/>
              <w:bottom w:val="nil"/>
              <w:right w:val="nil"/>
            </w:tcBorders>
            <w:shd w:val="clear" w:color="auto" w:fill="auto"/>
            <w:noWrap/>
            <w:vAlign w:val="center"/>
            <w:hideMark/>
          </w:tcPr>
          <w:p w14:paraId="0D620967"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Quintile 3</w:t>
            </w:r>
          </w:p>
        </w:tc>
        <w:tc>
          <w:tcPr>
            <w:tcW w:w="1276" w:type="dxa"/>
            <w:tcBorders>
              <w:top w:val="nil"/>
              <w:left w:val="nil"/>
              <w:bottom w:val="nil"/>
              <w:right w:val="nil"/>
            </w:tcBorders>
            <w:shd w:val="clear" w:color="auto" w:fill="auto"/>
            <w:noWrap/>
            <w:vAlign w:val="center"/>
            <w:hideMark/>
          </w:tcPr>
          <w:p w14:paraId="050F6B6B" w14:textId="77777777" w:rsidR="00820C51" w:rsidRPr="00231EB1" w:rsidRDefault="00820C51"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0.17</w:t>
            </w:r>
          </w:p>
        </w:tc>
        <w:tc>
          <w:tcPr>
            <w:tcW w:w="1362" w:type="dxa"/>
            <w:tcBorders>
              <w:top w:val="nil"/>
              <w:left w:val="nil"/>
              <w:bottom w:val="nil"/>
              <w:right w:val="nil"/>
            </w:tcBorders>
            <w:shd w:val="clear" w:color="auto" w:fill="auto"/>
            <w:noWrap/>
            <w:vAlign w:val="center"/>
            <w:hideMark/>
          </w:tcPr>
          <w:p w14:paraId="3B98A7C9" w14:textId="77777777" w:rsidR="00820C51" w:rsidRPr="00231EB1" w:rsidRDefault="00820C51"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0.14-0.21</w:t>
            </w:r>
          </w:p>
        </w:tc>
        <w:tc>
          <w:tcPr>
            <w:tcW w:w="1473" w:type="dxa"/>
            <w:tcBorders>
              <w:top w:val="nil"/>
              <w:left w:val="nil"/>
              <w:bottom w:val="nil"/>
              <w:right w:val="nil"/>
            </w:tcBorders>
            <w:shd w:val="clear" w:color="auto" w:fill="auto"/>
            <w:noWrap/>
            <w:vAlign w:val="center"/>
            <w:hideMark/>
          </w:tcPr>
          <w:p w14:paraId="6A69A189" w14:textId="77777777" w:rsidR="00820C51" w:rsidRPr="00231EB1" w:rsidRDefault="00820C51"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0.6 (0.3-1.1)</w:t>
            </w:r>
          </w:p>
        </w:tc>
        <w:tc>
          <w:tcPr>
            <w:tcW w:w="1275" w:type="dxa"/>
            <w:tcBorders>
              <w:top w:val="nil"/>
              <w:left w:val="nil"/>
              <w:bottom w:val="nil"/>
              <w:right w:val="nil"/>
            </w:tcBorders>
            <w:shd w:val="clear" w:color="auto" w:fill="auto"/>
            <w:noWrap/>
            <w:vAlign w:val="center"/>
            <w:hideMark/>
          </w:tcPr>
          <w:p w14:paraId="7166E49A" w14:textId="77777777" w:rsidR="00820C51" w:rsidRPr="00231EB1" w:rsidRDefault="00820C51" w:rsidP="00D30385">
            <w:pPr>
              <w:spacing w:after="0"/>
              <w:jc w:val="right"/>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0.08</w:t>
            </w:r>
          </w:p>
        </w:tc>
      </w:tr>
      <w:tr w:rsidR="00820C51" w:rsidRPr="00231EB1" w14:paraId="6700948A" w14:textId="77777777" w:rsidTr="00486373">
        <w:trPr>
          <w:trHeight w:val="288"/>
        </w:trPr>
        <w:tc>
          <w:tcPr>
            <w:tcW w:w="2343" w:type="dxa"/>
            <w:vMerge/>
            <w:tcBorders>
              <w:left w:val="nil"/>
              <w:bottom w:val="nil"/>
              <w:right w:val="nil"/>
            </w:tcBorders>
            <w:shd w:val="clear" w:color="auto" w:fill="auto"/>
            <w:noWrap/>
            <w:vAlign w:val="center"/>
            <w:hideMark/>
          </w:tcPr>
          <w:p w14:paraId="6A5798C2" w14:textId="77777777" w:rsidR="00820C51" w:rsidRPr="00231EB1" w:rsidRDefault="00820C51" w:rsidP="00D30385">
            <w:pPr>
              <w:spacing w:after="0"/>
              <w:rPr>
                <w:rFonts w:ascii="Times New Roman" w:eastAsia="Times New Roman" w:hAnsi="Times New Roman" w:cs="Times New Roman"/>
                <w:sz w:val="20"/>
                <w:szCs w:val="20"/>
                <w:lang w:val="en-US"/>
              </w:rPr>
            </w:pPr>
          </w:p>
        </w:tc>
        <w:tc>
          <w:tcPr>
            <w:tcW w:w="2902" w:type="dxa"/>
            <w:tcBorders>
              <w:top w:val="nil"/>
              <w:left w:val="nil"/>
              <w:bottom w:val="nil"/>
              <w:right w:val="nil"/>
            </w:tcBorders>
            <w:shd w:val="clear" w:color="auto" w:fill="auto"/>
            <w:noWrap/>
            <w:vAlign w:val="center"/>
            <w:hideMark/>
          </w:tcPr>
          <w:p w14:paraId="3D8C449C"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Quintile 4</w:t>
            </w:r>
          </w:p>
        </w:tc>
        <w:tc>
          <w:tcPr>
            <w:tcW w:w="1276" w:type="dxa"/>
            <w:tcBorders>
              <w:top w:val="nil"/>
              <w:left w:val="nil"/>
              <w:bottom w:val="nil"/>
              <w:right w:val="nil"/>
            </w:tcBorders>
            <w:shd w:val="clear" w:color="auto" w:fill="auto"/>
            <w:noWrap/>
            <w:vAlign w:val="center"/>
            <w:hideMark/>
          </w:tcPr>
          <w:p w14:paraId="4930F15C" w14:textId="77777777" w:rsidR="00820C51" w:rsidRPr="00231EB1" w:rsidRDefault="00820C51"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0.25</w:t>
            </w:r>
          </w:p>
        </w:tc>
        <w:tc>
          <w:tcPr>
            <w:tcW w:w="1362" w:type="dxa"/>
            <w:tcBorders>
              <w:top w:val="nil"/>
              <w:left w:val="nil"/>
              <w:bottom w:val="nil"/>
              <w:right w:val="nil"/>
            </w:tcBorders>
            <w:shd w:val="clear" w:color="auto" w:fill="auto"/>
            <w:noWrap/>
            <w:vAlign w:val="center"/>
            <w:hideMark/>
          </w:tcPr>
          <w:p w14:paraId="75A82458" w14:textId="77777777" w:rsidR="00820C51" w:rsidRPr="00231EB1" w:rsidRDefault="00820C51"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0.21-0.30</w:t>
            </w:r>
          </w:p>
        </w:tc>
        <w:tc>
          <w:tcPr>
            <w:tcW w:w="1473" w:type="dxa"/>
            <w:tcBorders>
              <w:top w:val="nil"/>
              <w:left w:val="nil"/>
              <w:bottom w:val="nil"/>
              <w:right w:val="nil"/>
            </w:tcBorders>
            <w:shd w:val="clear" w:color="auto" w:fill="auto"/>
            <w:noWrap/>
            <w:vAlign w:val="center"/>
            <w:hideMark/>
          </w:tcPr>
          <w:p w14:paraId="4E874093" w14:textId="77777777" w:rsidR="00820C51" w:rsidRPr="00231EB1" w:rsidRDefault="00820C51"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0.7 (0.4-1.2)</w:t>
            </w:r>
          </w:p>
        </w:tc>
        <w:tc>
          <w:tcPr>
            <w:tcW w:w="1275" w:type="dxa"/>
            <w:tcBorders>
              <w:top w:val="nil"/>
              <w:left w:val="nil"/>
              <w:bottom w:val="nil"/>
              <w:right w:val="nil"/>
            </w:tcBorders>
            <w:shd w:val="clear" w:color="auto" w:fill="auto"/>
            <w:noWrap/>
            <w:vAlign w:val="center"/>
            <w:hideMark/>
          </w:tcPr>
          <w:p w14:paraId="35C523F1" w14:textId="77777777" w:rsidR="00820C51" w:rsidRPr="00231EB1" w:rsidRDefault="00820C51" w:rsidP="00D30385">
            <w:pPr>
              <w:spacing w:after="0"/>
              <w:jc w:val="right"/>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0.21</w:t>
            </w:r>
          </w:p>
        </w:tc>
      </w:tr>
      <w:tr w:rsidR="00820C51" w:rsidRPr="00231EB1" w14:paraId="1E758AF5" w14:textId="77777777" w:rsidTr="00486373">
        <w:trPr>
          <w:trHeight w:val="288"/>
        </w:trPr>
        <w:tc>
          <w:tcPr>
            <w:tcW w:w="2343" w:type="dxa"/>
            <w:vMerge w:val="restart"/>
            <w:tcBorders>
              <w:top w:val="nil"/>
              <w:left w:val="nil"/>
              <w:right w:val="nil"/>
            </w:tcBorders>
            <w:shd w:val="clear" w:color="auto" w:fill="auto"/>
            <w:noWrap/>
            <w:hideMark/>
          </w:tcPr>
          <w:p w14:paraId="1C4F509F" w14:textId="77777777" w:rsidR="00820C51" w:rsidRPr="00231EB1" w:rsidRDefault="00820C51" w:rsidP="00D30385">
            <w:pPr>
              <w:spacing w:after="0"/>
              <w:rPr>
                <w:rFonts w:ascii="Times New Roman" w:eastAsia="Times New Roman" w:hAnsi="Times New Roman" w:cs="Times New Roman"/>
                <w:sz w:val="20"/>
                <w:szCs w:val="20"/>
                <w:lang w:val="en-US"/>
              </w:rPr>
            </w:pPr>
          </w:p>
          <w:p w14:paraId="29D4991D"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 xml:space="preserve">IEO quintile </w:t>
            </w:r>
            <w:r w:rsidRPr="00231EB1">
              <w:rPr>
                <w:rFonts w:ascii="Times New Roman" w:eastAsia="Times New Roman" w:hAnsi="Times New Roman" w:cs="Times New Roman"/>
                <w:sz w:val="20"/>
                <w:szCs w:val="20"/>
                <w:vertAlign w:val="superscript"/>
                <w:lang w:val="en-US"/>
              </w:rPr>
              <w:t>a</w:t>
            </w:r>
          </w:p>
        </w:tc>
        <w:tc>
          <w:tcPr>
            <w:tcW w:w="2902" w:type="dxa"/>
            <w:tcBorders>
              <w:top w:val="nil"/>
              <w:left w:val="nil"/>
              <w:bottom w:val="nil"/>
              <w:right w:val="nil"/>
            </w:tcBorders>
            <w:shd w:val="clear" w:color="auto" w:fill="auto"/>
            <w:noWrap/>
            <w:vAlign w:val="center"/>
            <w:hideMark/>
          </w:tcPr>
          <w:p w14:paraId="5C02AD99"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Highest quintile</w:t>
            </w:r>
          </w:p>
        </w:tc>
        <w:tc>
          <w:tcPr>
            <w:tcW w:w="1276" w:type="dxa"/>
            <w:tcBorders>
              <w:top w:val="nil"/>
              <w:left w:val="nil"/>
              <w:bottom w:val="nil"/>
              <w:right w:val="nil"/>
            </w:tcBorders>
            <w:shd w:val="clear" w:color="auto" w:fill="auto"/>
            <w:noWrap/>
            <w:vAlign w:val="center"/>
            <w:hideMark/>
          </w:tcPr>
          <w:p w14:paraId="6DCAAC08" w14:textId="77777777" w:rsidR="00820C51" w:rsidRPr="00231EB1" w:rsidRDefault="00820C51"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0.30</w:t>
            </w:r>
          </w:p>
        </w:tc>
        <w:tc>
          <w:tcPr>
            <w:tcW w:w="1362" w:type="dxa"/>
            <w:tcBorders>
              <w:top w:val="nil"/>
              <w:left w:val="nil"/>
              <w:bottom w:val="nil"/>
              <w:right w:val="nil"/>
            </w:tcBorders>
            <w:shd w:val="clear" w:color="auto" w:fill="auto"/>
            <w:noWrap/>
            <w:vAlign w:val="center"/>
            <w:hideMark/>
          </w:tcPr>
          <w:p w14:paraId="1336ACDD" w14:textId="77777777" w:rsidR="00820C51" w:rsidRPr="00231EB1" w:rsidRDefault="00820C51"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0.25-0.35</w:t>
            </w:r>
          </w:p>
        </w:tc>
        <w:tc>
          <w:tcPr>
            <w:tcW w:w="1473" w:type="dxa"/>
            <w:tcBorders>
              <w:top w:val="nil"/>
              <w:left w:val="nil"/>
              <w:bottom w:val="nil"/>
              <w:right w:val="nil"/>
            </w:tcBorders>
            <w:shd w:val="clear" w:color="auto" w:fill="auto"/>
            <w:noWrap/>
            <w:vAlign w:val="center"/>
            <w:hideMark/>
          </w:tcPr>
          <w:p w14:paraId="33925ACD" w14:textId="77777777" w:rsidR="00820C51" w:rsidRPr="00231EB1" w:rsidRDefault="00820C51"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0.9 (0.5-1.5)</w:t>
            </w:r>
          </w:p>
        </w:tc>
        <w:tc>
          <w:tcPr>
            <w:tcW w:w="1275" w:type="dxa"/>
            <w:tcBorders>
              <w:top w:val="nil"/>
              <w:left w:val="nil"/>
              <w:bottom w:val="nil"/>
              <w:right w:val="nil"/>
            </w:tcBorders>
            <w:shd w:val="clear" w:color="auto" w:fill="auto"/>
            <w:noWrap/>
            <w:vAlign w:val="center"/>
            <w:hideMark/>
          </w:tcPr>
          <w:p w14:paraId="10B22D03" w14:textId="77777777" w:rsidR="00820C51" w:rsidRPr="00231EB1" w:rsidRDefault="00820C51" w:rsidP="00D30385">
            <w:pPr>
              <w:spacing w:after="0"/>
              <w:jc w:val="right"/>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0.73</w:t>
            </w:r>
          </w:p>
        </w:tc>
      </w:tr>
      <w:tr w:rsidR="00820C51" w:rsidRPr="00231EB1" w14:paraId="2EC00F9D" w14:textId="77777777" w:rsidTr="00486373">
        <w:trPr>
          <w:trHeight w:val="288"/>
        </w:trPr>
        <w:tc>
          <w:tcPr>
            <w:tcW w:w="2343" w:type="dxa"/>
            <w:vMerge/>
            <w:tcBorders>
              <w:left w:val="nil"/>
              <w:right w:val="nil"/>
            </w:tcBorders>
            <w:shd w:val="clear" w:color="auto" w:fill="auto"/>
            <w:noWrap/>
            <w:vAlign w:val="center"/>
            <w:hideMark/>
          </w:tcPr>
          <w:p w14:paraId="1E609BB1" w14:textId="77777777" w:rsidR="00820C51" w:rsidRPr="00231EB1" w:rsidRDefault="00820C51" w:rsidP="00D30385">
            <w:pPr>
              <w:spacing w:after="0"/>
              <w:rPr>
                <w:rFonts w:ascii="Times New Roman" w:eastAsia="Times New Roman" w:hAnsi="Times New Roman" w:cs="Times New Roman"/>
                <w:sz w:val="20"/>
                <w:szCs w:val="20"/>
                <w:vertAlign w:val="superscript"/>
                <w:lang w:val="en-US"/>
              </w:rPr>
            </w:pPr>
          </w:p>
        </w:tc>
        <w:tc>
          <w:tcPr>
            <w:tcW w:w="2902" w:type="dxa"/>
            <w:tcBorders>
              <w:top w:val="nil"/>
              <w:left w:val="nil"/>
              <w:bottom w:val="nil"/>
              <w:right w:val="nil"/>
            </w:tcBorders>
            <w:shd w:val="clear" w:color="auto" w:fill="auto"/>
            <w:noWrap/>
            <w:vAlign w:val="center"/>
            <w:hideMark/>
          </w:tcPr>
          <w:p w14:paraId="7B41A219"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Lowest quintile</w:t>
            </w:r>
          </w:p>
        </w:tc>
        <w:tc>
          <w:tcPr>
            <w:tcW w:w="1276" w:type="dxa"/>
            <w:tcBorders>
              <w:top w:val="nil"/>
              <w:left w:val="nil"/>
              <w:bottom w:val="nil"/>
              <w:right w:val="nil"/>
            </w:tcBorders>
            <w:shd w:val="clear" w:color="auto" w:fill="auto"/>
            <w:noWrap/>
            <w:vAlign w:val="center"/>
            <w:hideMark/>
          </w:tcPr>
          <w:p w14:paraId="1FF4A041" w14:textId="77777777" w:rsidR="00820C51" w:rsidRPr="00231EB1" w:rsidRDefault="00820C51"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0.20</w:t>
            </w:r>
          </w:p>
        </w:tc>
        <w:tc>
          <w:tcPr>
            <w:tcW w:w="1362" w:type="dxa"/>
            <w:tcBorders>
              <w:top w:val="nil"/>
              <w:left w:val="nil"/>
              <w:bottom w:val="nil"/>
              <w:right w:val="nil"/>
            </w:tcBorders>
            <w:shd w:val="clear" w:color="auto" w:fill="auto"/>
            <w:noWrap/>
            <w:vAlign w:val="center"/>
            <w:hideMark/>
          </w:tcPr>
          <w:p w14:paraId="06B4AB2B" w14:textId="77777777" w:rsidR="00820C51" w:rsidRPr="00231EB1" w:rsidRDefault="00820C51"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0.16-0.25</w:t>
            </w:r>
          </w:p>
        </w:tc>
        <w:tc>
          <w:tcPr>
            <w:tcW w:w="1473" w:type="dxa"/>
            <w:tcBorders>
              <w:top w:val="nil"/>
              <w:left w:val="nil"/>
              <w:bottom w:val="nil"/>
              <w:right w:val="nil"/>
            </w:tcBorders>
            <w:shd w:val="clear" w:color="auto" w:fill="auto"/>
            <w:noWrap/>
            <w:vAlign w:val="center"/>
            <w:hideMark/>
          </w:tcPr>
          <w:p w14:paraId="5C174405" w14:textId="77777777" w:rsidR="00820C51" w:rsidRPr="00231EB1" w:rsidRDefault="00820C51"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Reference</w:t>
            </w:r>
          </w:p>
        </w:tc>
        <w:tc>
          <w:tcPr>
            <w:tcW w:w="1275" w:type="dxa"/>
            <w:tcBorders>
              <w:top w:val="nil"/>
              <w:left w:val="nil"/>
              <w:bottom w:val="nil"/>
              <w:right w:val="nil"/>
            </w:tcBorders>
            <w:shd w:val="clear" w:color="auto" w:fill="auto"/>
            <w:noWrap/>
            <w:vAlign w:val="center"/>
            <w:hideMark/>
          </w:tcPr>
          <w:p w14:paraId="039964E3" w14:textId="501B7EF7" w:rsidR="00820C51" w:rsidRPr="00231EB1" w:rsidRDefault="00820C51" w:rsidP="00D30385">
            <w:pPr>
              <w:spacing w:after="0"/>
              <w:jc w:val="right"/>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0.075</w:t>
            </w:r>
            <w:r w:rsidR="00E70E39">
              <w:rPr>
                <w:rFonts w:ascii="Times New Roman" w:eastAsia="Times New Roman" w:hAnsi="Times New Roman" w:cs="Times New Roman"/>
                <w:sz w:val="20"/>
                <w:szCs w:val="20"/>
                <w:lang w:val="en-US"/>
              </w:rPr>
              <w:t>*</w:t>
            </w:r>
          </w:p>
        </w:tc>
      </w:tr>
      <w:tr w:rsidR="00820C51" w:rsidRPr="00231EB1" w14:paraId="62E0A068" w14:textId="77777777" w:rsidTr="00486373">
        <w:trPr>
          <w:trHeight w:val="288"/>
        </w:trPr>
        <w:tc>
          <w:tcPr>
            <w:tcW w:w="2343" w:type="dxa"/>
            <w:vMerge/>
            <w:tcBorders>
              <w:left w:val="nil"/>
              <w:right w:val="nil"/>
            </w:tcBorders>
            <w:shd w:val="clear" w:color="auto" w:fill="auto"/>
            <w:noWrap/>
            <w:vAlign w:val="center"/>
            <w:hideMark/>
          </w:tcPr>
          <w:p w14:paraId="1923C7E3" w14:textId="77777777" w:rsidR="00820C51" w:rsidRPr="00231EB1" w:rsidRDefault="00820C51" w:rsidP="00D30385">
            <w:pPr>
              <w:spacing w:after="0"/>
              <w:jc w:val="right"/>
              <w:rPr>
                <w:rFonts w:ascii="Times New Roman" w:eastAsia="Times New Roman" w:hAnsi="Times New Roman" w:cs="Times New Roman"/>
                <w:sz w:val="20"/>
                <w:szCs w:val="20"/>
                <w:lang w:val="en-US"/>
              </w:rPr>
            </w:pPr>
          </w:p>
        </w:tc>
        <w:tc>
          <w:tcPr>
            <w:tcW w:w="2902" w:type="dxa"/>
            <w:tcBorders>
              <w:top w:val="nil"/>
              <w:left w:val="nil"/>
              <w:bottom w:val="nil"/>
              <w:right w:val="nil"/>
            </w:tcBorders>
            <w:shd w:val="clear" w:color="auto" w:fill="auto"/>
            <w:noWrap/>
            <w:vAlign w:val="center"/>
            <w:hideMark/>
          </w:tcPr>
          <w:p w14:paraId="0CB81EBE"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Quintile 2</w:t>
            </w:r>
          </w:p>
        </w:tc>
        <w:tc>
          <w:tcPr>
            <w:tcW w:w="1276" w:type="dxa"/>
            <w:tcBorders>
              <w:top w:val="nil"/>
              <w:left w:val="nil"/>
              <w:bottom w:val="nil"/>
              <w:right w:val="nil"/>
            </w:tcBorders>
            <w:shd w:val="clear" w:color="auto" w:fill="auto"/>
            <w:noWrap/>
            <w:vAlign w:val="center"/>
            <w:hideMark/>
          </w:tcPr>
          <w:p w14:paraId="0E80193F" w14:textId="77777777" w:rsidR="00820C51" w:rsidRPr="00231EB1" w:rsidRDefault="00820C51"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0.21</w:t>
            </w:r>
          </w:p>
        </w:tc>
        <w:tc>
          <w:tcPr>
            <w:tcW w:w="1362" w:type="dxa"/>
            <w:tcBorders>
              <w:top w:val="nil"/>
              <w:left w:val="nil"/>
              <w:bottom w:val="nil"/>
              <w:right w:val="nil"/>
            </w:tcBorders>
            <w:shd w:val="clear" w:color="auto" w:fill="auto"/>
            <w:noWrap/>
            <w:vAlign w:val="center"/>
            <w:hideMark/>
          </w:tcPr>
          <w:p w14:paraId="63553E88" w14:textId="77777777" w:rsidR="00820C51" w:rsidRPr="00231EB1" w:rsidRDefault="00820C51"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0.17-0.26</w:t>
            </w:r>
          </w:p>
        </w:tc>
        <w:tc>
          <w:tcPr>
            <w:tcW w:w="1473" w:type="dxa"/>
            <w:tcBorders>
              <w:top w:val="nil"/>
              <w:left w:val="nil"/>
              <w:bottom w:val="nil"/>
              <w:right w:val="nil"/>
            </w:tcBorders>
            <w:shd w:val="clear" w:color="auto" w:fill="auto"/>
            <w:noWrap/>
            <w:vAlign w:val="center"/>
            <w:hideMark/>
          </w:tcPr>
          <w:p w14:paraId="584CCD88" w14:textId="77777777" w:rsidR="00820C51" w:rsidRPr="00231EB1" w:rsidRDefault="00820C51"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0.7 (0.5-1.1)</w:t>
            </w:r>
          </w:p>
        </w:tc>
        <w:tc>
          <w:tcPr>
            <w:tcW w:w="1275" w:type="dxa"/>
            <w:tcBorders>
              <w:top w:val="nil"/>
              <w:left w:val="nil"/>
              <w:bottom w:val="nil"/>
              <w:right w:val="nil"/>
            </w:tcBorders>
            <w:shd w:val="clear" w:color="auto" w:fill="auto"/>
            <w:noWrap/>
            <w:vAlign w:val="center"/>
            <w:hideMark/>
          </w:tcPr>
          <w:p w14:paraId="1575CA5A" w14:textId="77777777" w:rsidR="00820C51" w:rsidRPr="00231EB1" w:rsidRDefault="00820C51" w:rsidP="00D30385">
            <w:pPr>
              <w:spacing w:after="0"/>
              <w:jc w:val="right"/>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0.13</w:t>
            </w:r>
          </w:p>
        </w:tc>
      </w:tr>
      <w:tr w:rsidR="00820C51" w:rsidRPr="00231EB1" w14:paraId="1B1A1668" w14:textId="77777777" w:rsidTr="00486373">
        <w:trPr>
          <w:trHeight w:val="288"/>
        </w:trPr>
        <w:tc>
          <w:tcPr>
            <w:tcW w:w="2343" w:type="dxa"/>
            <w:vMerge/>
            <w:tcBorders>
              <w:left w:val="nil"/>
              <w:right w:val="nil"/>
            </w:tcBorders>
            <w:shd w:val="clear" w:color="auto" w:fill="auto"/>
            <w:noWrap/>
            <w:vAlign w:val="center"/>
            <w:hideMark/>
          </w:tcPr>
          <w:p w14:paraId="5E769B15" w14:textId="77777777" w:rsidR="00820C51" w:rsidRPr="00231EB1" w:rsidRDefault="00820C51" w:rsidP="00D30385">
            <w:pPr>
              <w:spacing w:after="0"/>
              <w:rPr>
                <w:rFonts w:ascii="Times New Roman" w:eastAsia="Times New Roman" w:hAnsi="Times New Roman" w:cs="Times New Roman"/>
                <w:sz w:val="20"/>
                <w:szCs w:val="20"/>
                <w:lang w:val="en-US"/>
              </w:rPr>
            </w:pPr>
          </w:p>
        </w:tc>
        <w:tc>
          <w:tcPr>
            <w:tcW w:w="2902" w:type="dxa"/>
            <w:tcBorders>
              <w:top w:val="nil"/>
              <w:left w:val="nil"/>
              <w:bottom w:val="nil"/>
              <w:right w:val="nil"/>
            </w:tcBorders>
            <w:shd w:val="clear" w:color="auto" w:fill="auto"/>
            <w:noWrap/>
            <w:vAlign w:val="center"/>
            <w:hideMark/>
          </w:tcPr>
          <w:p w14:paraId="072864A7"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Quintile 3</w:t>
            </w:r>
          </w:p>
        </w:tc>
        <w:tc>
          <w:tcPr>
            <w:tcW w:w="1276" w:type="dxa"/>
            <w:tcBorders>
              <w:top w:val="nil"/>
              <w:left w:val="nil"/>
              <w:bottom w:val="nil"/>
              <w:right w:val="nil"/>
            </w:tcBorders>
            <w:shd w:val="clear" w:color="auto" w:fill="auto"/>
            <w:noWrap/>
            <w:vAlign w:val="center"/>
            <w:hideMark/>
          </w:tcPr>
          <w:p w14:paraId="33A9FCFC" w14:textId="77777777" w:rsidR="00820C51" w:rsidRPr="00231EB1" w:rsidRDefault="00820C51"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0.22</w:t>
            </w:r>
          </w:p>
        </w:tc>
        <w:tc>
          <w:tcPr>
            <w:tcW w:w="1362" w:type="dxa"/>
            <w:tcBorders>
              <w:top w:val="nil"/>
              <w:left w:val="nil"/>
              <w:bottom w:val="nil"/>
              <w:right w:val="nil"/>
            </w:tcBorders>
            <w:shd w:val="clear" w:color="auto" w:fill="auto"/>
            <w:noWrap/>
            <w:vAlign w:val="center"/>
            <w:hideMark/>
          </w:tcPr>
          <w:p w14:paraId="1B5B30BB" w14:textId="77777777" w:rsidR="00820C51" w:rsidRPr="00231EB1" w:rsidRDefault="00820C51"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0.17-0.27</w:t>
            </w:r>
          </w:p>
        </w:tc>
        <w:tc>
          <w:tcPr>
            <w:tcW w:w="1473" w:type="dxa"/>
            <w:tcBorders>
              <w:top w:val="nil"/>
              <w:left w:val="nil"/>
              <w:bottom w:val="nil"/>
              <w:right w:val="nil"/>
            </w:tcBorders>
            <w:shd w:val="clear" w:color="auto" w:fill="auto"/>
            <w:noWrap/>
            <w:vAlign w:val="center"/>
            <w:hideMark/>
          </w:tcPr>
          <w:p w14:paraId="14693FF7" w14:textId="77777777" w:rsidR="00820C51" w:rsidRPr="00231EB1" w:rsidRDefault="00820C51"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0.6 (0.4-1.0)</w:t>
            </w:r>
          </w:p>
        </w:tc>
        <w:tc>
          <w:tcPr>
            <w:tcW w:w="1275" w:type="dxa"/>
            <w:tcBorders>
              <w:top w:val="nil"/>
              <w:left w:val="nil"/>
              <w:bottom w:val="nil"/>
              <w:right w:val="nil"/>
            </w:tcBorders>
            <w:shd w:val="clear" w:color="auto" w:fill="auto"/>
            <w:noWrap/>
            <w:vAlign w:val="center"/>
            <w:hideMark/>
          </w:tcPr>
          <w:p w14:paraId="24C7ABE4" w14:textId="6D0B16C4" w:rsidR="00820C51" w:rsidRPr="00231EB1" w:rsidRDefault="00820C51" w:rsidP="00D30385">
            <w:pPr>
              <w:spacing w:after="0"/>
              <w:jc w:val="right"/>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0.0</w:t>
            </w:r>
            <w:r w:rsidR="00E70E39">
              <w:rPr>
                <w:rFonts w:ascii="Times New Roman" w:eastAsia="Times New Roman" w:hAnsi="Times New Roman" w:cs="Times New Roman"/>
                <w:sz w:val="20"/>
                <w:szCs w:val="20"/>
                <w:lang w:val="en-US"/>
              </w:rPr>
              <w:t>49</w:t>
            </w:r>
          </w:p>
        </w:tc>
      </w:tr>
      <w:tr w:rsidR="00820C51" w:rsidRPr="00231EB1" w14:paraId="534D3AD4" w14:textId="77777777" w:rsidTr="00486373">
        <w:trPr>
          <w:trHeight w:val="288"/>
        </w:trPr>
        <w:tc>
          <w:tcPr>
            <w:tcW w:w="2343" w:type="dxa"/>
            <w:vMerge/>
            <w:tcBorders>
              <w:left w:val="nil"/>
              <w:bottom w:val="nil"/>
              <w:right w:val="nil"/>
            </w:tcBorders>
            <w:shd w:val="clear" w:color="auto" w:fill="auto"/>
            <w:noWrap/>
            <w:vAlign w:val="center"/>
            <w:hideMark/>
          </w:tcPr>
          <w:p w14:paraId="52DA5FAF" w14:textId="77777777" w:rsidR="00820C51" w:rsidRPr="00231EB1" w:rsidRDefault="00820C51" w:rsidP="00D30385">
            <w:pPr>
              <w:spacing w:after="0"/>
              <w:rPr>
                <w:rFonts w:ascii="Times New Roman" w:eastAsia="Times New Roman" w:hAnsi="Times New Roman" w:cs="Times New Roman"/>
                <w:sz w:val="20"/>
                <w:szCs w:val="20"/>
                <w:lang w:val="en-US"/>
              </w:rPr>
            </w:pPr>
          </w:p>
        </w:tc>
        <w:tc>
          <w:tcPr>
            <w:tcW w:w="2902" w:type="dxa"/>
            <w:tcBorders>
              <w:top w:val="nil"/>
              <w:left w:val="nil"/>
              <w:bottom w:val="nil"/>
              <w:right w:val="nil"/>
            </w:tcBorders>
            <w:shd w:val="clear" w:color="auto" w:fill="auto"/>
            <w:noWrap/>
            <w:vAlign w:val="center"/>
            <w:hideMark/>
          </w:tcPr>
          <w:p w14:paraId="1E95967E"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Quintile 4</w:t>
            </w:r>
          </w:p>
        </w:tc>
        <w:tc>
          <w:tcPr>
            <w:tcW w:w="1276" w:type="dxa"/>
            <w:tcBorders>
              <w:top w:val="nil"/>
              <w:left w:val="nil"/>
              <w:bottom w:val="nil"/>
              <w:right w:val="nil"/>
            </w:tcBorders>
            <w:shd w:val="clear" w:color="auto" w:fill="auto"/>
            <w:noWrap/>
            <w:vAlign w:val="center"/>
            <w:hideMark/>
          </w:tcPr>
          <w:p w14:paraId="6BBB120C" w14:textId="77777777" w:rsidR="00820C51" w:rsidRPr="00231EB1" w:rsidRDefault="00820C51"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0.22</w:t>
            </w:r>
          </w:p>
        </w:tc>
        <w:tc>
          <w:tcPr>
            <w:tcW w:w="1362" w:type="dxa"/>
            <w:tcBorders>
              <w:top w:val="nil"/>
              <w:left w:val="nil"/>
              <w:bottom w:val="nil"/>
              <w:right w:val="nil"/>
            </w:tcBorders>
            <w:shd w:val="clear" w:color="auto" w:fill="auto"/>
            <w:noWrap/>
            <w:vAlign w:val="center"/>
            <w:hideMark/>
          </w:tcPr>
          <w:p w14:paraId="02B051FF" w14:textId="77777777" w:rsidR="00820C51" w:rsidRPr="00231EB1" w:rsidRDefault="00820C51"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0.18-0.27</w:t>
            </w:r>
          </w:p>
        </w:tc>
        <w:tc>
          <w:tcPr>
            <w:tcW w:w="1473" w:type="dxa"/>
            <w:tcBorders>
              <w:top w:val="nil"/>
              <w:left w:val="nil"/>
              <w:bottom w:val="nil"/>
              <w:right w:val="nil"/>
            </w:tcBorders>
            <w:shd w:val="clear" w:color="auto" w:fill="auto"/>
            <w:noWrap/>
            <w:vAlign w:val="center"/>
            <w:hideMark/>
          </w:tcPr>
          <w:p w14:paraId="41464C06" w14:textId="77777777" w:rsidR="00820C51" w:rsidRPr="00231EB1" w:rsidRDefault="00820C51"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0.6 (0.4-0.9)</w:t>
            </w:r>
          </w:p>
        </w:tc>
        <w:tc>
          <w:tcPr>
            <w:tcW w:w="1275" w:type="dxa"/>
            <w:tcBorders>
              <w:top w:val="nil"/>
              <w:left w:val="nil"/>
              <w:bottom w:val="nil"/>
              <w:right w:val="nil"/>
            </w:tcBorders>
            <w:shd w:val="clear" w:color="auto" w:fill="auto"/>
            <w:noWrap/>
            <w:vAlign w:val="center"/>
            <w:hideMark/>
          </w:tcPr>
          <w:p w14:paraId="40DF585A" w14:textId="6264CA3E" w:rsidR="00820C51" w:rsidRPr="00231EB1" w:rsidRDefault="00820C51" w:rsidP="00D30385">
            <w:pPr>
              <w:spacing w:after="0"/>
              <w:jc w:val="right"/>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0.0</w:t>
            </w:r>
            <w:r w:rsidR="00E70E39">
              <w:rPr>
                <w:rFonts w:ascii="Times New Roman" w:eastAsia="Times New Roman" w:hAnsi="Times New Roman" w:cs="Times New Roman"/>
                <w:sz w:val="20"/>
                <w:szCs w:val="20"/>
                <w:lang w:val="en-US"/>
              </w:rPr>
              <w:t>08</w:t>
            </w:r>
          </w:p>
        </w:tc>
      </w:tr>
      <w:tr w:rsidR="00820C51" w:rsidRPr="00231EB1" w14:paraId="3252F48A" w14:textId="77777777" w:rsidTr="00486373">
        <w:trPr>
          <w:trHeight w:val="288"/>
        </w:trPr>
        <w:tc>
          <w:tcPr>
            <w:tcW w:w="2343" w:type="dxa"/>
            <w:vMerge w:val="restart"/>
            <w:tcBorders>
              <w:top w:val="nil"/>
              <w:left w:val="nil"/>
              <w:right w:val="nil"/>
            </w:tcBorders>
            <w:shd w:val="clear" w:color="auto" w:fill="auto"/>
            <w:noWrap/>
            <w:hideMark/>
          </w:tcPr>
          <w:p w14:paraId="54D6B174"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 xml:space="preserve"> </w:t>
            </w:r>
          </w:p>
          <w:p w14:paraId="4B629232"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SAE prevalence - internalising</w:t>
            </w:r>
          </w:p>
          <w:p w14:paraId="1F8F66F3"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 xml:space="preserve">disorders </w:t>
            </w:r>
            <w:r w:rsidRPr="00231EB1">
              <w:rPr>
                <w:rFonts w:ascii="Times New Roman" w:eastAsia="Times New Roman" w:hAnsi="Times New Roman" w:cs="Times New Roman"/>
                <w:sz w:val="20"/>
                <w:szCs w:val="20"/>
                <w:vertAlign w:val="superscript"/>
                <w:lang w:val="en-US"/>
              </w:rPr>
              <w:t>b</w:t>
            </w:r>
            <w:r w:rsidRPr="00231EB1">
              <w:rPr>
                <w:rFonts w:ascii="Times New Roman" w:eastAsia="Times New Roman" w:hAnsi="Times New Roman" w:cs="Times New Roman"/>
                <w:sz w:val="20"/>
                <w:szCs w:val="20"/>
                <w:lang w:val="en-US"/>
              </w:rPr>
              <w:t xml:space="preserve">        </w:t>
            </w:r>
          </w:p>
        </w:tc>
        <w:tc>
          <w:tcPr>
            <w:tcW w:w="2902" w:type="dxa"/>
            <w:tcBorders>
              <w:top w:val="nil"/>
              <w:left w:val="nil"/>
              <w:bottom w:val="nil"/>
              <w:right w:val="nil"/>
            </w:tcBorders>
            <w:shd w:val="clear" w:color="auto" w:fill="auto"/>
            <w:noWrap/>
            <w:vAlign w:val="center"/>
            <w:hideMark/>
          </w:tcPr>
          <w:p w14:paraId="5B6D4980"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Highest quintile</w:t>
            </w:r>
          </w:p>
        </w:tc>
        <w:tc>
          <w:tcPr>
            <w:tcW w:w="1276" w:type="dxa"/>
            <w:tcBorders>
              <w:top w:val="nil"/>
              <w:left w:val="nil"/>
              <w:bottom w:val="nil"/>
              <w:right w:val="nil"/>
            </w:tcBorders>
            <w:shd w:val="clear" w:color="auto" w:fill="auto"/>
            <w:noWrap/>
            <w:vAlign w:val="center"/>
            <w:hideMark/>
          </w:tcPr>
          <w:p w14:paraId="0AA98972" w14:textId="77777777" w:rsidR="00820C51" w:rsidRPr="00231EB1" w:rsidRDefault="00820C51"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0.14</w:t>
            </w:r>
          </w:p>
        </w:tc>
        <w:tc>
          <w:tcPr>
            <w:tcW w:w="1362" w:type="dxa"/>
            <w:tcBorders>
              <w:top w:val="nil"/>
              <w:left w:val="nil"/>
              <w:bottom w:val="nil"/>
              <w:right w:val="nil"/>
            </w:tcBorders>
            <w:shd w:val="clear" w:color="auto" w:fill="auto"/>
            <w:noWrap/>
            <w:vAlign w:val="center"/>
            <w:hideMark/>
          </w:tcPr>
          <w:p w14:paraId="250A9B01" w14:textId="77777777" w:rsidR="00820C51" w:rsidRPr="00231EB1" w:rsidRDefault="00820C51"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0.11-0.19</w:t>
            </w:r>
          </w:p>
        </w:tc>
        <w:tc>
          <w:tcPr>
            <w:tcW w:w="1473" w:type="dxa"/>
            <w:tcBorders>
              <w:top w:val="nil"/>
              <w:left w:val="nil"/>
              <w:bottom w:val="nil"/>
              <w:right w:val="nil"/>
            </w:tcBorders>
            <w:shd w:val="clear" w:color="auto" w:fill="auto"/>
            <w:noWrap/>
            <w:vAlign w:val="center"/>
            <w:hideMark/>
          </w:tcPr>
          <w:p w14:paraId="22E93EDF" w14:textId="77777777" w:rsidR="00820C51" w:rsidRPr="00231EB1" w:rsidRDefault="00820C51"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0.6 (0.4-1.0)</w:t>
            </w:r>
          </w:p>
        </w:tc>
        <w:tc>
          <w:tcPr>
            <w:tcW w:w="1275" w:type="dxa"/>
            <w:tcBorders>
              <w:top w:val="nil"/>
              <w:left w:val="nil"/>
              <w:bottom w:val="nil"/>
              <w:right w:val="nil"/>
            </w:tcBorders>
            <w:shd w:val="clear" w:color="auto" w:fill="auto"/>
            <w:noWrap/>
            <w:vAlign w:val="center"/>
            <w:hideMark/>
          </w:tcPr>
          <w:p w14:paraId="691DABC1" w14:textId="2489DA17" w:rsidR="00820C51" w:rsidRPr="00231EB1" w:rsidRDefault="00820C51" w:rsidP="00D30385">
            <w:pPr>
              <w:spacing w:after="0"/>
              <w:jc w:val="right"/>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0.0</w:t>
            </w:r>
            <w:r w:rsidR="00E70E39">
              <w:rPr>
                <w:rFonts w:ascii="Times New Roman" w:eastAsia="Times New Roman" w:hAnsi="Times New Roman" w:cs="Times New Roman"/>
                <w:sz w:val="20"/>
                <w:szCs w:val="20"/>
                <w:lang w:val="en-US"/>
              </w:rPr>
              <w:t>47</w:t>
            </w:r>
          </w:p>
        </w:tc>
      </w:tr>
      <w:tr w:rsidR="00820C51" w:rsidRPr="00231EB1" w14:paraId="1A26812C" w14:textId="77777777" w:rsidTr="00486373">
        <w:trPr>
          <w:trHeight w:val="288"/>
        </w:trPr>
        <w:tc>
          <w:tcPr>
            <w:tcW w:w="2343" w:type="dxa"/>
            <w:vMerge/>
            <w:tcBorders>
              <w:left w:val="nil"/>
              <w:right w:val="nil"/>
            </w:tcBorders>
            <w:shd w:val="clear" w:color="auto" w:fill="auto"/>
            <w:noWrap/>
            <w:hideMark/>
          </w:tcPr>
          <w:p w14:paraId="337C1B6A" w14:textId="77777777" w:rsidR="00820C51" w:rsidRPr="00231EB1" w:rsidRDefault="00820C51" w:rsidP="00D30385">
            <w:pPr>
              <w:spacing w:after="0"/>
              <w:rPr>
                <w:rFonts w:ascii="Times New Roman" w:eastAsia="Times New Roman" w:hAnsi="Times New Roman" w:cs="Times New Roman"/>
                <w:sz w:val="20"/>
                <w:szCs w:val="20"/>
                <w:lang w:val="en-US"/>
              </w:rPr>
            </w:pPr>
          </w:p>
        </w:tc>
        <w:tc>
          <w:tcPr>
            <w:tcW w:w="2902" w:type="dxa"/>
            <w:tcBorders>
              <w:top w:val="nil"/>
              <w:left w:val="nil"/>
              <w:bottom w:val="nil"/>
              <w:right w:val="nil"/>
            </w:tcBorders>
            <w:shd w:val="clear" w:color="auto" w:fill="auto"/>
            <w:noWrap/>
            <w:vAlign w:val="center"/>
            <w:hideMark/>
          </w:tcPr>
          <w:p w14:paraId="3B347DB6"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Lowest quintile</w:t>
            </w:r>
          </w:p>
        </w:tc>
        <w:tc>
          <w:tcPr>
            <w:tcW w:w="1276" w:type="dxa"/>
            <w:tcBorders>
              <w:top w:val="nil"/>
              <w:left w:val="nil"/>
              <w:bottom w:val="nil"/>
              <w:right w:val="nil"/>
            </w:tcBorders>
            <w:shd w:val="clear" w:color="auto" w:fill="auto"/>
            <w:noWrap/>
            <w:vAlign w:val="center"/>
            <w:hideMark/>
          </w:tcPr>
          <w:p w14:paraId="67C77E8A" w14:textId="77777777" w:rsidR="00820C51" w:rsidRPr="00231EB1" w:rsidRDefault="00820C51"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0.14</w:t>
            </w:r>
          </w:p>
        </w:tc>
        <w:tc>
          <w:tcPr>
            <w:tcW w:w="1362" w:type="dxa"/>
            <w:tcBorders>
              <w:top w:val="nil"/>
              <w:left w:val="nil"/>
              <w:bottom w:val="nil"/>
              <w:right w:val="nil"/>
            </w:tcBorders>
            <w:shd w:val="clear" w:color="auto" w:fill="auto"/>
            <w:noWrap/>
            <w:vAlign w:val="center"/>
            <w:hideMark/>
          </w:tcPr>
          <w:p w14:paraId="6B4E62A6" w14:textId="77777777" w:rsidR="00820C51" w:rsidRPr="00231EB1" w:rsidRDefault="00820C51"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0.10-0.18</w:t>
            </w:r>
          </w:p>
        </w:tc>
        <w:tc>
          <w:tcPr>
            <w:tcW w:w="1473" w:type="dxa"/>
            <w:tcBorders>
              <w:top w:val="nil"/>
              <w:left w:val="nil"/>
              <w:bottom w:val="nil"/>
              <w:right w:val="nil"/>
            </w:tcBorders>
            <w:shd w:val="clear" w:color="auto" w:fill="auto"/>
            <w:noWrap/>
            <w:vAlign w:val="center"/>
            <w:hideMark/>
          </w:tcPr>
          <w:p w14:paraId="392B7770" w14:textId="77777777" w:rsidR="00820C51" w:rsidRPr="00231EB1" w:rsidRDefault="00820C51"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Reference</w:t>
            </w:r>
          </w:p>
        </w:tc>
        <w:tc>
          <w:tcPr>
            <w:tcW w:w="1275" w:type="dxa"/>
            <w:tcBorders>
              <w:top w:val="nil"/>
              <w:left w:val="nil"/>
              <w:bottom w:val="nil"/>
              <w:right w:val="nil"/>
            </w:tcBorders>
            <w:shd w:val="clear" w:color="auto" w:fill="auto"/>
            <w:noWrap/>
            <w:vAlign w:val="center"/>
            <w:hideMark/>
          </w:tcPr>
          <w:p w14:paraId="5391C45A" w14:textId="5780664B" w:rsidR="00820C51" w:rsidRPr="00231EB1" w:rsidRDefault="00820C51" w:rsidP="00D30385">
            <w:pPr>
              <w:spacing w:after="0"/>
              <w:jc w:val="right"/>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0.014</w:t>
            </w:r>
            <w:r w:rsidR="00E70E39">
              <w:rPr>
                <w:rFonts w:ascii="Times New Roman" w:eastAsia="Times New Roman" w:hAnsi="Times New Roman" w:cs="Times New Roman"/>
                <w:sz w:val="20"/>
                <w:szCs w:val="20"/>
                <w:lang w:val="en-US"/>
              </w:rPr>
              <w:t>*</w:t>
            </w:r>
          </w:p>
        </w:tc>
      </w:tr>
      <w:tr w:rsidR="00820C51" w:rsidRPr="00231EB1" w14:paraId="1F69C895" w14:textId="77777777" w:rsidTr="00486373">
        <w:trPr>
          <w:trHeight w:val="288"/>
        </w:trPr>
        <w:tc>
          <w:tcPr>
            <w:tcW w:w="2343" w:type="dxa"/>
            <w:vMerge/>
            <w:tcBorders>
              <w:left w:val="nil"/>
              <w:right w:val="nil"/>
            </w:tcBorders>
            <w:shd w:val="clear" w:color="auto" w:fill="auto"/>
            <w:noWrap/>
            <w:vAlign w:val="center"/>
            <w:hideMark/>
          </w:tcPr>
          <w:p w14:paraId="52362B9B" w14:textId="77777777" w:rsidR="00820C51" w:rsidRPr="00231EB1" w:rsidRDefault="00820C51" w:rsidP="00D30385">
            <w:pPr>
              <w:spacing w:after="0"/>
              <w:ind w:right="1211"/>
              <w:jc w:val="right"/>
              <w:rPr>
                <w:rFonts w:ascii="Times New Roman" w:eastAsia="Times New Roman" w:hAnsi="Times New Roman" w:cs="Times New Roman"/>
                <w:sz w:val="20"/>
                <w:szCs w:val="20"/>
                <w:lang w:val="en-US"/>
              </w:rPr>
            </w:pPr>
          </w:p>
        </w:tc>
        <w:tc>
          <w:tcPr>
            <w:tcW w:w="2902" w:type="dxa"/>
            <w:tcBorders>
              <w:top w:val="nil"/>
              <w:left w:val="nil"/>
              <w:bottom w:val="nil"/>
              <w:right w:val="nil"/>
            </w:tcBorders>
            <w:shd w:val="clear" w:color="auto" w:fill="auto"/>
            <w:noWrap/>
            <w:vAlign w:val="center"/>
            <w:hideMark/>
          </w:tcPr>
          <w:p w14:paraId="0333C31D"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Quintile 2</w:t>
            </w:r>
          </w:p>
        </w:tc>
        <w:tc>
          <w:tcPr>
            <w:tcW w:w="1276" w:type="dxa"/>
            <w:tcBorders>
              <w:top w:val="nil"/>
              <w:left w:val="nil"/>
              <w:bottom w:val="nil"/>
              <w:right w:val="nil"/>
            </w:tcBorders>
            <w:shd w:val="clear" w:color="auto" w:fill="auto"/>
            <w:noWrap/>
            <w:vAlign w:val="center"/>
            <w:hideMark/>
          </w:tcPr>
          <w:p w14:paraId="73D0CEED" w14:textId="77777777" w:rsidR="00820C51" w:rsidRPr="00231EB1" w:rsidRDefault="00820C51"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0.25</w:t>
            </w:r>
          </w:p>
        </w:tc>
        <w:tc>
          <w:tcPr>
            <w:tcW w:w="1362" w:type="dxa"/>
            <w:tcBorders>
              <w:top w:val="nil"/>
              <w:left w:val="nil"/>
              <w:bottom w:val="nil"/>
              <w:right w:val="nil"/>
            </w:tcBorders>
            <w:shd w:val="clear" w:color="auto" w:fill="auto"/>
            <w:noWrap/>
            <w:vAlign w:val="center"/>
            <w:hideMark/>
          </w:tcPr>
          <w:p w14:paraId="2C9F5E6D" w14:textId="77777777" w:rsidR="00820C51" w:rsidRPr="00231EB1" w:rsidRDefault="00820C51"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0.21-0.29</w:t>
            </w:r>
          </w:p>
        </w:tc>
        <w:tc>
          <w:tcPr>
            <w:tcW w:w="1473" w:type="dxa"/>
            <w:tcBorders>
              <w:top w:val="nil"/>
              <w:left w:val="nil"/>
              <w:bottom w:val="nil"/>
              <w:right w:val="nil"/>
            </w:tcBorders>
            <w:shd w:val="clear" w:color="auto" w:fill="auto"/>
            <w:noWrap/>
            <w:vAlign w:val="center"/>
            <w:hideMark/>
          </w:tcPr>
          <w:p w14:paraId="78F63D9B" w14:textId="77777777" w:rsidR="00820C51" w:rsidRPr="00231EB1" w:rsidRDefault="00820C51"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1.4 (0.9-2.3)</w:t>
            </w:r>
          </w:p>
        </w:tc>
        <w:tc>
          <w:tcPr>
            <w:tcW w:w="1275" w:type="dxa"/>
            <w:tcBorders>
              <w:top w:val="nil"/>
              <w:left w:val="nil"/>
              <w:bottom w:val="nil"/>
              <w:right w:val="nil"/>
            </w:tcBorders>
            <w:shd w:val="clear" w:color="auto" w:fill="auto"/>
            <w:noWrap/>
            <w:vAlign w:val="center"/>
            <w:hideMark/>
          </w:tcPr>
          <w:p w14:paraId="19A6647D" w14:textId="77777777" w:rsidR="00820C51" w:rsidRPr="00231EB1" w:rsidRDefault="00820C51" w:rsidP="00D30385">
            <w:pPr>
              <w:spacing w:after="0"/>
              <w:jc w:val="right"/>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0.13</w:t>
            </w:r>
          </w:p>
        </w:tc>
      </w:tr>
      <w:tr w:rsidR="00820C51" w:rsidRPr="00231EB1" w14:paraId="25E88D2F" w14:textId="77777777" w:rsidTr="00486373">
        <w:trPr>
          <w:trHeight w:val="288"/>
        </w:trPr>
        <w:tc>
          <w:tcPr>
            <w:tcW w:w="2343" w:type="dxa"/>
            <w:vMerge/>
            <w:tcBorders>
              <w:left w:val="nil"/>
              <w:right w:val="nil"/>
            </w:tcBorders>
            <w:shd w:val="clear" w:color="auto" w:fill="auto"/>
            <w:noWrap/>
            <w:vAlign w:val="center"/>
            <w:hideMark/>
          </w:tcPr>
          <w:p w14:paraId="3840C64F" w14:textId="77777777" w:rsidR="00820C51" w:rsidRPr="00231EB1" w:rsidRDefault="00820C51" w:rsidP="00D30385">
            <w:pPr>
              <w:spacing w:after="0"/>
              <w:rPr>
                <w:rFonts w:ascii="Times New Roman" w:eastAsia="Times New Roman" w:hAnsi="Times New Roman" w:cs="Times New Roman"/>
                <w:sz w:val="20"/>
                <w:szCs w:val="20"/>
                <w:lang w:val="en-US"/>
              </w:rPr>
            </w:pPr>
          </w:p>
        </w:tc>
        <w:tc>
          <w:tcPr>
            <w:tcW w:w="2902" w:type="dxa"/>
            <w:tcBorders>
              <w:top w:val="nil"/>
              <w:left w:val="nil"/>
              <w:bottom w:val="nil"/>
              <w:right w:val="nil"/>
            </w:tcBorders>
            <w:shd w:val="clear" w:color="auto" w:fill="auto"/>
            <w:noWrap/>
            <w:vAlign w:val="center"/>
            <w:hideMark/>
          </w:tcPr>
          <w:p w14:paraId="280497CC"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Quintile 3</w:t>
            </w:r>
          </w:p>
        </w:tc>
        <w:tc>
          <w:tcPr>
            <w:tcW w:w="1276" w:type="dxa"/>
            <w:tcBorders>
              <w:top w:val="nil"/>
              <w:left w:val="nil"/>
              <w:bottom w:val="nil"/>
              <w:right w:val="nil"/>
            </w:tcBorders>
            <w:shd w:val="clear" w:color="auto" w:fill="auto"/>
            <w:noWrap/>
            <w:vAlign w:val="center"/>
            <w:hideMark/>
          </w:tcPr>
          <w:p w14:paraId="53403171" w14:textId="77777777" w:rsidR="00820C51" w:rsidRPr="00231EB1" w:rsidRDefault="00820C51"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0.21</w:t>
            </w:r>
          </w:p>
        </w:tc>
        <w:tc>
          <w:tcPr>
            <w:tcW w:w="1362" w:type="dxa"/>
            <w:tcBorders>
              <w:top w:val="nil"/>
              <w:left w:val="nil"/>
              <w:bottom w:val="nil"/>
              <w:right w:val="nil"/>
            </w:tcBorders>
            <w:shd w:val="clear" w:color="auto" w:fill="auto"/>
            <w:noWrap/>
            <w:vAlign w:val="center"/>
            <w:hideMark/>
          </w:tcPr>
          <w:p w14:paraId="60B5AF10" w14:textId="77777777" w:rsidR="00820C51" w:rsidRPr="00231EB1" w:rsidRDefault="00820C51"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0.17-0.25</w:t>
            </w:r>
          </w:p>
        </w:tc>
        <w:tc>
          <w:tcPr>
            <w:tcW w:w="1473" w:type="dxa"/>
            <w:tcBorders>
              <w:top w:val="nil"/>
              <w:left w:val="nil"/>
              <w:bottom w:val="nil"/>
              <w:right w:val="nil"/>
            </w:tcBorders>
            <w:shd w:val="clear" w:color="auto" w:fill="auto"/>
            <w:noWrap/>
            <w:vAlign w:val="center"/>
            <w:hideMark/>
          </w:tcPr>
          <w:p w14:paraId="3509F20C" w14:textId="77777777" w:rsidR="00820C51" w:rsidRPr="00231EB1" w:rsidRDefault="00820C51"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1.4 (0.9-2.3)</w:t>
            </w:r>
          </w:p>
        </w:tc>
        <w:tc>
          <w:tcPr>
            <w:tcW w:w="1275" w:type="dxa"/>
            <w:tcBorders>
              <w:top w:val="nil"/>
              <w:left w:val="nil"/>
              <w:bottom w:val="nil"/>
              <w:right w:val="nil"/>
            </w:tcBorders>
            <w:shd w:val="clear" w:color="auto" w:fill="auto"/>
            <w:noWrap/>
            <w:vAlign w:val="center"/>
            <w:hideMark/>
          </w:tcPr>
          <w:p w14:paraId="59978C27" w14:textId="77777777" w:rsidR="00820C51" w:rsidRPr="00231EB1" w:rsidRDefault="00820C51" w:rsidP="00D30385">
            <w:pPr>
              <w:spacing w:after="0"/>
              <w:jc w:val="right"/>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0.13</w:t>
            </w:r>
          </w:p>
        </w:tc>
      </w:tr>
      <w:tr w:rsidR="00820C51" w:rsidRPr="00231EB1" w14:paraId="532A036A" w14:textId="77777777" w:rsidTr="00486373">
        <w:trPr>
          <w:trHeight w:val="288"/>
        </w:trPr>
        <w:tc>
          <w:tcPr>
            <w:tcW w:w="2343" w:type="dxa"/>
            <w:vMerge/>
            <w:tcBorders>
              <w:left w:val="nil"/>
              <w:bottom w:val="nil"/>
              <w:right w:val="nil"/>
            </w:tcBorders>
            <w:shd w:val="clear" w:color="auto" w:fill="auto"/>
            <w:noWrap/>
            <w:vAlign w:val="center"/>
            <w:hideMark/>
          </w:tcPr>
          <w:p w14:paraId="657D15D2" w14:textId="77777777" w:rsidR="00820C51" w:rsidRPr="00231EB1" w:rsidRDefault="00820C51" w:rsidP="00D30385">
            <w:pPr>
              <w:spacing w:after="0"/>
              <w:rPr>
                <w:rFonts w:ascii="Times New Roman" w:eastAsia="Times New Roman" w:hAnsi="Times New Roman" w:cs="Times New Roman"/>
                <w:sz w:val="20"/>
                <w:szCs w:val="20"/>
                <w:lang w:val="en-US"/>
              </w:rPr>
            </w:pPr>
          </w:p>
        </w:tc>
        <w:tc>
          <w:tcPr>
            <w:tcW w:w="2902" w:type="dxa"/>
            <w:tcBorders>
              <w:top w:val="nil"/>
              <w:left w:val="nil"/>
              <w:bottom w:val="nil"/>
              <w:right w:val="nil"/>
            </w:tcBorders>
            <w:shd w:val="clear" w:color="auto" w:fill="auto"/>
            <w:noWrap/>
            <w:vAlign w:val="center"/>
            <w:hideMark/>
          </w:tcPr>
          <w:p w14:paraId="0ABAF9A7"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Quintile 4</w:t>
            </w:r>
          </w:p>
        </w:tc>
        <w:tc>
          <w:tcPr>
            <w:tcW w:w="1276" w:type="dxa"/>
            <w:tcBorders>
              <w:top w:val="nil"/>
              <w:left w:val="nil"/>
              <w:bottom w:val="nil"/>
              <w:right w:val="nil"/>
            </w:tcBorders>
            <w:shd w:val="clear" w:color="auto" w:fill="auto"/>
            <w:noWrap/>
            <w:vAlign w:val="center"/>
            <w:hideMark/>
          </w:tcPr>
          <w:p w14:paraId="42081F69" w14:textId="77777777" w:rsidR="00820C51" w:rsidRPr="00231EB1" w:rsidRDefault="00820C51"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0.22</w:t>
            </w:r>
          </w:p>
        </w:tc>
        <w:tc>
          <w:tcPr>
            <w:tcW w:w="1362" w:type="dxa"/>
            <w:tcBorders>
              <w:top w:val="nil"/>
              <w:left w:val="nil"/>
              <w:bottom w:val="nil"/>
              <w:right w:val="nil"/>
            </w:tcBorders>
            <w:shd w:val="clear" w:color="auto" w:fill="auto"/>
            <w:noWrap/>
            <w:vAlign w:val="center"/>
            <w:hideMark/>
          </w:tcPr>
          <w:p w14:paraId="4CA9CB45" w14:textId="77777777" w:rsidR="00820C51" w:rsidRPr="00231EB1" w:rsidRDefault="00820C51"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0.18-0.27</w:t>
            </w:r>
          </w:p>
        </w:tc>
        <w:tc>
          <w:tcPr>
            <w:tcW w:w="1473" w:type="dxa"/>
            <w:tcBorders>
              <w:top w:val="nil"/>
              <w:left w:val="nil"/>
              <w:bottom w:val="nil"/>
              <w:right w:val="nil"/>
            </w:tcBorders>
            <w:shd w:val="clear" w:color="auto" w:fill="auto"/>
            <w:noWrap/>
            <w:vAlign w:val="center"/>
            <w:hideMark/>
          </w:tcPr>
          <w:p w14:paraId="28E804E3" w14:textId="77777777" w:rsidR="00820C51" w:rsidRPr="00231EB1" w:rsidRDefault="00820C51"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1.8 (1.1-3.0)</w:t>
            </w:r>
          </w:p>
        </w:tc>
        <w:tc>
          <w:tcPr>
            <w:tcW w:w="1275" w:type="dxa"/>
            <w:tcBorders>
              <w:top w:val="nil"/>
              <w:left w:val="nil"/>
              <w:bottom w:val="nil"/>
              <w:right w:val="nil"/>
            </w:tcBorders>
            <w:shd w:val="clear" w:color="auto" w:fill="auto"/>
            <w:noWrap/>
            <w:vAlign w:val="center"/>
            <w:hideMark/>
          </w:tcPr>
          <w:p w14:paraId="681044BD" w14:textId="77777777" w:rsidR="00820C51" w:rsidRPr="00231EB1" w:rsidRDefault="00820C51" w:rsidP="00D30385">
            <w:pPr>
              <w:spacing w:after="0"/>
              <w:jc w:val="right"/>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0.01</w:t>
            </w:r>
          </w:p>
        </w:tc>
      </w:tr>
      <w:tr w:rsidR="00820C51" w:rsidRPr="00231EB1" w14:paraId="7B2FDE25" w14:textId="77777777" w:rsidTr="00486373">
        <w:trPr>
          <w:trHeight w:val="288"/>
        </w:trPr>
        <w:tc>
          <w:tcPr>
            <w:tcW w:w="2343" w:type="dxa"/>
            <w:tcBorders>
              <w:top w:val="nil"/>
              <w:left w:val="nil"/>
              <w:bottom w:val="nil"/>
              <w:right w:val="nil"/>
            </w:tcBorders>
            <w:shd w:val="clear" w:color="auto" w:fill="auto"/>
            <w:noWrap/>
            <w:vAlign w:val="center"/>
            <w:hideMark/>
          </w:tcPr>
          <w:p w14:paraId="0DD1E3E9" w14:textId="77777777" w:rsidR="00820C51" w:rsidRPr="00231EB1" w:rsidRDefault="00820C51" w:rsidP="00D30385">
            <w:pPr>
              <w:spacing w:after="0"/>
              <w:rPr>
                <w:rFonts w:ascii="Times New Roman" w:eastAsia="Times New Roman" w:hAnsi="Times New Roman" w:cs="Times New Roman"/>
                <w:sz w:val="20"/>
                <w:szCs w:val="20"/>
                <w:lang w:val="en-US"/>
              </w:rPr>
            </w:pPr>
          </w:p>
        </w:tc>
        <w:tc>
          <w:tcPr>
            <w:tcW w:w="2902" w:type="dxa"/>
            <w:tcBorders>
              <w:top w:val="nil"/>
              <w:left w:val="nil"/>
              <w:bottom w:val="nil"/>
              <w:right w:val="nil"/>
            </w:tcBorders>
            <w:shd w:val="clear" w:color="auto" w:fill="auto"/>
            <w:noWrap/>
            <w:vAlign w:val="center"/>
            <w:hideMark/>
          </w:tcPr>
          <w:p w14:paraId="4821126C"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Highest quintile</w:t>
            </w:r>
          </w:p>
        </w:tc>
        <w:tc>
          <w:tcPr>
            <w:tcW w:w="1276" w:type="dxa"/>
            <w:tcBorders>
              <w:top w:val="nil"/>
              <w:left w:val="nil"/>
              <w:bottom w:val="nil"/>
              <w:right w:val="nil"/>
            </w:tcBorders>
            <w:shd w:val="clear" w:color="auto" w:fill="auto"/>
            <w:noWrap/>
            <w:vAlign w:val="center"/>
            <w:hideMark/>
          </w:tcPr>
          <w:p w14:paraId="37CC9C97" w14:textId="77777777" w:rsidR="00820C51" w:rsidRPr="00231EB1" w:rsidRDefault="00820C51"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0.19</w:t>
            </w:r>
          </w:p>
        </w:tc>
        <w:tc>
          <w:tcPr>
            <w:tcW w:w="1362" w:type="dxa"/>
            <w:tcBorders>
              <w:top w:val="nil"/>
              <w:left w:val="nil"/>
              <w:bottom w:val="nil"/>
              <w:right w:val="nil"/>
            </w:tcBorders>
            <w:shd w:val="clear" w:color="auto" w:fill="auto"/>
            <w:noWrap/>
            <w:vAlign w:val="center"/>
            <w:hideMark/>
          </w:tcPr>
          <w:p w14:paraId="3FA02126" w14:textId="77777777" w:rsidR="00820C51" w:rsidRPr="00231EB1" w:rsidRDefault="00820C51"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0.15-0.23</w:t>
            </w:r>
          </w:p>
        </w:tc>
        <w:tc>
          <w:tcPr>
            <w:tcW w:w="1473" w:type="dxa"/>
            <w:tcBorders>
              <w:top w:val="nil"/>
              <w:left w:val="nil"/>
              <w:bottom w:val="nil"/>
              <w:right w:val="nil"/>
            </w:tcBorders>
            <w:shd w:val="clear" w:color="auto" w:fill="auto"/>
            <w:noWrap/>
            <w:vAlign w:val="center"/>
            <w:hideMark/>
          </w:tcPr>
          <w:p w14:paraId="7D2495E7" w14:textId="77777777" w:rsidR="00820C51" w:rsidRPr="00231EB1" w:rsidRDefault="00820C51"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2.2 (1.4-3.5)</w:t>
            </w:r>
          </w:p>
        </w:tc>
        <w:tc>
          <w:tcPr>
            <w:tcW w:w="1275" w:type="dxa"/>
            <w:tcBorders>
              <w:top w:val="nil"/>
              <w:left w:val="nil"/>
              <w:bottom w:val="nil"/>
              <w:right w:val="nil"/>
            </w:tcBorders>
            <w:shd w:val="clear" w:color="auto" w:fill="auto"/>
            <w:noWrap/>
            <w:vAlign w:val="center"/>
            <w:hideMark/>
          </w:tcPr>
          <w:p w14:paraId="7F97BCB8" w14:textId="77777777" w:rsidR="00820C51" w:rsidRPr="00231EB1" w:rsidRDefault="00820C51" w:rsidP="00D30385">
            <w:pPr>
              <w:spacing w:after="0"/>
              <w:jc w:val="right"/>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0.001</w:t>
            </w:r>
          </w:p>
        </w:tc>
      </w:tr>
      <w:tr w:rsidR="00820C51" w:rsidRPr="00231EB1" w14:paraId="7211ECBD" w14:textId="77777777" w:rsidTr="00486373">
        <w:trPr>
          <w:trHeight w:val="288"/>
        </w:trPr>
        <w:tc>
          <w:tcPr>
            <w:tcW w:w="2343" w:type="dxa"/>
            <w:tcBorders>
              <w:top w:val="nil"/>
              <w:left w:val="nil"/>
              <w:bottom w:val="nil"/>
              <w:right w:val="nil"/>
            </w:tcBorders>
            <w:shd w:val="clear" w:color="auto" w:fill="auto"/>
            <w:noWrap/>
            <w:vAlign w:val="center"/>
            <w:hideMark/>
          </w:tcPr>
          <w:p w14:paraId="766A22A8"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Remoteness</w:t>
            </w:r>
          </w:p>
        </w:tc>
        <w:tc>
          <w:tcPr>
            <w:tcW w:w="2902" w:type="dxa"/>
            <w:tcBorders>
              <w:top w:val="nil"/>
              <w:left w:val="nil"/>
              <w:bottom w:val="nil"/>
              <w:right w:val="nil"/>
            </w:tcBorders>
            <w:shd w:val="clear" w:color="auto" w:fill="auto"/>
            <w:noWrap/>
            <w:vAlign w:val="center"/>
            <w:hideMark/>
          </w:tcPr>
          <w:p w14:paraId="60C0728D"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Major Cities</w:t>
            </w:r>
          </w:p>
        </w:tc>
        <w:tc>
          <w:tcPr>
            <w:tcW w:w="1276" w:type="dxa"/>
            <w:tcBorders>
              <w:top w:val="nil"/>
              <w:left w:val="nil"/>
              <w:bottom w:val="nil"/>
              <w:right w:val="nil"/>
            </w:tcBorders>
            <w:shd w:val="clear" w:color="auto" w:fill="auto"/>
            <w:noWrap/>
            <w:vAlign w:val="center"/>
            <w:hideMark/>
          </w:tcPr>
          <w:p w14:paraId="51F77E3D" w14:textId="77777777" w:rsidR="00820C51" w:rsidRPr="00231EB1" w:rsidRDefault="00820C51"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0.63</w:t>
            </w:r>
          </w:p>
        </w:tc>
        <w:tc>
          <w:tcPr>
            <w:tcW w:w="1362" w:type="dxa"/>
            <w:tcBorders>
              <w:top w:val="nil"/>
              <w:left w:val="nil"/>
              <w:bottom w:val="nil"/>
              <w:right w:val="nil"/>
            </w:tcBorders>
            <w:shd w:val="clear" w:color="auto" w:fill="auto"/>
            <w:noWrap/>
            <w:vAlign w:val="center"/>
            <w:hideMark/>
          </w:tcPr>
          <w:p w14:paraId="1EB2BD09" w14:textId="77777777" w:rsidR="00820C51" w:rsidRPr="00231EB1" w:rsidRDefault="00820C51"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0.59-0.68</w:t>
            </w:r>
          </w:p>
        </w:tc>
        <w:tc>
          <w:tcPr>
            <w:tcW w:w="1473" w:type="dxa"/>
            <w:tcBorders>
              <w:top w:val="nil"/>
              <w:left w:val="nil"/>
              <w:bottom w:val="nil"/>
              <w:right w:val="nil"/>
            </w:tcBorders>
            <w:shd w:val="clear" w:color="auto" w:fill="auto"/>
            <w:noWrap/>
            <w:vAlign w:val="center"/>
            <w:hideMark/>
          </w:tcPr>
          <w:p w14:paraId="4A0AB1B3" w14:textId="77777777" w:rsidR="00820C51" w:rsidRPr="00231EB1" w:rsidRDefault="00820C51"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Reference</w:t>
            </w:r>
          </w:p>
        </w:tc>
        <w:tc>
          <w:tcPr>
            <w:tcW w:w="1275" w:type="dxa"/>
            <w:tcBorders>
              <w:top w:val="nil"/>
              <w:left w:val="nil"/>
              <w:bottom w:val="nil"/>
              <w:right w:val="nil"/>
            </w:tcBorders>
            <w:shd w:val="clear" w:color="auto" w:fill="auto"/>
            <w:noWrap/>
            <w:vAlign w:val="center"/>
            <w:hideMark/>
          </w:tcPr>
          <w:p w14:paraId="174FF90C" w14:textId="77777777" w:rsidR="00820C51" w:rsidRPr="00231EB1" w:rsidRDefault="00820C51" w:rsidP="00D30385">
            <w:pPr>
              <w:spacing w:after="0"/>
              <w:jc w:val="right"/>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0.97</w:t>
            </w:r>
          </w:p>
        </w:tc>
      </w:tr>
      <w:tr w:rsidR="00820C51" w:rsidRPr="00231EB1" w14:paraId="5DBF7F7B" w14:textId="77777777" w:rsidTr="00486373">
        <w:trPr>
          <w:trHeight w:val="288"/>
        </w:trPr>
        <w:tc>
          <w:tcPr>
            <w:tcW w:w="2343" w:type="dxa"/>
            <w:tcBorders>
              <w:top w:val="nil"/>
              <w:left w:val="nil"/>
              <w:bottom w:val="nil"/>
              <w:right w:val="nil"/>
            </w:tcBorders>
            <w:shd w:val="clear" w:color="auto" w:fill="auto"/>
            <w:noWrap/>
            <w:vAlign w:val="center"/>
            <w:hideMark/>
          </w:tcPr>
          <w:p w14:paraId="34B41562" w14:textId="77777777" w:rsidR="00820C51" w:rsidRPr="00231EB1" w:rsidRDefault="00820C51" w:rsidP="00D30385">
            <w:pPr>
              <w:spacing w:after="0"/>
              <w:jc w:val="right"/>
              <w:rPr>
                <w:rFonts w:ascii="Times New Roman" w:eastAsia="Times New Roman" w:hAnsi="Times New Roman" w:cs="Times New Roman"/>
                <w:sz w:val="20"/>
                <w:szCs w:val="20"/>
                <w:lang w:val="en-US"/>
              </w:rPr>
            </w:pPr>
          </w:p>
        </w:tc>
        <w:tc>
          <w:tcPr>
            <w:tcW w:w="2902" w:type="dxa"/>
            <w:tcBorders>
              <w:top w:val="nil"/>
              <w:left w:val="nil"/>
              <w:bottom w:val="nil"/>
              <w:right w:val="nil"/>
            </w:tcBorders>
            <w:shd w:val="clear" w:color="auto" w:fill="auto"/>
            <w:noWrap/>
            <w:vAlign w:val="center"/>
            <w:hideMark/>
          </w:tcPr>
          <w:p w14:paraId="7BA51ADA"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Inner Regional</w:t>
            </w:r>
          </w:p>
        </w:tc>
        <w:tc>
          <w:tcPr>
            <w:tcW w:w="1276" w:type="dxa"/>
            <w:tcBorders>
              <w:top w:val="nil"/>
              <w:left w:val="nil"/>
              <w:bottom w:val="nil"/>
              <w:right w:val="nil"/>
            </w:tcBorders>
            <w:shd w:val="clear" w:color="auto" w:fill="auto"/>
            <w:noWrap/>
            <w:vAlign w:val="center"/>
            <w:hideMark/>
          </w:tcPr>
          <w:p w14:paraId="08041DA0" w14:textId="77777777" w:rsidR="00820C51" w:rsidRPr="00231EB1" w:rsidRDefault="00820C51"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0.27</w:t>
            </w:r>
          </w:p>
        </w:tc>
        <w:tc>
          <w:tcPr>
            <w:tcW w:w="1362" w:type="dxa"/>
            <w:tcBorders>
              <w:top w:val="nil"/>
              <w:left w:val="nil"/>
              <w:bottom w:val="nil"/>
              <w:right w:val="nil"/>
            </w:tcBorders>
            <w:shd w:val="clear" w:color="auto" w:fill="auto"/>
            <w:noWrap/>
            <w:vAlign w:val="center"/>
            <w:hideMark/>
          </w:tcPr>
          <w:p w14:paraId="20F1437E" w14:textId="77777777" w:rsidR="00820C51" w:rsidRPr="00231EB1" w:rsidRDefault="00820C51"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0.22-0.32</w:t>
            </w:r>
          </w:p>
        </w:tc>
        <w:tc>
          <w:tcPr>
            <w:tcW w:w="1473" w:type="dxa"/>
            <w:tcBorders>
              <w:top w:val="nil"/>
              <w:left w:val="nil"/>
              <w:bottom w:val="nil"/>
              <w:right w:val="nil"/>
            </w:tcBorders>
            <w:shd w:val="clear" w:color="auto" w:fill="auto"/>
            <w:noWrap/>
            <w:vAlign w:val="center"/>
            <w:hideMark/>
          </w:tcPr>
          <w:p w14:paraId="62B6ED5F" w14:textId="77777777" w:rsidR="00820C51" w:rsidRPr="00231EB1" w:rsidRDefault="00820C51"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1.0 (0.7-1.4)</w:t>
            </w:r>
          </w:p>
        </w:tc>
        <w:tc>
          <w:tcPr>
            <w:tcW w:w="1275" w:type="dxa"/>
            <w:tcBorders>
              <w:top w:val="nil"/>
              <w:left w:val="nil"/>
              <w:bottom w:val="nil"/>
              <w:right w:val="nil"/>
            </w:tcBorders>
            <w:shd w:val="clear" w:color="auto" w:fill="auto"/>
            <w:noWrap/>
            <w:vAlign w:val="center"/>
            <w:hideMark/>
          </w:tcPr>
          <w:p w14:paraId="1EBD42FC" w14:textId="77777777" w:rsidR="00820C51" w:rsidRPr="00231EB1" w:rsidRDefault="00820C51" w:rsidP="00D30385">
            <w:pPr>
              <w:spacing w:after="0"/>
              <w:jc w:val="right"/>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0.87</w:t>
            </w:r>
          </w:p>
        </w:tc>
      </w:tr>
      <w:tr w:rsidR="00820C51" w:rsidRPr="00231EB1" w14:paraId="2E56AB0F" w14:textId="77777777" w:rsidTr="00486373">
        <w:trPr>
          <w:trHeight w:val="288"/>
        </w:trPr>
        <w:tc>
          <w:tcPr>
            <w:tcW w:w="2343" w:type="dxa"/>
            <w:tcBorders>
              <w:top w:val="nil"/>
              <w:left w:val="nil"/>
              <w:bottom w:val="nil"/>
              <w:right w:val="nil"/>
            </w:tcBorders>
            <w:shd w:val="clear" w:color="auto" w:fill="auto"/>
            <w:noWrap/>
            <w:vAlign w:val="center"/>
            <w:hideMark/>
          </w:tcPr>
          <w:p w14:paraId="168A8BE5" w14:textId="77777777" w:rsidR="00820C51" w:rsidRPr="00231EB1" w:rsidRDefault="00820C51" w:rsidP="00D30385">
            <w:pPr>
              <w:spacing w:after="0"/>
              <w:rPr>
                <w:rFonts w:ascii="Times New Roman" w:eastAsia="Times New Roman" w:hAnsi="Times New Roman" w:cs="Times New Roman"/>
                <w:sz w:val="20"/>
                <w:szCs w:val="20"/>
                <w:lang w:val="en-US"/>
              </w:rPr>
            </w:pPr>
          </w:p>
        </w:tc>
        <w:tc>
          <w:tcPr>
            <w:tcW w:w="2902" w:type="dxa"/>
            <w:tcBorders>
              <w:top w:val="nil"/>
              <w:left w:val="nil"/>
              <w:bottom w:val="nil"/>
              <w:right w:val="nil"/>
            </w:tcBorders>
            <w:shd w:val="clear" w:color="auto" w:fill="auto"/>
            <w:noWrap/>
            <w:vAlign w:val="center"/>
            <w:hideMark/>
          </w:tcPr>
          <w:p w14:paraId="5C258D7B"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Outer Regional</w:t>
            </w:r>
          </w:p>
        </w:tc>
        <w:tc>
          <w:tcPr>
            <w:tcW w:w="1276" w:type="dxa"/>
            <w:tcBorders>
              <w:top w:val="nil"/>
              <w:left w:val="nil"/>
              <w:bottom w:val="nil"/>
              <w:right w:val="nil"/>
            </w:tcBorders>
            <w:shd w:val="clear" w:color="auto" w:fill="auto"/>
            <w:noWrap/>
            <w:vAlign w:val="center"/>
            <w:hideMark/>
          </w:tcPr>
          <w:p w14:paraId="27B197DA" w14:textId="77777777" w:rsidR="00820C51" w:rsidRPr="00231EB1" w:rsidRDefault="00820C51"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0.08</w:t>
            </w:r>
          </w:p>
        </w:tc>
        <w:tc>
          <w:tcPr>
            <w:tcW w:w="1362" w:type="dxa"/>
            <w:tcBorders>
              <w:top w:val="nil"/>
              <w:left w:val="nil"/>
              <w:bottom w:val="nil"/>
              <w:right w:val="nil"/>
            </w:tcBorders>
            <w:shd w:val="clear" w:color="auto" w:fill="auto"/>
            <w:noWrap/>
            <w:vAlign w:val="center"/>
            <w:hideMark/>
          </w:tcPr>
          <w:p w14:paraId="631B5CD0" w14:textId="77777777" w:rsidR="00820C51" w:rsidRPr="00231EB1" w:rsidRDefault="00820C51"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0.06-0.12</w:t>
            </w:r>
          </w:p>
        </w:tc>
        <w:tc>
          <w:tcPr>
            <w:tcW w:w="1473" w:type="dxa"/>
            <w:tcBorders>
              <w:top w:val="nil"/>
              <w:left w:val="nil"/>
              <w:bottom w:val="nil"/>
              <w:right w:val="nil"/>
            </w:tcBorders>
            <w:shd w:val="clear" w:color="auto" w:fill="auto"/>
            <w:noWrap/>
            <w:vAlign w:val="center"/>
            <w:hideMark/>
          </w:tcPr>
          <w:p w14:paraId="2BC47081" w14:textId="77777777" w:rsidR="00820C51" w:rsidRPr="00231EB1" w:rsidRDefault="00820C51"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1.0 (0.5-2.1)</w:t>
            </w:r>
          </w:p>
        </w:tc>
        <w:tc>
          <w:tcPr>
            <w:tcW w:w="1275" w:type="dxa"/>
            <w:tcBorders>
              <w:top w:val="nil"/>
              <w:left w:val="nil"/>
              <w:bottom w:val="nil"/>
              <w:right w:val="nil"/>
            </w:tcBorders>
            <w:shd w:val="clear" w:color="auto" w:fill="auto"/>
            <w:noWrap/>
            <w:vAlign w:val="center"/>
            <w:hideMark/>
          </w:tcPr>
          <w:p w14:paraId="2A1CCFA5" w14:textId="77777777" w:rsidR="00820C51" w:rsidRPr="00231EB1" w:rsidRDefault="00820C51" w:rsidP="00D30385">
            <w:pPr>
              <w:spacing w:after="0"/>
              <w:jc w:val="right"/>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1.0</w:t>
            </w:r>
          </w:p>
        </w:tc>
      </w:tr>
      <w:tr w:rsidR="00820C51" w:rsidRPr="00231EB1" w14:paraId="4C04B027" w14:textId="77777777" w:rsidTr="00486373">
        <w:trPr>
          <w:trHeight w:val="288"/>
        </w:trPr>
        <w:tc>
          <w:tcPr>
            <w:tcW w:w="2343" w:type="dxa"/>
            <w:tcBorders>
              <w:top w:val="nil"/>
              <w:left w:val="nil"/>
              <w:bottom w:val="nil"/>
              <w:right w:val="nil"/>
            </w:tcBorders>
            <w:shd w:val="clear" w:color="auto" w:fill="auto"/>
            <w:noWrap/>
            <w:vAlign w:val="center"/>
            <w:hideMark/>
          </w:tcPr>
          <w:p w14:paraId="4DED282E" w14:textId="77777777" w:rsidR="00820C51" w:rsidRPr="00231EB1" w:rsidRDefault="00820C51" w:rsidP="00D30385">
            <w:pPr>
              <w:spacing w:after="0"/>
              <w:rPr>
                <w:rFonts w:ascii="Times New Roman" w:eastAsia="Times New Roman" w:hAnsi="Times New Roman" w:cs="Times New Roman"/>
                <w:sz w:val="20"/>
                <w:szCs w:val="20"/>
                <w:lang w:val="en-US"/>
              </w:rPr>
            </w:pPr>
          </w:p>
        </w:tc>
        <w:tc>
          <w:tcPr>
            <w:tcW w:w="2902" w:type="dxa"/>
            <w:tcBorders>
              <w:top w:val="nil"/>
              <w:left w:val="nil"/>
              <w:bottom w:val="nil"/>
              <w:right w:val="nil"/>
            </w:tcBorders>
            <w:shd w:val="clear" w:color="auto" w:fill="auto"/>
            <w:noWrap/>
            <w:vAlign w:val="center"/>
            <w:hideMark/>
          </w:tcPr>
          <w:p w14:paraId="1E2B3C5D"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Remote</w:t>
            </w:r>
          </w:p>
        </w:tc>
        <w:tc>
          <w:tcPr>
            <w:tcW w:w="1276" w:type="dxa"/>
            <w:tcBorders>
              <w:top w:val="nil"/>
              <w:left w:val="nil"/>
              <w:bottom w:val="nil"/>
              <w:right w:val="nil"/>
            </w:tcBorders>
            <w:shd w:val="clear" w:color="auto" w:fill="auto"/>
            <w:noWrap/>
            <w:vAlign w:val="center"/>
            <w:hideMark/>
          </w:tcPr>
          <w:p w14:paraId="7BB7727B" w14:textId="77777777" w:rsidR="00820C51" w:rsidRPr="00231EB1" w:rsidRDefault="00820C51"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0.02</w:t>
            </w:r>
          </w:p>
        </w:tc>
        <w:tc>
          <w:tcPr>
            <w:tcW w:w="1362" w:type="dxa"/>
            <w:tcBorders>
              <w:top w:val="nil"/>
              <w:left w:val="nil"/>
              <w:bottom w:val="nil"/>
              <w:right w:val="nil"/>
            </w:tcBorders>
            <w:shd w:val="clear" w:color="auto" w:fill="auto"/>
            <w:noWrap/>
            <w:vAlign w:val="center"/>
            <w:hideMark/>
          </w:tcPr>
          <w:p w14:paraId="47AFC973" w14:textId="77777777" w:rsidR="00820C51" w:rsidRPr="00231EB1" w:rsidRDefault="00820C51"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0.01-0.03</w:t>
            </w:r>
          </w:p>
        </w:tc>
        <w:tc>
          <w:tcPr>
            <w:tcW w:w="1473" w:type="dxa"/>
            <w:tcBorders>
              <w:top w:val="nil"/>
              <w:left w:val="nil"/>
              <w:bottom w:val="nil"/>
              <w:right w:val="nil"/>
            </w:tcBorders>
            <w:shd w:val="clear" w:color="auto" w:fill="auto"/>
            <w:noWrap/>
            <w:vAlign w:val="center"/>
            <w:hideMark/>
          </w:tcPr>
          <w:p w14:paraId="3DD028DA" w14:textId="77777777" w:rsidR="00820C51" w:rsidRPr="00231EB1" w:rsidRDefault="00820C51"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1.2 (0.5-3.0)</w:t>
            </w:r>
          </w:p>
        </w:tc>
        <w:tc>
          <w:tcPr>
            <w:tcW w:w="1275" w:type="dxa"/>
            <w:tcBorders>
              <w:top w:val="nil"/>
              <w:left w:val="nil"/>
              <w:bottom w:val="nil"/>
              <w:right w:val="nil"/>
            </w:tcBorders>
            <w:shd w:val="clear" w:color="auto" w:fill="auto"/>
            <w:noWrap/>
            <w:vAlign w:val="center"/>
            <w:hideMark/>
          </w:tcPr>
          <w:p w14:paraId="75BC187F" w14:textId="77777777" w:rsidR="00820C51" w:rsidRPr="00231EB1" w:rsidRDefault="00820C51" w:rsidP="00D30385">
            <w:pPr>
              <w:spacing w:after="0"/>
              <w:jc w:val="right"/>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0.66</w:t>
            </w:r>
          </w:p>
        </w:tc>
      </w:tr>
      <w:tr w:rsidR="00820C51" w:rsidRPr="00231EB1" w14:paraId="740A718B" w14:textId="77777777" w:rsidTr="00486373">
        <w:trPr>
          <w:trHeight w:val="288"/>
        </w:trPr>
        <w:tc>
          <w:tcPr>
            <w:tcW w:w="2343" w:type="dxa"/>
            <w:vMerge w:val="restart"/>
            <w:tcBorders>
              <w:top w:val="nil"/>
              <w:left w:val="nil"/>
              <w:right w:val="nil"/>
            </w:tcBorders>
            <w:shd w:val="clear" w:color="auto" w:fill="auto"/>
            <w:noWrap/>
          </w:tcPr>
          <w:p w14:paraId="6AE6B749"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 Aboriginal and/or Torres Strait Islander Status</w:t>
            </w:r>
          </w:p>
          <w:p w14:paraId="301253AC"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Persons (12-17 years)</w:t>
            </w:r>
          </w:p>
        </w:tc>
        <w:tc>
          <w:tcPr>
            <w:tcW w:w="2902" w:type="dxa"/>
            <w:tcBorders>
              <w:top w:val="nil"/>
              <w:left w:val="nil"/>
              <w:bottom w:val="nil"/>
              <w:right w:val="nil"/>
            </w:tcBorders>
            <w:shd w:val="clear" w:color="auto" w:fill="auto"/>
            <w:noWrap/>
            <w:vAlign w:val="center"/>
          </w:tcPr>
          <w:p w14:paraId="4A20B38B"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&lt;1%</w:t>
            </w:r>
          </w:p>
        </w:tc>
        <w:tc>
          <w:tcPr>
            <w:tcW w:w="1276" w:type="dxa"/>
            <w:tcBorders>
              <w:top w:val="nil"/>
              <w:left w:val="nil"/>
              <w:bottom w:val="nil"/>
              <w:right w:val="nil"/>
            </w:tcBorders>
            <w:shd w:val="clear" w:color="auto" w:fill="auto"/>
            <w:noWrap/>
            <w:vAlign w:val="center"/>
          </w:tcPr>
          <w:p w14:paraId="6394AEF7" w14:textId="77777777" w:rsidR="00820C51" w:rsidRPr="00231EB1" w:rsidRDefault="00820C51"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0.68</w:t>
            </w:r>
          </w:p>
        </w:tc>
        <w:tc>
          <w:tcPr>
            <w:tcW w:w="1362" w:type="dxa"/>
            <w:tcBorders>
              <w:top w:val="nil"/>
              <w:left w:val="nil"/>
              <w:bottom w:val="nil"/>
              <w:right w:val="nil"/>
            </w:tcBorders>
            <w:shd w:val="clear" w:color="auto" w:fill="auto"/>
            <w:noWrap/>
            <w:vAlign w:val="center"/>
          </w:tcPr>
          <w:p w14:paraId="5A0920E8" w14:textId="77777777" w:rsidR="00820C51" w:rsidRPr="00231EB1" w:rsidRDefault="00820C51"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0.63-0.73</w:t>
            </w:r>
          </w:p>
        </w:tc>
        <w:tc>
          <w:tcPr>
            <w:tcW w:w="1473" w:type="dxa"/>
            <w:tcBorders>
              <w:top w:val="nil"/>
              <w:left w:val="nil"/>
              <w:bottom w:val="nil"/>
              <w:right w:val="nil"/>
            </w:tcBorders>
            <w:shd w:val="clear" w:color="auto" w:fill="auto"/>
            <w:noWrap/>
            <w:vAlign w:val="center"/>
          </w:tcPr>
          <w:p w14:paraId="2B4042B1" w14:textId="77777777" w:rsidR="00820C51" w:rsidRPr="00231EB1" w:rsidRDefault="00820C51"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Reference</w:t>
            </w:r>
          </w:p>
        </w:tc>
        <w:tc>
          <w:tcPr>
            <w:tcW w:w="1275" w:type="dxa"/>
            <w:tcBorders>
              <w:top w:val="nil"/>
              <w:left w:val="nil"/>
              <w:bottom w:val="nil"/>
              <w:right w:val="nil"/>
            </w:tcBorders>
            <w:shd w:val="clear" w:color="auto" w:fill="auto"/>
            <w:noWrap/>
            <w:vAlign w:val="center"/>
          </w:tcPr>
          <w:p w14:paraId="5B4B550B" w14:textId="73E11F17" w:rsidR="00820C51" w:rsidRPr="00231EB1" w:rsidRDefault="00820C51" w:rsidP="00D30385">
            <w:pPr>
              <w:spacing w:after="0"/>
              <w:jc w:val="right"/>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0.003</w:t>
            </w:r>
            <w:r w:rsidR="00E70E39">
              <w:rPr>
                <w:rFonts w:ascii="Times New Roman" w:eastAsia="Times New Roman" w:hAnsi="Times New Roman" w:cs="Times New Roman"/>
                <w:sz w:val="20"/>
                <w:szCs w:val="20"/>
                <w:lang w:val="en-US"/>
              </w:rPr>
              <w:t>*</w:t>
            </w:r>
          </w:p>
        </w:tc>
      </w:tr>
      <w:tr w:rsidR="00820C51" w:rsidRPr="00231EB1" w14:paraId="5D00779C" w14:textId="77777777" w:rsidTr="00486373">
        <w:trPr>
          <w:trHeight w:val="288"/>
        </w:trPr>
        <w:tc>
          <w:tcPr>
            <w:tcW w:w="2343" w:type="dxa"/>
            <w:vMerge/>
            <w:tcBorders>
              <w:left w:val="nil"/>
              <w:right w:val="nil"/>
            </w:tcBorders>
            <w:shd w:val="clear" w:color="auto" w:fill="auto"/>
            <w:noWrap/>
            <w:vAlign w:val="center"/>
          </w:tcPr>
          <w:p w14:paraId="4FB2C693" w14:textId="77777777" w:rsidR="00820C51" w:rsidRPr="00231EB1" w:rsidRDefault="00820C51" w:rsidP="00D30385">
            <w:pPr>
              <w:spacing w:after="0"/>
              <w:rPr>
                <w:rFonts w:ascii="Times New Roman" w:eastAsia="Times New Roman" w:hAnsi="Times New Roman" w:cs="Times New Roman"/>
                <w:sz w:val="20"/>
                <w:szCs w:val="20"/>
                <w:lang w:val="en-US"/>
              </w:rPr>
            </w:pPr>
          </w:p>
        </w:tc>
        <w:tc>
          <w:tcPr>
            <w:tcW w:w="2902" w:type="dxa"/>
            <w:tcBorders>
              <w:top w:val="nil"/>
              <w:left w:val="nil"/>
              <w:bottom w:val="nil"/>
              <w:right w:val="nil"/>
            </w:tcBorders>
            <w:shd w:val="clear" w:color="auto" w:fill="auto"/>
            <w:noWrap/>
            <w:vAlign w:val="center"/>
          </w:tcPr>
          <w:p w14:paraId="1878D098" w14:textId="2EB402C1"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1-</w:t>
            </w:r>
            <w:r w:rsidR="00632C67">
              <w:rPr>
                <w:rFonts w:ascii="Times New Roman" w:eastAsia="Times New Roman" w:hAnsi="Times New Roman" w:cs="Times New Roman"/>
                <w:sz w:val="20"/>
                <w:szCs w:val="20"/>
                <w:lang w:val="en-US"/>
              </w:rPr>
              <w:t>&lt;</w:t>
            </w:r>
            <w:r w:rsidRPr="00231EB1">
              <w:rPr>
                <w:rFonts w:ascii="Times New Roman" w:eastAsia="Times New Roman" w:hAnsi="Times New Roman" w:cs="Times New Roman"/>
                <w:sz w:val="20"/>
                <w:szCs w:val="20"/>
                <w:lang w:val="en-US"/>
              </w:rPr>
              <w:t>5%</w:t>
            </w:r>
          </w:p>
        </w:tc>
        <w:tc>
          <w:tcPr>
            <w:tcW w:w="1276" w:type="dxa"/>
            <w:tcBorders>
              <w:top w:val="nil"/>
              <w:left w:val="nil"/>
              <w:bottom w:val="nil"/>
              <w:right w:val="nil"/>
            </w:tcBorders>
            <w:shd w:val="clear" w:color="auto" w:fill="auto"/>
            <w:noWrap/>
            <w:vAlign w:val="center"/>
          </w:tcPr>
          <w:p w14:paraId="6DE70CDD" w14:textId="77777777" w:rsidR="00820C51" w:rsidRPr="00231EB1" w:rsidRDefault="00820C51"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0.05</w:t>
            </w:r>
          </w:p>
        </w:tc>
        <w:tc>
          <w:tcPr>
            <w:tcW w:w="1362" w:type="dxa"/>
            <w:tcBorders>
              <w:top w:val="nil"/>
              <w:left w:val="nil"/>
              <w:bottom w:val="nil"/>
              <w:right w:val="nil"/>
            </w:tcBorders>
            <w:shd w:val="clear" w:color="auto" w:fill="auto"/>
            <w:noWrap/>
            <w:vAlign w:val="center"/>
          </w:tcPr>
          <w:p w14:paraId="53E57C96" w14:textId="77777777" w:rsidR="00820C51" w:rsidRPr="00231EB1" w:rsidRDefault="00820C51"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0.03-0.09</w:t>
            </w:r>
          </w:p>
        </w:tc>
        <w:tc>
          <w:tcPr>
            <w:tcW w:w="1473" w:type="dxa"/>
            <w:tcBorders>
              <w:top w:val="nil"/>
              <w:left w:val="nil"/>
              <w:bottom w:val="nil"/>
              <w:right w:val="nil"/>
            </w:tcBorders>
            <w:shd w:val="clear" w:color="auto" w:fill="auto"/>
            <w:noWrap/>
            <w:vAlign w:val="center"/>
          </w:tcPr>
          <w:p w14:paraId="25E95B8A" w14:textId="77777777" w:rsidR="00820C51" w:rsidRPr="00231EB1" w:rsidRDefault="00820C51"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1.8 (1.0-3.1)</w:t>
            </w:r>
          </w:p>
        </w:tc>
        <w:tc>
          <w:tcPr>
            <w:tcW w:w="1275" w:type="dxa"/>
            <w:tcBorders>
              <w:top w:val="nil"/>
              <w:left w:val="nil"/>
              <w:bottom w:val="nil"/>
              <w:right w:val="nil"/>
            </w:tcBorders>
            <w:shd w:val="clear" w:color="auto" w:fill="auto"/>
            <w:noWrap/>
            <w:vAlign w:val="center"/>
          </w:tcPr>
          <w:p w14:paraId="046976D5" w14:textId="0FDAD48E" w:rsidR="00820C51" w:rsidRPr="00231EB1" w:rsidRDefault="00820C51" w:rsidP="00D30385">
            <w:pPr>
              <w:spacing w:after="0"/>
              <w:jc w:val="right"/>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0.0</w:t>
            </w:r>
            <w:r w:rsidR="00E70E39">
              <w:rPr>
                <w:rFonts w:ascii="Times New Roman" w:eastAsia="Times New Roman" w:hAnsi="Times New Roman" w:cs="Times New Roman"/>
                <w:sz w:val="20"/>
                <w:szCs w:val="20"/>
                <w:lang w:val="en-US"/>
              </w:rPr>
              <w:t>35</w:t>
            </w:r>
          </w:p>
        </w:tc>
      </w:tr>
      <w:tr w:rsidR="00820C51" w:rsidRPr="00231EB1" w14:paraId="25A5EAF1" w14:textId="77777777" w:rsidTr="00486373">
        <w:trPr>
          <w:trHeight w:val="288"/>
        </w:trPr>
        <w:tc>
          <w:tcPr>
            <w:tcW w:w="2343" w:type="dxa"/>
            <w:vMerge/>
            <w:tcBorders>
              <w:left w:val="nil"/>
              <w:right w:val="nil"/>
            </w:tcBorders>
            <w:shd w:val="clear" w:color="auto" w:fill="auto"/>
            <w:noWrap/>
            <w:vAlign w:val="center"/>
          </w:tcPr>
          <w:p w14:paraId="75F97848" w14:textId="77777777" w:rsidR="00820C51" w:rsidRPr="00231EB1" w:rsidRDefault="00820C51" w:rsidP="00D30385">
            <w:pPr>
              <w:spacing w:after="0"/>
              <w:rPr>
                <w:rFonts w:ascii="Times New Roman" w:eastAsia="Times New Roman" w:hAnsi="Times New Roman" w:cs="Times New Roman"/>
                <w:sz w:val="20"/>
                <w:szCs w:val="20"/>
                <w:lang w:val="en-US"/>
              </w:rPr>
            </w:pPr>
          </w:p>
        </w:tc>
        <w:tc>
          <w:tcPr>
            <w:tcW w:w="2902" w:type="dxa"/>
            <w:tcBorders>
              <w:top w:val="nil"/>
              <w:left w:val="nil"/>
              <w:bottom w:val="nil"/>
              <w:right w:val="nil"/>
            </w:tcBorders>
            <w:shd w:val="clear" w:color="auto" w:fill="auto"/>
            <w:noWrap/>
            <w:vAlign w:val="center"/>
          </w:tcPr>
          <w:p w14:paraId="7E884F79"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5%-&lt;10%</w:t>
            </w:r>
          </w:p>
        </w:tc>
        <w:tc>
          <w:tcPr>
            <w:tcW w:w="1276" w:type="dxa"/>
            <w:tcBorders>
              <w:top w:val="nil"/>
              <w:left w:val="nil"/>
              <w:bottom w:val="nil"/>
              <w:right w:val="nil"/>
            </w:tcBorders>
            <w:shd w:val="clear" w:color="auto" w:fill="auto"/>
            <w:noWrap/>
            <w:vAlign w:val="center"/>
          </w:tcPr>
          <w:p w14:paraId="4E5DD5C2" w14:textId="77777777" w:rsidR="00820C51" w:rsidRPr="00231EB1" w:rsidRDefault="00820C51"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0.13</w:t>
            </w:r>
          </w:p>
        </w:tc>
        <w:tc>
          <w:tcPr>
            <w:tcW w:w="1362" w:type="dxa"/>
            <w:tcBorders>
              <w:top w:val="nil"/>
              <w:left w:val="nil"/>
              <w:bottom w:val="nil"/>
              <w:right w:val="nil"/>
            </w:tcBorders>
            <w:shd w:val="clear" w:color="auto" w:fill="auto"/>
            <w:noWrap/>
            <w:vAlign w:val="center"/>
          </w:tcPr>
          <w:p w14:paraId="00DE569C" w14:textId="77777777" w:rsidR="00820C51" w:rsidRPr="00231EB1" w:rsidRDefault="00820C51"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0.10-0.17</w:t>
            </w:r>
          </w:p>
        </w:tc>
        <w:tc>
          <w:tcPr>
            <w:tcW w:w="1473" w:type="dxa"/>
            <w:tcBorders>
              <w:top w:val="nil"/>
              <w:left w:val="nil"/>
              <w:bottom w:val="nil"/>
              <w:right w:val="nil"/>
            </w:tcBorders>
            <w:shd w:val="clear" w:color="auto" w:fill="auto"/>
            <w:noWrap/>
            <w:vAlign w:val="center"/>
          </w:tcPr>
          <w:p w14:paraId="6CAD5E0F" w14:textId="77777777" w:rsidR="00820C51" w:rsidRPr="00231EB1" w:rsidRDefault="00820C51"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1.8 (1.2-2.8)</w:t>
            </w:r>
          </w:p>
        </w:tc>
        <w:tc>
          <w:tcPr>
            <w:tcW w:w="1275" w:type="dxa"/>
            <w:tcBorders>
              <w:top w:val="nil"/>
              <w:left w:val="nil"/>
              <w:bottom w:val="nil"/>
              <w:right w:val="nil"/>
            </w:tcBorders>
            <w:shd w:val="clear" w:color="auto" w:fill="auto"/>
            <w:noWrap/>
            <w:vAlign w:val="center"/>
          </w:tcPr>
          <w:p w14:paraId="51FE58EA" w14:textId="77777777" w:rsidR="00820C51" w:rsidRPr="00231EB1" w:rsidRDefault="00820C51" w:rsidP="00D30385">
            <w:pPr>
              <w:spacing w:after="0"/>
              <w:jc w:val="right"/>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0.004</w:t>
            </w:r>
          </w:p>
        </w:tc>
      </w:tr>
      <w:tr w:rsidR="00820C51" w:rsidRPr="00231EB1" w14:paraId="79A9B3E6" w14:textId="77777777" w:rsidTr="00486373">
        <w:trPr>
          <w:trHeight w:val="288"/>
        </w:trPr>
        <w:tc>
          <w:tcPr>
            <w:tcW w:w="2343" w:type="dxa"/>
            <w:vMerge/>
            <w:tcBorders>
              <w:left w:val="nil"/>
              <w:bottom w:val="nil"/>
              <w:right w:val="nil"/>
            </w:tcBorders>
            <w:shd w:val="clear" w:color="auto" w:fill="auto"/>
            <w:noWrap/>
            <w:vAlign w:val="center"/>
          </w:tcPr>
          <w:p w14:paraId="6932E289" w14:textId="77777777" w:rsidR="00820C51" w:rsidRPr="00231EB1" w:rsidRDefault="00820C51" w:rsidP="00D30385">
            <w:pPr>
              <w:spacing w:after="0"/>
              <w:rPr>
                <w:rFonts w:ascii="Times New Roman" w:eastAsia="Times New Roman" w:hAnsi="Times New Roman" w:cs="Times New Roman"/>
                <w:sz w:val="20"/>
                <w:szCs w:val="20"/>
                <w:lang w:val="en-US"/>
              </w:rPr>
            </w:pPr>
          </w:p>
        </w:tc>
        <w:tc>
          <w:tcPr>
            <w:tcW w:w="2902" w:type="dxa"/>
            <w:tcBorders>
              <w:top w:val="nil"/>
              <w:left w:val="nil"/>
              <w:bottom w:val="nil"/>
              <w:right w:val="nil"/>
            </w:tcBorders>
            <w:shd w:val="clear" w:color="auto" w:fill="auto"/>
            <w:noWrap/>
            <w:vAlign w:val="center"/>
          </w:tcPr>
          <w:p w14:paraId="60298A71"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≥10%</w:t>
            </w:r>
          </w:p>
        </w:tc>
        <w:tc>
          <w:tcPr>
            <w:tcW w:w="1276" w:type="dxa"/>
            <w:tcBorders>
              <w:top w:val="nil"/>
              <w:left w:val="nil"/>
              <w:bottom w:val="nil"/>
              <w:right w:val="nil"/>
            </w:tcBorders>
            <w:shd w:val="clear" w:color="auto" w:fill="auto"/>
            <w:noWrap/>
            <w:vAlign w:val="center"/>
          </w:tcPr>
          <w:p w14:paraId="34B107BD" w14:textId="77777777" w:rsidR="00820C51" w:rsidRPr="00231EB1" w:rsidRDefault="00820C51"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0.13</w:t>
            </w:r>
          </w:p>
        </w:tc>
        <w:tc>
          <w:tcPr>
            <w:tcW w:w="1362" w:type="dxa"/>
            <w:tcBorders>
              <w:top w:val="nil"/>
              <w:left w:val="nil"/>
              <w:bottom w:val="nil"/>
              <w:right w:val="nil"/>
            </w:tcBorders>
            <w:shd w:val="clear" w:color="auto" w:fill="auto"/>
            <w:noWrap/>
            <w:vAlign w:val="center"/>
          </w:tcPr>
          <w:p w14:paraId="0682ACB7" w14:textId="77777777" w:rsidR="00820C51" w:rsidRPr="00231EB1" w:rsidRDefault="00820C51"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0.10-0.17</w:t>
            </w:r>
          </w:p>
        </w:tc>
        <w:tc>
          <w:tcPr>
            <w:tcW w:w="1473" w:type="dxa"/>
            <w:tcBorders>
              <w:top w:val="nil"/>
              <w:left w:val="nil"/>
              <w:bottom w:val="nil"/>
              <w:right w:val="nil"/>
            </w:tcBorders>
            <w:shd w:val="clear" w:color="auto" w:fill="auto"/>
            <w:noWrap/>
            <w:vAlign w:val="center"/>
          </w:tcPr>
          <w:p w14:paraId="5E288DCB" w14:textId="77777777" w:rsidR="00820C51" w:rsidRPr="00231EB1" w:rsidRDefault="00820C51"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1.5 (1.0-2.1)</w:t>
            </w:r>
          </w:p>
        </w:tc>
        <w:tc>
          <w:tcPr>
            <w:tcW w:w="1275" w:type="dxa"/>
            <w:tcBorders>
              <w:top w:val="nil"/>
              <w:left w:val="nil"/>
              <w:bottom w:val="nil"/>
              <w:right w:val="nil"/>
            </w:tcBorders>
            <w:shd w:val="clear" w:color="auto" w:fill="auto"/>
            <w:noWrap/>
            <w:vAlign w:val="center"/>
          </w:tcPr>
          <w:p w14:paraId="54D4901E" w14:textId="77777777" w:rsidR="00820C51" w:rsidRPr="00231EB1" w:rsidRDefault="00820C51" w:rsidP="00D30385">
            <w:pPr>
              <w:spacing w:after="0"/>
              <w:jc w:val="right"/>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0.027</w:t>
            </w:r>
          </w:p>
        </w:tc>
      </w:tr>
      <w:tr w:rsidR="00820C51" w:rsidRPr="00231EB1" w14:paraId="529417BA" w14:textId="77777777" w:rsidTr="00486373">
        <w:trPr>
          <w:trHeight w:val="288"/>
        </w:trPr>
        <w:tc>
          <w:tcPr>
            <w:tcW w:w="2343" w:type="dxa"/>
            <w:vMerge w:val="restart"/>
            <w:tcBorders>
              <w:top w:val="nil"/>
              <w:left w:val="nil"/>
              <w:right w:val="nil"/>
            </w:tcBorders>
            <w:shd w:val="clear" w:color="auto" w:fill="auto"/>
            <w:noWrap/>
            <w:hideMark/>
          </w:tcPr>
          <w:p w14:paraId="7E67790F" w14:textId="77777777" w:rsidR="00820C51" w:rsidRPr="00231EB1" w:rsidRDefault="00820C51" w:rsidP="00D30385">
            <w:pPr>
              <w:spacing w:after="0"/>
              <w:rPr>
                <w:rFonts w:ascii="Times New Roman" w:eastAsia="Times New Roman" w:hAnsi="Times New Roman" w:cs="Times New Roman"/>
                <w:sz w:val="20"/>
                <w:szCs w:val="20"/>
                <w:vertAlign w:val="superscript"/>
                <w:lang w:val="en-US"/>
              </w:rPr>
            </w:pPr>
            <w:r w:rsidRPr="00231EB1">
              <w:rPr>
                <w:rFonts w:ascii="Times New Roman" w:eastAsia="Times New Roman" w:hAnsi="Times New Roman" w:cs="Times New Roman"/>
                <w:sz w:val="20"/>
                <w:szCs w:val="20"/>
                <w:lang w:val="en-US"/>
              </w:rPr>
              <w:t xml:space="preserve">Low-income families </w:t>
            </w:r>
            <w:r w:rsidRPr="00231EB1">
              <w:rPr>
                <w:rFonts w:ascii="Times New Roman" w:eastAsia="Times New Roman" w:hAnsi="Times New Roman" w:cs="Times New Roman"/>
                <w:sz w:val="20"/>
                <w:szCs w:val="20"/>
                <w:vertAlign w:val="superscript"/>
                <w:lang w:val="en-US"/>
              </w:rPr>
              <w:t>c</w:t>
            </w:r>
          </w:p>
        </w:tc>
        <w:tc>
          <w:tcPr>
            <w:tcW w:w="2902" w:type="dxa"/>
            <w:tcBorders>
              <w:top w:val="nil"/>
              <w:left w:val="nil"/>
              <w:bottom w:val="nil"/>
              <w:right w:val="nil"/>
            </w:tcBorders>
            <w:shd w:val="clear" w:color="auto" w:fill="auto"/>
            <w:noWrap/>
            <w:vAlign w:val="center"/>
            <w:hideMark/>
          </w:tcPr>
          <w:p w14:paraId="629C340D"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 xml:space="preserve">&lt;10% </w:t>
            </w:r>
          </w:p>
        </w:tc>
        <w:tc>
          <w:tcPr>
            <w:tcW w:w="1276" w:type="dxa"/>
            <w:tcBorders>
              <w:top w:val="nil"/>
              <w:left w:val="nil"/>
              <w:bottom w:val="nil"/>
              <w:right w:val="nil"/>
            </w:tcBorders>
            <w:shd w:val="clear" w:color="auto" w:fill="auto"/>
            <w:noWrap/>
            <w:vAlign w:val="center"/>
            <w:hideMark/>
          </w:tcPr>
          <w:p w14:paraId="1D85BD74" w14:textId="77777777" w:rsidR="00820C51" w:rsidRPr="00231EB1" w:rsidRDefault="00820C51"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0.27</w:t>
            </w:r>
          </w:p>
        </w:tc>
        <w:tc>
          <w:tcPr>
            <w:tcW w:w="1362" w:type="dxa"/>
            <w:tcBorders>
              <w:top w:val="nil"/>
              <w:left w:val="nil"/>
              <w:bottom w:val="nil"/>
              <w:right w:val="nil"/>
            </w:tcBorders>
            <w:shd w:val="clear" w:color="auto" w:fill="auto"/>
            <w:noWrap/>
            <w:vAlign w:val="center"/>
            <w:hideMark/>
          </w:tcPr>
          <w:p w14:paraId="2EC1BFBE" w14:textId="77777777" w:rsidR="00820C51" w:rsidRPr="00231EB1" w:rsidRDefault="00820C51"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0.22-0.32</w:t>
            </w:r>
          </w:p>
        </w:tc>
        <w:tc>
          <w:tcPr>
            <w:tcW w:w="1473" w:type="dxa"/>
            <w:tcBorders>
              <w:top w:val="nil"/>
              <w:left w:val="nil"/>
              <w:bottom w:val="nil"/>
              <w:right w:val="nil"/>
            </w:tcBorders>
            <w:shd w:val="clear" w:color="auto" w:fill="auto"/>
            <w:noWrap/>
            <w:vAlign w:val="center"/>
            <w:hideMark/>
          </w:tcPr>
          <w:p w14:paraId="59E5A321" w14:textId="77777777" w:rsidR="00820C51" w:rsidRPr="00231EB1" w:rsidRDefault="00820C51"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Reference</w:t>
            </w:r>
          </w:p>
        </w:tc>
        <w:tc>
          <w:tcPr>
            <w:tcW w:w="1275" w:type="dxa"/>
            <w:tcBorders>
              <w:top w:val="nil"/>
              <w:left w:val="nil"/>
              <w:bottom w:val="nil"/>
              <w:right w:val="nil"/>
            </w:tcBorders>
            <w:shd w:val="clear" w:color="auto" w:fill="auto"/>
            <w:noWrap/>
            <w:vAlign w:val="center"/>
            <w:hideMark/>
          </w:tcPr>
          <w:p w14:paraId="59B0114A" w14:textId="02C07E2E" w:rsidR="00820C51" w:rsidRPr="00231EB1" w:rsidRDefault="00820C51" w:rsidP="00D30385">
            <w:pPr>
              <w:spacing w:after="0"/>
              <w:jc w:val="right"/>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w:t>
            </w:r>
            <w:r w:rsidR="00E70E39">
              <w:rPr>
                <w:rFonts w:ascii="Times New Roman" w:eastAsia="Times New Roman" w:hAnsi="Times New Roman" w:cs="Times New Roman"/>
                <w:sz w:val="20"/>
                <w:szCs w:val="20"/>
                <w:lang w:val="en-US"/>
              </w:rPr>
              <w:t>6*</w:t>
            </w:r>
          </w:p>
        </w:tc>
      </w:tr>
      <w:tr w:rsidR="00820C51" w:rsidRPr="00231EB1" w14:paraId="5DE26A79" w14:textId="77777777" w:rsidTr="00486373">
        <w:trPr>
          <w:trHeight w:val="288"/>
        </w:trPr>
        <w:tc>
          <w:tcPr>
            <w:tcW w:w="2343" w:type="dxa"/>
            <w:vMerge/>
            <w:tcBorders>
              <w:left w:val="nil"/>
              <w:right w:val="nil"/>
            </w:tcBorders>
            <w:shd w:val="clear" w:color="auto" w:fill="auto"/>
            <w:noWrap/>
            <w:vAlign w:val="center"/>
            <w:hideMark/>
          </w:tcPr>
          <w:p w14:paraId="165F1E3A" w14:textId="77777777" w:rsidR="00820C51" w:rsidRPr="00231EB1" w:rsidRDefault="00820C51" w:rsidP="00D30385">
            <w:pPr>
              <w:spacing w:after="0"/>
              <w:jc w:val="right"/>
              <w:rPr>
                <w:rFonts w:ascii="Times New Roman" w:eastAsia="Times New Roman" w:hAnsi="Times New Roman" w:cs="Times New Roman"/>
                <w:sz w:val="20"/>
                <w:szCs w:val="20"/>
                <w:lang w:val="en-US"/>
              </w:rPr>
            </w:pPr>
          </w:p>
        </w:tc>
        <w:tc>
          <w:tcPr>
            <w:tcW w:w="2902" w:type="dxa"/>
            <w:tcBorders>
              <w:top w:val="nil"/>
              <w:left w:val="nil"/>
              <w:bottom w:val="nil"/>
              <w:right w:val="nil"/>
            </w:tcBorders>
            <w:shd w:val="clear" w:color="auto" w:fill="auto"/>
            <w:noWrap/>
            <w:vAlign w:val="center"/>
            <w:hideMark/>
          </w:tcPr>
          <w:p w14:paraId="5A1760E0" w14:textId="028F69B2"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10-</w:t>
            </w:r>
            <w:r w:rsidR="00632C67">
              <w:rPr>
                <w:rFonts w:ascii="Times New Roman" w:eastAsia="Times New Roman" w:hAnsi="Times New Roman" w:cs="Times New Roman"/>
                <w:sz w:val="20"/>
                <w:szCs w:val="20"/>
                <w:lang w:val="en-US"/>
              </w:rPr>
              <w:t>&lt;</w:t>
            </w:r>
            <w:r w:rsidRPr="00231EB1">
              <w:rPr>
                <w:rFonts w:ascii="Times New Roman" w:eastAsia="Times New Roman" w:hAnsi="Times New Roman" w:cs="Times New Roman"/>
                <w:sz w:val="20"/>
                <w:szCs w:val="20"/>
                <w:lang w:val="en-US"/>
              </w:rPr>
              <w:t xml:space="preserve">30% </w:t>
            </w:r>
          </w:p>
        </w:tc>
        <w:tc>
          <w:tcPr>
            <w:tcW w:w="1276" w:type="dxa"/>
            <w:tcBorders>
              <w:top w:val="nil"/>
              <w:left w:val="nil"/>
              <w:bottom w:val="nil"/>
              <w:right w:val="nil"/>
            </w:tcBorders>
            <w:shd w:val="clear" w:color="auto" w:fill="auto"/>
            <w:noWrap/>
            <w:vAlign w:val="center"/>
            <w:hideMark/>
          </w:tcPr>
          <w:p w14:paraId="4DEC47FE" w14:textId="77777777" w:rsidR="00820C51" w:rsidRPr="00231EB1" w:rsidRDefault="00820C51"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0.50</w:t>
            </w:r>
          </w:p>
        </w:tc>
        <w:tc>
          <w:tcPr>
            <w:tcW w:w="1362" w:type="dxa"/>
            <w:tcBorders>
              <w:top w:val="nil"/>
              <w:left w:val="nil"/>
              <w:bottom w:val="nil"/>
              <w:right w:val="nil"/>
            </w:tcBorders>
            <w:shd w:val="clear" w:color="auto" w:fill="auto"/>
            <w:noWrap/>
            <w:vAlign w:val="center"/>
            <w:hideMark/>
          </w:tcPr>
          <w:p w14:paraId="7C92B436" w14:textId="77777777" w:rsidR="00820C51" w:rsidRPr="00231EB1" w:rsidRDefault="00820C51"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0.68-0.78</w:t>
            </w:r>
          </w:p>
        </w:tc>
        <w:tc>
          <w:tcPr>
            <w:tcW w:w="1473" w:type="dxa"/>
            <w:tcBorders>
              <w:top w:val="nil"/>
              <w:left w:val="nil"/>
              <w:bottom w:val="nil"/>
              <w:right w:val="nil"/>
            </w:tcBorders>
            <w:shd w:val="clear" w:color="auto" w:fill="auto"/>
            <w:noWrap/>
            <w:vAlign w:val="center"/>
            <w:hideMark/>
          </w:tcPr>
          <w:p w14:paraId="23186CC3" w14:textId="77777777" w:rsidR="00820C51" w:rsidRPr="00231EB1" w:rsidRDefault="00820C51"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0.7 (0.5-0.1)</w:t>
            </w:r>
          </w:p>
        </w:tc>
        <w:tc>
          <w:tcPr>
            <w:tcW w:w="1275" w:type="dxa"/>
            <w:tcBorders>
              <w:top w:val="nil"/>
              <w:left w:val="nil"/>
              <w:bottom w:val="nil"/>
              <w:right w:val="nil"/>
            </w:tcBorders>
            <w:shd w:val="clear" w:color="auto" w:fill="auto"/>
            <w:noWrap/>
            <w:vAlign w:val="center"/>
            <w:hideMark/>
          </w:tcPr>
          <w:p w14:paraId="7B11331A" w14:textId="77777777" w:rsidR="00820C51" w:rsidRPr="00231EB1" w:rsidRDefault="00820C51" w:rsidP="00D30385">
            <w:pPr>
              <w:spacing w:after="0"/>
              <w:jc w:val="right"/>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0.06</w:t>
            </w:r>
          </w:p>
        </w:tc>
      </w:tr>
      <w:tr w:rsidR="00820C51" w:rsidRPr="00231EB1" w14:paraId="4B6D3A90" w14:textId="77777777" w:rsidTr="00486373">
        <w:trPr>
          <w:trHeight w:val="288"/>
        </w:trPr>
        <w:tc>
          <w:tcPr>
            <w:tcW w:w="2343" w:type="dxa"/>
            <w:vMerge/>
            <w:tcBorders>
              <w:left w:val="nil"/>
              <w:bottom w:val="nil"/>
              <w:right w:val="nil"/>
            </w:tcBorders>
            <w:shd w:val="clear" w:color="auto" w:fill="auto"/>
            <w:noWrap/>
            <w:vAlign w:val="center"/>
            <w:hideMark/>
          </w:tcPr>
          <w:p w14:paraId="521B91E0" w14:textId="77777777" w:rsidR="00820C51" w:rsidRPr="00231EB1" w:rsidRDefault="00820C51" w:rsidP="00D30385">
            <w:pPr>
              <w:spacing w:after="0"/>
              <w:rPr>
                <w:rFonts w:ascii="Times New Roman" w:eastAsia="Times New Roman" w:hAnsi="Times New Roman" w:cs="Times New Roman"/>
                <w:sz w:val="20"/>
                <w:szCs w:val="20"/>
                <w:lang w:val="en-US"/>
              </w:rPr>
            </w:pPr>
          </w:p>
        </w:tc>
        <w:tc>
          <w:tcPr>
            <w:tcW w:w="2902" w:type="dxa"/>
            <w:tcBorders>
              <w:top w:val="nil"/>
              <w:left w:val="nil"/>
              <w:bottom w:val="nil"/>
              <w:right w:val="nil"/>
            </w:tcBorders>
            <w:shd w:val="clear" w:color="auto" w:fill="auto"/>
            <w:noWrap/>
            <w:vAlign w:val="center"/>
            <w:hideMark/>
          </w:tcPr>
          <w:p w14:paraId="06B82A20"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 xml:space="preserve">≥30% </w:t>
            </w:r>
          </w:p>
        </w:tc>
        <w:tc>
          <w:tcPr>
            <w:tcW w:w="1276" w:type="dxa"/>
            <w:tcBorders>
              <w:top w:val="nil"/>
              <w:left w:val="nil"/>
              <w:bottom w:val="nil"/>
              <w:right w:val="nil"/>
            </w:tcBorders>
            <w:shd w:val="clear" w:color="auto" w:fill="auto"/>
            <w:noWrap/>
            <w:vAlign w:val="center"/>
            <w:hideMark/>
          </w:tcPr>
          <w:p w14:paraId="6234C8BE" w14:textId="77777777" w:rsidR="00820C51" w:rsidRPr="00231EB1" w:rsidRDefault="00820C51"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0.23</w:t>
            </w:r>
          </w:p>
        </w:tc>
        <w:tc>
          <w:tcPr>
            <w:tcW w:w="1362" w:type="dxa"/>
            <w:tcBorders>
              <w:top w:val="nil"/>
              <w:left w:val="nil"/>
              <w:bottom w:val="nil"/>
              <w:right w:val="nil"/>
            </w:tcBorders>
            <w:shd w:val="clear" w:color="auto" w:fill="auto"/>
            <w:noWrap/>
            <w:vAlign w:val="center"/>
            <w:hideMark/>
          </w:tcPr>
          <w:p w14:paraId="1E0606EE" w14:textId="77777777" w:rsidR="00820C51" w:rsidRPr="00231EB1" w:rsidRDefault="00820C51"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0.19-0.27</w:t>
            </w:r>
          </w:p>
        </w:tc>
        <w:tc>
          <w:tcPr>
            <w:tcW w:w="1473" w:type="dxa"/>
            <w:tcBorders>
              <w:top w:val="nil"/>
              <w:left w:val="nil"/>
              <w:bottom w:val="nil"/>
              <w:right w:val="nil"/>
            </w:tcBorders>
            <w:shd w:val="clear" w:color="auto" w:fill="auto"/>
            <w:noWrap/>
            <w:vAlign w:val="center"/>
            <w:hideMark/>
          </w:tcPr>
          <w:p w14:paraId="68448D22" w14:textId="77777777" w:rsidR="00820C51" w:rsidRPr="00231EB1" w:rsidRDefault="00820C51"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0.8 (0.5-0.2)</w:t>
            </w:r>
          </w:p>
        </w:tc>
        <w:tc>
          <w:tcPr>
            <w:tcW w:w="1275" w:type="dxa"/>
            <w:tcBorders>
              <w:top w:val="nil"/>
              <w:left w:val="nil"/>
              <w:bottom w:val="nil"/>
              <w:right w:val="nil"/>
            </w:tcBorders>
            <w:shd w:val="clear" w:color="auto" w:fill="auto"/>
            <w:noWrap/>
            <w:vAlign w:val="center"/>
            <w:hideMark/>
          </w:tcPr>
          <w:p w14:paraId="28E745CB" w14:textId="70A27CE0" w:rsidR="00820C51" w:rsidRPr="00231EB1" w:rsidRDefault="00820C51" w:rsidP="00D30385">
            <w:pPr>
              <w:spacing w:after="0"/>
              <w:jc w:val="right"/>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0.24</w:t>
            </w:r>
          </w:p>
        </w:tc>
      </w:tr>
      <w:tr w:rsidR="00820C51" w:rsidRPr="00231EB1" w14:paraId="4B4B105F" w14:textId="77777777" w:rsidTr="00486373">
        <w:trPr>
          <w:trHeight w:val="288"/>
        </w:trPr>
        <w:tc>
          <w:tcPr>
            <w:tcW w:w="2343" w:type="dxa"/>
            <w:vMerge w:val="restart"/>
            <w:tcBorders>
              <w:top w:val="nil"/>
              <w:left w:val="nil"/>
              <w:right w:val="nil"/>
            </w:tcBorders>
            <w:shd w:val="clear" w:color="auto" w:fill="auto"/>
            <w:noWrap/>
            <w:vAlign w:val="center"/>
            <w:hideMark/>
          </w:tcPr>
          <w:p w14:paraId="386C7A88"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Parents born overseas</w:t>
            </w:r>
          </w:p>
          <w:p w14:paraId="34A5938A"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(either parent)</w:t>
            </w:r>
          </w:p>
        </w:tc>
        <w:tc>
          <w:tcPr>
            <w:tcW w:w="2902" w:type="dxa"/>
            <w:tcBorders>
              <w:top w:val="nil"/>
              <w:left w:val="nil"/>
              <w:bottom w:val="nil"/>
              <w:right w:val="nil"/>
            </w:tcBorders>
            <w:shd w:val="clear" w:color="auto" w:fill="auto"/>
            <w:noWrap/>
            <w:vAlign w:val="center"/>
            <w:hideMark/>
          </w:tcPr>
          <w:p w14:paraId="4F19F0B2"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 xml:space="preserve">&lt;30% </w:t>
            </w:r>
          </w:p>
        </w:tc>
        <w:tc>
          <w:tcPr>
            <w:tcW w:w="1276" w:type="dxa"/>
            <w:tcBorders>
              <w:top w:val="nil"/>
              <w:left w:val="nil"/>
              <w:bottom w:val="nil"/>
              <w:right w:val="nil"/>
            </w:tcBorders>
            <w:shd w:val="clear" w:color="auto" w:fill="auto"/>
            <w:noWrap/>
            <w:vAlign w:val="center"/>
            <w:hideMark/>
          </w:tcPr>
          <w:p w14:paraId="3133B528" w14:textId="77777777" w:rsidR="00820C51" w:rsidRPr="00231EB1" w:rsidRDefault="00820C51"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0.68</w:t>
            </w:r>
          </w:p>
        </w:tc>
        <w:tc>
          <w:tcPr>
            <w:tcW w:w="1362" w:type="dxa"/>
            <w:tcBorders>
              <w:top w:val="nil"/>
              <w:left w:val="nil"/>
              <w:bottom w:val="nil"/>
              <w:right w:val="nil"/>
            </w:tcBorders>
            <w:shd w:val="clear" w:color="auto" w:fill="auto"/>
            <w:noWrap/>
            <w:vAlign w:val="center"/>
            <w:hideMark/>
          </w:tcPr>
          <w:p w14:paraId="27B986DD" w14:textId="77777777" w:rsidR="00820C51" w:rsidRPr="00231EB1" w:rsidRDefault="00820C51"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0.63-0.73</w:t>
            </w:r>
          </w:p>
        </w:tc>
        <w:tc>
          <w:tcPr>
            <w:tcW w:w="1473" w:type="dxa"/>
            <w:tcBorders>
              <w:top w:val="nil"/>
              <w:left w:val="nil"/>
              <w:bottom w:val="nil"/>
              <w:right w:val="nil"/>
            </w:tcBorders>
            <w:shd w:val="clear" w:color="auto" w:fill="auto"/>
            <w:noWrap/>
            <w:vAlign w:val="center"/>
            <w:hideMark/>
          </w:tcPr>
          <w:p w14:paraId="1377A321" w14:textId="77777777" w:rsidR="00820C51" w:rsidRPr="00231EB1" w:rsidRDefault="00820C51"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Reference</w:t>
            </w:r>
          </w:p>
        </w:tc>
        <w:tc>
          <w:tcPr>
            <w:tcW w:w="1275" w:type="dxa"/>
            <w:tcBorders>
              <w:top w:val="nil"/>
              <w:left w:val="nil"/>
              <w:bottom w:val="nil"/>
              <w:right w:val="nil"/>
            </w:tcBorders>
            <w:shd w:val="clear" w:color="auto" w:fill="auto"/>
            <w:noWrap/>
            <w:vAlign w:val="center"/>
            <w:hideMark/>
          </w:tcPr>
          <w:p w14:paraId="6FB9F078" w14:textId="77777777" w:rsidR="00820C51" w:rsidRPr="00231EB1" w:rsidRDefault="00820C51" w:rsidP="00D30385">
            <w:pPr>
              <w:spacing w:after="0"/>
              <w:jc w:val="right"/>
              <w:rPr>
                <w:rFonts w:ascii="Times New Roman" w:eastAsia="Times New Roman" w:hAnsi="Times New Roman" w:cs="Times New Roman"/>
                <w:sz w:val="20"/>
                <w:szCs w:val="20"/>
                <w:lang w:val="en-US"/>
              </w:rPr>
            </w:pPr>
          </w:p>
        </w:tc>
      </w:tr>
      <w:tr w:rsidR="00820C51" w:rsidRPr="00231EB1" w14:paraId="79968FA3" w14:textId="77777777" w:rsidTr="00486373">
        <w:trPr>
          <w:trHeight w:val="288"/>
        </w:trPr>
        <w:tc>
          <w:tcPr>
            <w:tcW w:w="2343" w:type="dxa"/>
            <w:vMerge/>
            <w:tcBorders>
              <w:left w:val="nil"/>
              <w:right w:val="nil"/>
            </w:tcBorders>
            <w:shd w:val="clear" w:color="auto" w:fill="auto"/>
            <w:noWrap/>
            <w:vAlign w:val="center"/>
            <w:hideMark/>
          </w:tcPr>
          <w:p w14:paraId="19BFF231" w14:textId="77777777" w:rsidR="00820C51" w:rsidRPr="00231EB1" w:rsidRDefault="00820C51" w:rsidP="00D30385">
            <w:pPr>
              <w:spacing w:after="0"/>
              <w:rPr>
                <w:rFonts w:ascii="Times New Roman" w:eastAsia="Times New Roman" w:hAnsi="Times New Roman" w:cs="Times New Roman"/>
                <w:sz w:val="20"/>
                <w:szCs w:val="20"/>
                <w:lang w:val="en-US"/>
              </w:rPr>
            </w:pPr>
          </w:p>
        </w:tc>
        <w:tc>
          <w:tcPr>
            <w:tcW w:w="2902" w:type="dxa"/>
            <w:tcBorders>
              <w:top w:val="nil"/>
              <w:left w:val="nil"/>
              <w:right w:val="nil"/>
            </w:tcBorders>
            <w:shd w:val="clear" w:color="auto" w:fill="auto"/>
            <w:noWrap/>
            <w:vAlign w:val="center"/>
            <w:hideMark/>
          </w:tcPr>
          <w:p w14:paraId="73BB07EE"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 xml:space="preserve">≥30% </w:t>
            </w:r>
          </w:p>
        </w:tc>
        <w:tc>
          <w:tcPr>
            <w:tcW w:w="1276" w:type="dxa"/>
            <w:tcBorders>
              <w:top w:val="nil"/>
              <w:left w:val="nil"/>
              <w:right w:val="nil"/>
            </w:tcBorders>
            <w:shd w:val="clear" w:color="auto" w:fill="auto"/>
            <w:noWrap/>
            <w:vAlign w:val="center"/>
            <w:hideMark/>
          </w:tcPr>
          <w:p w14:paraId="692C3643" w14:textId="77777777" w:rsidR="00820C51" w:rsidRPr="00231EB1" w:rsidRDefault="00820C51"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0.32</w:t>
            </w:r>
          </w:p>
        </w:tc>
        <w:tc>
          <w:tcPr>
            <w:tcW w:w="1362" w:type="dxa"/>
            <w:tcBorders>
              <w:top w:val="nil"/>
              <w:left w:val="nil"/>
              <w:right w:val="nil"/>
            </w:tcBorders>
            <w:shd w:val="clear" w:color="auto" w:fill="auto"/>
            <w:noWrap/>
            <w:vAlign w:val="center"/>
            <w:hideMark/>
          </w:tcPr>
          <w:p w14:paraId="602A8B78" w14:textId="77777777" w:rsidR="00820C51" w:rsidRPr="00231EB1" w:rsidRDefault="00820C51"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0.27-0.37</w:t>
            </w:r>
          </w:p>
        </w:tc>
        <w:tc>
          <w:tcPr>
            <w:tcW w:w="1473" w:type="dxa"/>
            <w:tcBorders>
              <w:top w:val="nil"/>
              <w:left w:val="nil"/>
              <w:right w:val="nil"/>
            </w:tcBorders>
            <w:shd w:val="clear" w:color="auto" w:fill="auto"/>
            <w:noWrap/>
            <w:vAlign w:val="center"/>
            <w:hideMark/>
          </w:tcPr>
          <w:p w14:paraId="5B356058" w14:textId="77777777" w:rsidR="00820C51" w:rsidRPr="00231EB1" w:rsidRDefault="00820C51"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0.7 (0.5-1.0)</w:t>
            </w:r>
          </w:p>
        </w:tc>
        <w:tc>
          <w:tcPr>
            <w:tcW w:w="1275" w:type="dxa"/>
            <w:tcBorders>
              <w:top w:val="nil"/>
              <w:left w:val="nil"/>
              <w:right w:val="nil"/>
            </w:tcBorders>
            <w:shd w:val="clear" w:color="auto" w:fill="auto"/>
            <w:noWrap/>
            <w:vAlign w:val="center"/>
            <w:hideMark/>
          </w:tcPr>
          <w:p w14:paraId="29BE036F" w14:textId="3D1F30DE" w:rsidR="00820C51" w:rsidRPr="00231EB1" w:rsidRDefault="00820C51" w:rsidP="00D30385">
            <w:pPr>
              <w:spacing w:after="0"/>
              <w:jc w:val="right"/>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0.0</w:t>
            </w:r>
            <w:r w:rsidR="00E70E39">
              <w:rPr>
                <w:rFonts w:ascii="Times New Roman" w:eastAsia="Times New Roman" w:hAnsi="Times New Roman" w:cs="Times New Roman"/>
                <w:sz w:val="20"/>
                <w:szCs w:val="20"/>
                <w:lang w:val="en-US"/>
              </w:rPr>
              <w:t>4</w:t>
            </w:r>
            <w:r w:rsidRPr="00231EB1">
              <w:rPr>
                <w:rFonts w:ascii="Times New Roman" w:eastAsia="Times New Roman" w:hAnsi="Times New Roman" w:cs="Times New Roman"/>
                <w:sz w:val="20"/>
                <w:szCs w:val="20"/>
                <w:lang w:val="en-US"/>
              </w:rPr>
              <w:t>5</w:t>
            </w:r>
          </w:p>
        </w:tc>
      </w:tr>
      <w:tr w:rsidR="00820C51" w:rsidRPr="00231EB1" w14:paraId="1DAC31D2" w14:textId="77777777" w:rsidTr="00486373">
        <w:trPr>
          <w:trHeight w:val="288"/>
        </w:trPr>
        <w:tc>
          <w:tcPr>
            <w:tcW w:w="2343" w:type="dxa"/>
            <w:tcBorders>
              <w:top w:val="nil"/>
              <w:left w:val="nil"/>
              <w:bottom w:val="nil"/>
              <w:right w:val="nil"/>
            </w:tcBorders>
            <w:shd w:val="clear" w:color="auto" w:fill="auto"/>
            <w:noWrap/>
            <w:vAlign w:val="center"/>
            <w:hideMark/>
          </w:tcPr>
          <w:p w14:paraId="20116A03"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 xml:space="preserve">Sex </w:t>
            </w:r>
          </w:p>
        </w:tc>
        <w:tc>
          <w:tcPr>
            <w:tcW w:w="2902" w:type="dxa"/>
            <w:tcBorders>
              <w:top w:val="nil"/>
              <w:left w:val="nil"/>
              <w:bottom w:val="nil"/>
              <w:right w:val="nil"/>
            </w:tcBorders>
            <w:shd w:val="clear" w:color="auto" w:fill="auto"/>
            <w:noWrap/>
            <w:vAlign w:val="center"/>
            <w:hideMark/>
          </w:tcPr>
          <w:p w14:paraId="571CAA10"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&lt;57% male</w:t>
            </w:r>
          </w:p>
        </w:tc>
        <w:tc>
          <w:tcPr>
            <w:tcW w:w="1276" w:type="dxa"/>
            <w:tcBorders>
              <w:top w:val="nil"/>
              <w:left w:val="nil"/>
              <w:bottom w:val="nil"/>
              <w:right w:val="nil"/>
            </w:tcBorders>
            <w:shd w:val="clear" w:color="auto" w:fill="auto"/>
            <w:noWrap/>
            <w:vAlign w:val="center"/>
            <w:hideMark/>
          </w:tcPr>
          <w:p w14:paraId="01B511C4" w14:textId="77777777" w:rsidR="00820C51" w:rsidRPr="00231EB1" w:rsidRDefault="00820C51"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0.72</w:t>
            </w:r>
          </w:p>
        </w:tc>
        <w:tc>
          <w:tcPr>
            <w:tcW w:w="1362" w:type="dxa"/>
            <w:tcBorders>
              <w:top w:val="nil"/>
              <w:left w:val="nil"/>
              <w:bottom w:val="nil"/>
              <w:right w:val="nil"/>
            </w:tcBorders>
            <w:shd w:val="clear" w:color="auto" w:fill="auto"/>
            <w:noWrap/>
            <w:vAlign w:val="center"/>
            <w:hideMark/>
          </w:tcPr>
          <w:p w14:paraId="1A77398A" w14:textId="77777777" w:rsidR="00820C51" w:rsidRPr="00231EB1" w:rsidRDefault="00820C51"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0.67-0.76</w:t>
            </w:r>
          </w:p>
        </w:tc>
        <w:tc>
          <w:tcPr>
            <w:tcW w:w="1473" w:type="dxa"/>
            <w:tcBorders>
              <w:top w:val="nil"/>
              <w:left w:val="nil"/>
              <w:bottom w:val="nil"/>
              <w:right w:val="nil"/>
            </w:tcBorders>
            <w:shd w:val="clear" w:color="auto" w:fill="auto"/>
            <w:noWrap/>
            <w:vAlign w:val="center"/>
            <w:hideMark/>
          </w:tcPr>
          <w:p w14:paraId="6AE7127D" w14:textId="77777777" w:rsidR="00820C51" w:rsidRPr="00231EB1" w:rsidRDefault="00820C51"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Reference</w:t>
            </w:r>
          </w:p>
        </w:tc>
        <w:tc>
          <w:tcPr>
            <w:tcW w:w="1275" w:type="dxa"/>
            <w:tcBorders>
              <w:top w:val="nil"/>
              <w:left w:val="nil"/>
              <w:bottom w:val="nil"/>
              <w:right w:val="nil"/>
            </w:tcBorders>
            <w:shd w:val="clear" w:color="auto" w:fill="auto"/>
            <w:noWrap/>
            <w:vAlign w:val="center"/>
            <w:hideMark/>
          </w:tcPr>
          <w:p w14:paraId="3DBD2E76" w14:textId="77777777" w:rsidR="00820C51" w:rsidRPr="00231EB1" w:rsidRDefault="00820C51" w:rsidP="00D30385">
            <w:pPr>
              <w:spacing w:after="0"/>
              <w:jc w:val="right"/>
              <w:rPr>
                <w:rFonts w:ascii="Times New Roman" w:eastAsia="Times New Roman" w:hAnsi="Times New Roman" w:cs="Times New Roman"/>
                <w:sz w:val="20"/>
                <w:szCs w:val="20"/>
                <w:lang w:val="en-US"/>
              </w:rPr>
            </w:pPr>
          </w:p>
        </w:tc>
      </w:tr>
      <w:tr w:rsidR="00820C51" w:rsidRPr="00231EB1" w14:paraId="6003D5D9" w14:textId="77777777" w:rsidTr="00486373">
        <w:trPr>
          <w:trHeight w:val="288"/>
        </w:trPr>
        <w:tc>
          <w:tcPr>
            <w:tcW w:w="2343" w:type="dxa"/>
            <w:tcBorders>
              <w:top w:val="nil"/>
              <w:left w:val="nil"/>
              <w:right w:val="nil"/>
            </w:tcBorders>
            <w:shd w:val="clear" w:color="auto" w:fill="auto"/>
            <w:noWrap/>
            <w:vAlign w:val="center"/>
            <w:hideMark/>
          </w:tcPr>
          <w:p w14:paraId="72000DAB" w14:textId="77777777" w:rsidR="00820C51" w:rsidRPr="00231EB1" w:rsidRDefault="00820C51" w:rsidP="00D30385">
            <w:pPr>
              <w:spacing w:after="0"/>
              <w:rPr>
                <w:rFonts w:ascii="Times New Roman" w:eastAsia="Times New Roman" w:hAnsi="Times New Roman" w:cs="Times New Roman"/>
                <w:sz w:val="20"/>
                <w:szCs w:val="20"/>
                <w:lang w:val="en-US"/>
              </w:rPr>
            </w:pPr>
          </w:p>
        </w:tc>
        <w:tc>
          <w:tcPr>
            <w:tcW w:w="2902" w:type="dxa"/>
            <w:tcBorders>
              <w:top w:val="nil"/>
              <w:left w:val="nil"/>
              <w:right w:val="nil"/>
            </w:tcBorders>
            <w:shd w:val="clear" w:color="auto" w:fill="auto"/>
            <w:noWrap/>
            <w:vAlign w:val="center"/>
            <w:hideMark/>
          </w:tcPr>
          <w:p w14:paraId="071944CC"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≥57% male</w:t>
            </w:r>
          </w:p>
        </w:tc>
        <w:tc>
          <w:tcPr>
            <w:tcW w:w="1276" w:type="dxa"/>
            <w:tcBorders>
              <w:top w:val="nil"/>
              <w:left w:val="nil"/>
              <w:right w:val="nil"/>
            </w:tcBorders>
            <w:shd w:val="clear" w:color="auto" w:fill="auto"/>
            <w:noWrap/>
            <w:vAlign w:val="center"/>
            <w:hideMark/>
          </w:tcPr>
          <w:p w14:paraId="6F70FA55" w14:textId="77777777" w:rsidR="00820C51" w:rsidRPr="00231EB1" w:rsidRDefault="00820C51"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0.28</w:t>
            </w:r>
          </w:p>
        </w:tc>
        <w:tc>
          <w:tcPr>
            <w:tcW w:w="1362" w:type="dxa"/>
            <w:tcBorders>
              <w:top w:val="nil"/>
              <w:left w:val="nil"/>
              <w:right w:val="nil"/>
            </w:tcBorders>
            <w:shd w:val="clear" w:color="auto" w:fill="auto"/>
            <w:noWrap/>
            <w:vAlign w:val="center"/>
            <w:hideMark/>
          </w:tcPr>
          <w:p w14:paraId="5C407FDF" w14:textId="77777777" w:rsidR="00820C51" w:rsidRPr="00231EB1" w:rsidRDefault="00820C51"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0.24-0.33</w:t>
            </w:r>
          </w:p>
        </w:tc>
        <w:tc>
          <w:tcPr>
            <w:tcW w:w="1473" w:type="dxa"/>
            <w:tcBorders>
              <w:top w:val="nil"/>
              <w:left w:val="nil"/>
              <w:right w:val="nil"/>
            </w:tcBorders>
            <w:shd w:val="clear" w:color="auto" w:fill="auto"/>
            <w:noWrap/>
            <w:vAlign w:val="center"/>
            <w:hideMark/>
          </w:tcPr>
          <w:p w14:paraId="3176648E" w14:textId="77777777" w:rsidR="00820C51" w:rsidRPr="00231EB1" w:rsidRDefault="00820C51"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0.9 (0.6-1.2)</w:t>
            </w:r>
          </w:p>
        </w:tc>
        <w:tc>
          <w:tcPr>
            <w:tcW w:w="1275" w:type="dxa"/>
            <w:tcBorders>
              <w:top w:val="nil"/>
              <w:left w:val="nil"/>
              <w:right w:val="nil"/>
            </w:tcBorders>
            <w:shd w:val="clear" w:color="auto" w:fill="auto"/>
            <w:noWrap/>
            <w:vAlign w:val="center"/>
            <w:hideMark/>
          </w:tcPr>
          <w:p w14:paraId="25FC6D8F" w14:textId="6430BF13" w:rsidR="00820C51" w:rsidRPr="00231EB1" w:rsidRDefault="00820C51" w:rsidP="00D30385">
            <w:pPr>
              <w:spacing w:after="0"/>
              <w:jc w:val="right"/>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0.46</w:t>
            </w:r>
          </w:p>
        </w:tc>
      </w:tr>
      <w:tr w:rsidR="00486373" w:rsidRPr="00231EB1" w14:paraId="5CAF5534" w14:textId="77777777" w:rsidTr="00486373">
        <w:trPr>
          <w:trHeight w:val="288"/>
        </w:trPr>
        <w:tc>
          <w:tcPr>
            <w:tcW w:w="2343" w:type="dxa"/>
            <w:vMerge w:val="restart"/>
            <w:tcBorders>
              <w:left w:val="nil"/>
              <w:right w:val="nil"/>
            </w:tcBorders>
            <w:shd w:val="clear" w:color="auto" w:fill="auto"/>
            <w:noWrap/>
            <w:vAlign w:val="center"/>
            <w:hideMark/>
          </w:tcPr>
          <w:p w14:paraId="0E2FC9F1" w14:textId="77777777" w:rsidR="00486373" w:rsidRPr="00231EB1" w:rsidRDefault="00486373"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Single parent, not employed</w:t>
            </w:r>
          </w:p>
        </w:tc>
        <w:tc>
          <w:tcPr>
            <w:tcW w:w="2902" w:type="dxa"/>
            <w:tcBorders>
              <w:left w:val="nil"/>
              <w:right w:val="nil"/>
            </w:tcBorders>
            <w:shd w:val="clear" w:color="auto" w:fill="auto"/>
            <w:noWrap/>
            <w:vAlign w:val="center"/>
            <w:hideMark/>
          </w:tcPr>
          <w:p w14:paraId="5A62C970" w14:textId="5B86E81A" w:rsidR="00486373" w:rsidRPr="00231EB1" w:rsidRDefault="00486373" w:rsidP="00D30385">
            <w:pPr>
              <w:spacing w:after="0"/>
              <w:ind w:right="-814"/>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&lt;20% single parent not employed</w:t>
            </w:r>
          </w:p>
        </w:tc>
        <w:tc>
          <w:tcPr>
            <w:tcW w:w="1276" w:type="dxa"/>
            <w:tcBorders>
              <w:left w:val="nil"/>
              <w:right w:val="nil"/>
            </w:tcBorders>
            <w:shd w:val="clear" w:color="auto" w:fill="auto"/>
            <w:noWrap/>
            <w:vAlign w:val="center"/>
            <w:hideMark/>
          </w:tcPr>
          <w:p w14:paraId="1AD6B1F2" w14:textId="77777777" w:rsidR="00486373" w:rsidRPr="00231EB1" w:rsidRDefault="00486373"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0.92</w:t>
            </w:r>
          </w:p>
        </w:tc>
        <w:tc>
          <w:tcPr>
            <w:tcW w:w="1362" w:type="dxa"/>
            <w:tcBorders>
              <w:left w:val="nil"/>
              <w:right w:val="nil"/>
            </w:tcBorders>
            <w:shd w:val="clear" w:color="auto" w:fill="auto"/>
            <w:noWrap/>
            <w:vAlign w:val="center"/>
            <w:hideMark/>
          </w:tcPr>
          <w:p w14:paraId="397545BD" w14:textId="77777777" w:rsidR="00486373" w:rsidRPr="00231EB1" w:rsidRDefault="00486373"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0.89-0.94</w:t>
            </w:r>
          </w:p>
        </w:tc>
        <w:tc>
          <w:tcPr>
            <w:tcW w:w="1473" w:type="dxa"/>
            <w:tcBorders>
              <w:left w:val="nil"/>
              <w:right w:val="nil"/>
            </w:tcBorders>
            <w:shd w:val="clear" w:color="auto" w:fill="auto"/>
            <w:noWrap/>
            <w:vAlign w:val="center"/>
            <w:hideMark/>
          </w:tcPr>
          <w:p w14:paraId="63013FAC" w14:textId="77777777" w:rsidR="00486373" w:rsidRPr="00231EB1" w:rsidRDefault="00486373"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Reference</w:t>
            </w:r>
          </w:p>
        </w:tc>
        <w:tc>
          <w:tcPr>
            <w:tcW w:w="1275" w:type="dxa"/>
            <w:tcBorders>
              <w:left w:val="nil"/>
              <w:right w:val="nil"/>
            </w:tcBorders>
            <w:shd w:val="clear" w:color="auto" w:fill="auto"/>
            <w:noWrap/>
            <w:vAlign w:val="center"/>
            <w:hideMark/>
          </w:tcPr>
          <w:p w14:paraId="41F4856C" w14:textId="77777777" w:rsidR="00486373" w:rsidRPr="00231EB1" w:rsidRDefault="00486373" w:rsidP="00D30385">
            <w:pPr>
              <w:spacing w:after="0"/>
              <w:jc w:val="right"/>
              <w:rPr>
                <w:rFonts w:ascii="Times New Roman" w:eastAsia="Times New Roman" w:hAnsi="Times New Roman" w:cs="Times New Roman"/>
                <w:sz w:val="20"/>
                <w:szCs w:val="20"/>
                <w:lang w:val="en-US"/>
              </w:rPr>
            </w:pPr>
          </w:p>
        </w:tc>
      </w:tr>
      <w:tr w:rsidR="00486373" w:rsidRPr="00231EB1" w14:paraId="733059BE" w14:textId="77777777" w:rsidTr="00486373">
        <w:trPr>
          <w:trHeight w:val="288"/>
        </w:trPr>
        <w:tc>
          <w:tcPr>
            <w:tcW w:w="2343" w:type="dxa"/>
            <w:vMerge/>
            <w:tcBorders>
              <w:left w:val="nil"/>
              <w:right w:val="nil"/>
            </w:tcBorders>
            <w:shd w:val="clear" w:color="auto" w:fill="auto"/>
            <w:noWrap/>
            <w:vAlign w:val="center"/>
            <w:hideMark/>
          </w:tcPr>
          <w:p w14:paraId="4D6484FB" w14:textId="77777777" w:rsidR="00486373" w:rsidRPr="00231EB1" w:rsidRDefault="00486373" w:rsidP="00D30385">
            <w:pPr>
              <w:spacing w:after="0"/>
              <w:rPr>
                <w:rFonts w:ascii="Times New Roman" w:eastAsia="Times New Roman" w:hAnsi="Times New Roman" w:cs="Times New Roman"/>
                <w:sz w:val="20"/>
                <w:szCs w:val="20"/>
                <w:lang w:val="en-US"/>
              </w:rPr>
            </w:pPr>
          </w:p>
        </w:tc>
        <w:tc>
          <w:tcPr>
            <w:tcW w:w="2902" w:type="dxa"/>
            <w:tcBorders>
              <w:left w:val="nil"/>
              <w:right w:val="nil"/>
            </w:tcBorders>
            <w:shd w:val="clear" w:color="auto" w:fill="auto"/>
            <w:noWrap/>
            <w:vAlign w:val="center"/>
            <w:hideMark/>
          </w:tcPr>
          <w:p w14:paraId="244E69E7" w14:textId="77777777" w:rsidR="00486373" w:rsidRPr="00231EB1" w:rsidRDefault="00486373" w:rsidP="00D30385">
            <w:pPr>
              <w:spacing w:after="0"/>
              <w:ind w:right="-105"/>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≥20% single parent, not employed</w:t>
            </w:r>
          </w:p>
        </w:tc>
        <w:tc>
          <w:tcPr>
            <w:tcW w:w="1276" w:type="dxa"/>
            <w:tcBorders>
              <w:left w:val="nil"/>
              <w:right w:val="nil"/>
            </w:tcBorders>
            <w:shd w:val="clear" w:color="auto" w:fill="auto"/>
            <w:noWrap/>
            <w:vAlign w:val="center"/>
            <w:hideMark/>
          </w:tcPr>
          <w:p w14:paraId="6F4178CA" w14:textId="77777777" w:rsidR="00486373" w:rsidRPr="00231EB1" w:rsidRDefault="00486373"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0.08</w:t>
            </w:r>
          </w:p>
        </w:tc>
        <w:tc>
          <w:tcPr>
            <w:tcW w:w="1362" w:type="dxa"/>
            <w:tcBorders>
              <w:left w:val="nil"/>
              <w:right w:val="nil"/>
            </w:tcBorders>
            <w:shd w:val="clear" w:color="auto" w:fill="auto"/>
            <w:noWrap/>
            <w:vAlign w:val="center"/>
            <w:hideMark/>
          </w:tcPr>
          <w:p w14:paraId="3DC3CE3A" w14:textId="77777777" w:rsidR="00486373" w:rsidRPr="00231EB1" w:rsidRDefault="00486373"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0.06-0.11</w:t>
            </w:r>
          </w:p>
        </w:tc>
        <w:tc>
          <w:tcPr>
            <w:tcW w:w="1473" w:type="dxa"/>
            <w:tcBorders>
              <w:left w:val="nil"/>
              <w:right w:val="nil"/>
            </w:tcBorders>
            <w:shd w:val="clear" w:color="auto" w:fill="auto"/>
            <w:noWrap/>
            <w:vAlign w:val="center"/>
            <w:hideMark/>
          </w:tcPr>
          <w:p w14:paraId="1BCB4FD4" w14:textId="77777777" w:rsidR="00486373" w:rsidRPr="00231EB1" w:rsidRDefault="00486373"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1.8 (1.2-2.8)</w:t>
            </w:r>
          </w:p>
        </w:tc>
        <w:tc>
          <w:tcPr>
            <w:tcW w:w="1275" w:type="dxa"/>
            <w:tcBorders>
              <w:left w:val="nil"/>
              <w:right w:val="nil"/>
            </w:tcBorders>
            <w:shd w:val="clear" w:color="auto" w:fill="auto"/>
            <w:noWrap/>
            <w:vAlign w:val="center"/>
            <w:hideMark/>
          </w:tcPr>
          <w:p w14:paraId="61C239CD" w14:textId="4E4881C9" w:rsidR="00486373" w:rsidRPr="00231EB1" w:rsidRDefault="00486373" w:rsidP="00D30385">
            <w:pPr>
              <w:spacing w:after="0"/>
              <w:jc w:val="right"/>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0.0</w:t>
            </w:r>
            <w:r w:rsidR="00E70E39">
              <w:rPr>
                <w:rFonts w:ascii="Times New Roman" w:eastAsia="Times New Roman" w:hAnsi="Times New Roman" w:cs="Times New Roman"/>
                <w:sz w:val="20"/>
                <w:szCs w:val="20"/>
                <w:lang w:val="en-US"/>
              </w:rPr>
              <w:t>0</w:t>
            </w:r>
            <w:r w:rsidR="00B178FA">
              <w:rPr>
                <w:rFonts w:ascii="Times New Roman" w:eastAsia="Times New Roman" w:hAnsi="Times New Roman" w:cs="Times New Roman"/>
                <w:sz w:val="20"/>
                <w:szCs w:val="20"/>
                <w:lang w:val="en-US"/>
              </w:rPr>
              <w:t>6</w:t>
            </w:r>
          </w:p>
        </w:tc>
      </w:tr>
      <w:tr w:rsidR="00820C51" w:rsidRPr="00231EB1" w14:paraId="4E1F6D35" w14:textId="77777777" w:rsidTr="00486373">
        <w:trPr>
          <w:trHeight w:val="288"/>
        </w:trPr>
        <w:tc>
          <w:tcPr>
            <w:tcW w:w="2343" w:type="dxa"/>
            <w:tcBorders>
              <w:top w:val="nil"/>
              <w:left w:val="nil"/>
              <w:right w:val="nil"/>
            </w:tcBorders>
            <w:shd w:val="clear" w:color="auto" w:fill="auto"/>
            <w:noWrap/>
            <w:vAlign w:val="center"/>
            <w:hideMark/>
          </w:tcPr>
          <w:p w14:paraId="20EFB9EC" w14:textId="77777777" w:rsidR="00820C51" w:rsidRPr="00231EB1" w:rsidRDefault="00820C51" w:rsidP="00D30385">
            <w:pPr>
              <w:spacing w:after="0"/>
              <w:rPr>
                <w:rFonts w:ascii="Times New Roman" w:eastAsia="Times New Roman" w:hAnsi="Times New Roman" w:cs="Times New Roman"/>
                <w:sz w:val="20"/>
                <w:szCs w:val="20"/>
                <w:vertAlign w:val="superscript"/>
                <w:lang w:val="en-US"/>
              </w:rPr>
            </w:pPr>
            <w:r w:rsidRPr="00231EB1">
              <w:rPr>
                <w:rFonts w:ascii="Times New Roman" w:eastAsia="Times New Roman" w:hAnsi="Times New Roman" w:cs="Times New Roman"/>
                <w:sz w:val="20"/>
                <w:szCs w:val="20"/>
                <w:lang w:val="en-US"/>
              </w:rPr>
              <w:t xml:space="preserve">Blended family </w:t>
            </w:r>
            <w:r w:rsidRPr="00231EB1">
              <w:rPr>
                <w:rFonts w:ascii="Times New Roman" w:eastAsia="Times New Roman" w:hAnsi="Times New Roman" w:cs="Times New Roman"/>
                <w:sz w:val="20"/>
                <w:szCs w:val="20"/>
                <w:vertAlign w:val="superscript"/>
                <w:lang w:val="en-US"/>
              </w:rPr>
              <w:t>d</w:t>
            </w:r>
          </w:p>
        </w:tc>
        <w:tc>
          <w:tcPr>
            <w:tcW w:w="2902" w:type="dxa"/>
            <w:tcBorders>
              <w:top w:val="nil"/>
              <w:left w:val="nil"/>
              <w:right w:val="nil"/>
            </w:tcBorders>
            <w:shd w:val="clear" w:color="auto" w:fill="auto"/>
            <w:noWrap/>
            <w:vAlign w:val="center"/>
            <w:hideMark/>
          </w:tcPr>
          <w:p w14:paraId="27BC5BCB"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&lt;10%</w:t>
            </w:r>
          </w:p>
        </w:tc>
        <w:tc>
          <w:tcPr>
            <w:tcW w:w="1276" w:type="dxa"/>
            <w:tcBorders>
              <w:top w:val="nil"/>
              <w:left w:val="nil"/>
              <w:right w:val="nil"/>
            </w:tcBorders>
            <w:shd w:val="clear" w:color="auto" w:fill="auto"/>
            <w:noWrap/>
            <w:vAlign w:val="center"/>
            <w:hideMark/>
          </w:tcPr>
          <w:p w14:paraId="001A320C" w14:textId="77777777" w:rsidR="00820C51" w:rsidRPr="00231EB1" w:rsidRDefault="00820C51"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0.76</w:t>
            </w:r>
          </w:p>
        </w:tc>
        <w:tc>
          <w:tcPr>
            <w:tcW w:w="1362" w:type="dxa"/>
            <w:tcBorders>
              <w:top w:val="nil"/>
              <w:left w:val="nil"/>
              <w:right w:val="nil"/>
            </w:tcBorders>
            <w:shd w:val="clear" w:color="auto" w:fill="auto"/>
            <w:noWrap/>
            <w:vAlign w:val="center"/>
            <w:hideMark/>
          </w:tcPr>
          <w:p w14:paraId="07FEABC9" w14:textId="77777777" w:rsidR="00820C51" w:rsidRPr="00231EB1" w:rsidRDefault="00820C51"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0.71-0.81</w:t>
            </w:r>
          </w:p>
        </w:tc>
        <w:tc>
          <w:tcPr>
            <w:tcW w:w="1473" w:type="dxa"/>
            <w:tcBorders>
              <w:top w:val="nil"/>
              <w:left w:val="nil"/>
              <w:right w:val="nil"/>
            </w:tcBorders>
            <w:shd w:val="clear" w:color="auto" w:fill="auto"/>
            <w:noWrap/>
            <w:vAlign w:val="center"/>
            <w:hideMark/>
          </w:tcPr>
          <w:p w14:paraId="5011050D" w14:textId="77777777" w:rsidR="00820C51" w:rsidRPr="00231EB1" w:rsidRDefault="00820C51"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Reference</w:t>
            </w:r>
          </w:p>
        </w:tc>
        <w:tc>
          <w:tcPr>
            <w:tcW w:w="1275" w:type="dxa"/>
            <w:tcBorders>
              <w:top w:val="nil"/>
              <w:left w:val="nil"/>
              <w:right w:val="nil"/>
            </w:tcBorders>
            <w:shd w:val="clear" w:color="auto" w:fill="auto"/>
            <w:noWrap/>
            <w:vAlign w:val="center"/>
            <w:hideMark/>
          </w:tcPr>
          <w:p w14:paraId="37FBB36F" w14:textId="77777777" w:rsidR="00820C51" w:rsidRPr="00231EB1" w:rsidRDefault="00820C51" w:rsidP="00D30385">
            <w:pPr>
              <w:spacing w:after="0"/>
              <w:jc w:val="right"/>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0.63</w:t>
            </w:r>
          </w:p>
        </w:tc>
      </w:tr>
      <w:tr w:rsidR="00820C51" w:rsidRPr="00231EB1" w14:paraId="620EFB61" w14:textId="77777777" w:rsidTr="00486373">
        <w:trPr>
          <w:trHeight w:val="288"/>
        </w:trPr>
        <w:tc>
          <w:tcPr>
            <w:tcW w:w="2343" w:type="dxa"/>
            <w:tcBorders>
              <w:left w:val="nil"/>
              <w:right w:val="nil"/>
            </w:tcBorders>
            <w:shd w:val="clear" w:color="auto" w:fill="auto"/>
            <w:noWrap/>
            <w:vAlign w:val="center"/>
            <w:hideMark/>
          </w:tcPr>
          <w:p w14:paraId="26AD79D3" w14:textId="77777777" w:rsidR="00820C51" w:rsidRPr="00231EB1" w:rsidRDefault="00820C51" w:rsidP="00D30385">
            <w:pPr>
              <w:spacing w:after="0"/>
              <w:rPr>
                <w:rFonts w:ascii="Times New Roman" w:eastAsia="Times New Roman" w:hAnsi="Times New Roman" w:cs="Times New Roman"/>
                <w:sz w:val="20"/>
                <w:szCs w:val="20"/>
                <w:lang w:val="en-US"/>
              </w:rPr>
            </w:pPr>
          </w:p>
        </w:tc>
        <w:tc>
          <w:tcPr>
            <w:tcW w:w="2902" w:type="dxa"/>
            <w:tcBorders>
              <w:left w:val="nil"/>
              <w:right w:val="nil"/>
            </w:tcBorders>
            <w:shd w:val="clear" w:color="auto" w:fill="auto"/>
            <w:noWrap/>
            <w:vAlign w:val="center"/>
            <w:hideMark/>
          </w:tcPr>
          <w:p w14:paraId="682758E2"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10-&lt;20%</w:t>
            </w:r>
          </w:p>
        </w:tc>
        <w:tc>
          <w:tcPr>
            <w:tcW w:w="1276" w:type="dxa"/>
            <w:tcBorders>
              <w:left w:val="nil"/>
              <w:right w:val="nil"/>
            </w:tcBorders>
            <w:shd w:val="clear" w:color="auto" w:fill="auto"/>
            <w:noWrap/>
            <w:vAlign w:val="center"/>
            <w:hideMark/>
          </w:tcPr>
          <w:p w14:paraId="4889D002" w14:textId="77777777" w:rsidR="00820C51" w:rsidRPr="00231EB1" w:rsidRDefault="00820C51"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0.20</w:t>
            </w:r>
          </w:p>
        </w:tc>
        <w:tc>
          <w:tcPr>
            <w:tcW w:w="1362" w:type="dxa"/>
            <w:tcBorders>
              <w:left w:val="nil"/>
              <w:right w:val="nil"/>
            </w:tcBorders>
            <w:shd w:val="clear" w:color="auto" w:fill="auto"/>
            <w:noWrap/>
            <w:vAlign w:val="center"/>
            <w:hideMark/>
          </w:tcPr>
          <w:p w14:paraId="69FDCADE" w14:textId="77777777" w:rsidR="00820C51" w:rsidRPr="00231EB1" w:rsidRDefault="00820C51"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0.17-0.25</w:t>
            </w:r>
          </w:p>
        </w:tc>
        <w:tc>
          <w:tcPr>
            <w:tcW w:w="1473" w:type="dxa"/>
            <w:tcBorders>
              <w:left w:val="nil"/>
              <w:right w:val="nil"/>
            </w:tcBorders>
            <w:shd w:val="clear" w:color="auto" w:fill="auto"/>
            <w:noWrap/>
            <w:vAlign w:val="center"/>
            <w:hideMark/>
          </w:tcPr>
          <w:p w14:paraId="485CA74D" w14:textId="77777777" w:rsidR="00820C51" w:rsidRPr="00231EB1" w:rsidRDefault="00820C51"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1.1 (0.8-1.5)</w:t>
            </w:r>
          </w:p>
        </w:tc>
        <w:tc>
          <w:tcPr>
            <w:tcW w:w="1275" w:type="dxa"/>
            <w:tcBorders>
              <w:left w:val="nil"/>
              <w:right w:val="nil"/>
            </w:tcBorders>
            <w:shd w:val="clear" w:color="auto" w:fill="auto"/>
            <w:noWrap/>
            <w:vAlign w:val="center"/>
            <w:hideMark/>
          </w:tcPr>
          <w:p w14:paraId="258B0A18" w14:textId="77777777" w:rsidR="00820C51" w:rsidRPr="00231EB1" w:rsidRDefault="00820C51" w:rsidP="00D30385">
            <w:pPr>
              <w:spacing w:after="0"/>
              <w:jc w:val="right"/>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0.53</w:t>
            </w:r>
          </w:p>
        </w:tc>
      </w:tr>
      <w:tr w:rsidR="00820C51" w:rsidRPr="00231EB1" w14:paraId="3D12DF58" w14:textId="77777777" w:rsidTr="00486373">
        <w:trPr>
          <w:trHeight w:val="288"/>
        </w:trPr>
        <w:tc>
          <w:tcPr>
            <w:tcW w:w="2343" w:type="dxa"/>
            <w:tcBorders>
              <w:left w:val="nil"/>
              <w:bottom w:val="single" w:sz="4" w:space="0" w:color="auto"/>
              <w:right w:val="nil"/>
            </w:tcBorders>
            <w:shd w:val="clear" w:color="auto" w:fill="auto"/>
            <w:noWrap/>
            <w:vAlign w:val="center"/>
            <w:hideMark/>
          </w:tcPr>
          <w:p w14:paraId="73CEAF12" w14:textId="77777777" w:rsidR="00820C51" w:rsidRPr="00231EB1" w:rsidRDefault="00820C51" w:rsidP="00D30385">
            <w:pPr>
              <w:spacing w:after="0"/>
              <w:rPr>
                <w:rFonts w:ascii="Times New Roman" w:eastAsia="Times New Roman" w:hAnsi="Times New Roman" w:cs="Times New Roman"/>
                <w:sz w:val="20"/>
                <w:szCs w:val="20"/>
                <w:lang w:val="en-US"/>
              </w:rPr>
            </w:pPr>
          </w:p>
        </w:tc>
        <w:tc>
          <w:tcPr>
            <w:tcW w:w="2902" w:type="dxa"/>
            <w:tcBorders>
              <w:left w:val="nil"/>
              <w:bottom w:val="single" w:sz="4" w:space="0" w:color="auto"/>
              <w:right w:val="nil"/>
            </w:tcBorders>
            <w:shd w:val="clear" w:color="auto" w:fill="auto"/>
            <w:noWrap/>
            <w:vAlign w:val="center"/>
            <w:hideMark/>
          </w:tcPr>
          <w:p w14:paraId="5B1F48E3" w14:textId="77777777" w:rsidR="00820C51" w:rsidRPr="00231EB1" w:rsidRDefault="00820C51" w:rsidP="00D30385">
            <w:pPr>
              <w:spacing w:after="0"/>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≥20%</w:t>
            </w:r>
          </w:p>
        </w:tc>
        <w:tc>
          <w:tcPr>
            <w:tcW w:w="1276" w:type="dxa"/>
            <w:tcBorders>
              <w:left w:val="nil"/>
              <w:bottom w:val="single" w:sz="4" w:space="0" w:color="auto"/>
              <w:right w:val="nil"/>
            </w:tcBorders>
            <w:shd w:val="clear" w:color="auto" w:fill="auto"/>
            <w:noWrap/>
            <w:vAlign w:val="center"/>
            <w:hideMark/>
          </w:tcPr>
          <w:p w14:paraId="5A3C1656" w14:textId="77777777" w:rsidR="00820C51" w:rsidRPr="00231EB1" w:rsidRDefault="00820C51" w:rsidP="00D30385">
            <w:pPr>
              <w:spacing w:after="0"/>
              <w:jc w:val="center"/>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0.03</w:t>
            </w:r>
          </w:p>
        </w:tc>
        <w:tc>
          <w:tcPr>
            <w:tcW w:w="1362" w:type="dxa"/>
            <w:tcBorders>
              <w:left w:val="nil"/>
              <w:bottom w:val="single" w:sz="4" w:space="0" w:color="auto"/>
              <w:right w:val="nil"/>
            </w:tcBorders>
            <w:shd w:val="clear" w:color="auto" w:fill="auto"/>
            <w:noWrap/>
            <w:vAlign w:val="center"/>
            <w:hideMark/>
          </w:tcPr>
          <w:p w14:paraId="4E31D455" w14:textId="77777777" w:rsidR="00820C51" w:rsidRPr="00231EB1" w:rsidRDefault="00820C51" w:rsidP="00D30385">
            <w:pPr>
              <w:spacing w:after="0"/>
              <w:ind w:left="17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0.02-0.05</w:t>
            </w:r>
          </w:p>
        </w:tc>
        <w:tc>
          <w:tcPr>
            <w:tcW w:w="1473" w:type="dxa"/>
            <w:tcBorders>
              <w:left w:val="nil"/>
              <w:bottom w:val="single" w:sz="4" w:space="0" w:color="auto"/>
              <w:right w:val="nil"/>
            </w:tcBorders>
            <w:shd w:val="clear" w:color="auto" w:fill="auto"/>
            <w:noWrap/>
            <w:vAlign w:val="center"/>
            <w:hideMark/>
          </w:tcPr>
          <w:p w14:paraId="68AB9AB7" w14:textId="77777777" w:rsidR="00820C51" w:rsidRPr="00231EB1" w:rsidRDefault="00820C51" w:rsidP="00D30385">
            <w:pPr>
              <w:spacing w:after="0"/>
              <w:ind w:left="89"/>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1.3 (0.6-2.9)</w:t>
            </w:r>
          </w:p>
        </w:tc>
        <w:tc>
          <w:tcPr>
            <w:tcW w:w="1275" w:type="dxa"/>
            <w:tcBorders>
              <w:left w:val="nil"/>
              <w:bottom w:val="single" w:sz="4" w:space="0" w:color="auto"/>
              <w:right w:val="nil"/>
            </w:tcBorders>
            <w:shd w:val="clear" w:color="auto" w:fill="auto"/>
            <w:noWrap/>
            <w:vAlign w:val="center"/>
            <w:hideMark/>
          </w:tcPr>
          <w:p w14:paraId="1A5B5685" w14:textId="77777777" w:rsidR="00820C51" w:rsidRPr="00231EB1" w:rsidRDefault="00820C51" w:rsidP="00D30385">
            <w:pPr>
              <w:spacing w:after="0"/>
              <w:jc w:val="right"/>
              <w:rPr>
                <w:rFonts w:ascii="Times New Roman" w:eastAsia="Times New Roman" w:hAnsi="Times New Roman" w:cs="Times New Roman"/>
                <w:sz w:val="20"/>
                <w:szCs w:val="20"/>
                <w:lang w:val="en-US"/>
              </w:rPr>
            </w:pPr>
            <w:r w:rsidRPr="00231EB1">
              <w:rPr>
                <w:rFonts w:ascii="Times New Roman" w:eastAsia="Times New Roman" w:hAnsi="Times New Roman" w:cs="Times New Roman"/>
                <w:sz w:val="20"/>
                <w:szCs w:val="20"/>
                <w:lang w:val="en-US"/>
              </w:rPr>
              <w:t>0.43</w:t>
            </w:r>
          </w:p>
        </w:tc>
      </w:tr>
    </w:tbl>
    <w:p w14:paraId="180F0132" w14:textId="77777777" w:rsidR="00820C51" w:rsidRPr="00231EB1" w:rsidRDefault="00820C51" w:rsidP="00820C51">
      <w:pPr>
        <w:rPr>
          <w:rFonts w:ascii="Times New Roman" w:hAnsi="Times New Roman" w:cs="Times New Roman"/>
          <w:sz w:val="2"/>
          <w:szCs w:val="2"/>
          <w:vertAlign w:val="superscript"/>
        </w:rPr>
      </w:pPr>
    </w:p>
    <w:p w14:paraId="12ADA6EB" w14:textId="77777777" w:rsidR="00820C51" w:rsidRPr="00231EB1" w:rsidRDefault="00820C51" w:rsidP="00820C51">
      <w:pPr>
        <w:ind w:right="3893"/>
        <w:rPr>
          <w:rFonts w:ascii="Times New Roman" w:hAnsi="Times New Roman" w:cs="Times New Roman"/>
          <w:sz w:val="20"/>
          <w:szCs w:val="20"/>
        </w:rPr>
      </w:pPr>
      <w:r w:rsidRPr="00231EB1">
        <w:rPr>
          <w:rFonts w:ascii="Times New Roman" w:hAnsi="Times New Roman" w:cs="Times New Roman"/>
          <w:sz w:val="16"/>
          <w:szCs w:val="16"/>
        </w:rPr>
        <w:t>Note. IRSD =</w:t>
      </w:r>
      <w:r w:rsidRPr="00231EB1">
        <w:rPr>
          <w:rFonts w:ascii="Times New Roman" w:hAnsi="Times New Roman" w:cs="Times New Roman"/>
          <w:sz w:val="16"/>
          <w:szCs w:val="16"/>
          <w:vertAlign w:val="superscript"/>
        </w:rPr>
        <w:t xml:space="preserve"> </w:t>
      </w:r>
      <w:r w:rsidRPr="00231EB1">
        <w:rPr>
          <w:rFonts w:ascii="Times New Roman" w:hAnsi="Times New Roman" w:cs="Times New Roman"/>
          <w:sz w:val="16"/>
          <w:szCs w:val="16"/>
          <w:shd w:val="clear" w:color="auto" w:fill="FFFFFF"/>
        </w:rPr>
        <w:t xml:space="preserve">Index of Relative Socio-economic Disadvantage; IRSAD = Index of Relative Socio-economic Advantage and Disadvantage; IER = Index of Economic Resources; IEO = Index of Education and Occupation; SAE = small area estimation; YMM = Young Minds Matter Survey; SA1 = Statistical Area Level 1; OR = odds ratio; 95% CI = 95% confidence interval; </w:t>
      </w:r>
      <w:r w:rsidRPr="00231EB1">
        <w:rPr>
          <w:rFonts w:ascii="Times New Roman" w:hAnsi="Times New Roman" w:cs="Times New Roman"/>
          <w:sz w:val="16"/>
          <w:szCs w:val="16"/>
        </w:rPr>
        <w:t>*Overall Wald p-value.</w:t>
      </w:r>
    </w:p>
    <w:p w14:paraId="2AE9515A" w14:textId="0DCA1CE9" w:rsidR="00820C51" w:rsidRDefault="00820C51" w:rsidP="00820C51">
      <w:pPr>
        <w:ind w:right="3893"/>
        <w:rPr>
          <w:rFonts w:ascii="Times New Roman" w:hAnsi="Times New Roman" w:cs="Times New Roman"/>
          <w:sz w:val="16"/>
          <w:szCs w:val="16"/>
          <w:shd w:val="clear" w:color="auto" w:fill="FFFFFF"/>
        </w:rPr>
      </w:pPr>
      <w:r w:rsidRPr="00231EB1">
        <w:rPr>
          <w:rFonts w:ascii="Times New Roman" w:hAnsi="Times New Roman" w:cs="Times New Roman"/>
          <w:sz w:val="16"/>
          <w:szCs w:val="16"/>
          <w:shd w:val="clear" w:color="auto" w:fill="FFFFFF"/>
          <w:vertAlign w:val="superscript"/>
        </w:rPr>
        <w:t>a</w:t>
      </w:r>
      <w:r w:rsidRPr="00231EB1">
        <w:rPr>
          <w:rFonts w:ascii="Times New Roman" w:hAnsi="Times New Roman" w:cs="Times New Roman"/>
          <w:sz w:val="16"/>
          <w:szCs w:val="16"/>
          <w:shd w:val="clear" w:color="auto" w:fill="FFFFFF"/>
        </w:rPr>
        <w:t xml:space="preserve"> For all SEIFA indices (i.e., IRSD, IRSAD, IER, IEO), </w:t>
      </w:r>
      <w:r w:rsidRPr="00231EB1">
        <w:rPr>
          <w:rFonts w:ascii="Times New Roman" w:hAnsi="Times New Roman" w:cs="Times New Roman"/>
          <w:sz w:val="16"/>
          <w:szCs w:val="16"/>
        </w:rPr>
        <w:t>high scores indicate relatively low financial disadvantage</w:t>
      </w:r>
      <w:r w:rsidR="00926F4D">
        <w:rPr>
          <w:rFonts w:ascii="Times New Roman" w:hAnsi="Times New Roman" w:cs="Times New Roman"/>
          <w:sz w:val="16"/>
          <w:szCs w:val="16"/>
        </w:rPr>
        <w:t>. T</w:t>
      </w:r>
      <w:r w:rsidR="0035471F">
        <w:rPr>
          <w:rFonts w:ascii="Times New Roman" w:hAnsi="Times New Roman" w:cs="Times New Roman"/>
          <w:sz w:val="16"/>
          <w:szCs w:val="16"/>
        </w:rPr>
        <w:t xml:space="preserve">his includes IRSD </w:t>
      </w:r>
      <w:r w:rsidR="00926F4D">
        <w:rPr>
          <w:rFonts w:ascii="Times New Roman" w:hAnsi="Times New Roman" w:cs="Times New Roman"/>
          <w:sz w:val="16"/>
          <w:szCs w:val="16"/>
        </w:rPr>
        <w:t>(</w:t>
      </w:r>
      <w:r w:rsidR="0035471F">
        <w:rPr>
          <w:rFonts w:ascii="Times New Roman" w:hAnsi="Times New Roman" w:cs="Times New Roman"/>
          <w:sz w:val="16"/>
          <w:szCs w:val="16"/>
        </w:rPr>
        <w:t>Index of Relative Socio-economic Disadvantage</w:t>
      </w:r>
      <w:r w:rsidR="00926F4D">
        <w:rPr>
          <w:rFonts w:ascii="Times New Roman" w:hAnsi="Times New Roman" w:cs="Times New Roman"/>
          <w:sz w:val="16"/>
          <w:szCs w:val="16"/>
        </w:rPr>
        <w:t>)</w:t>
      </w:r>
      <w:r w:rsidR="0035471F">
        <w:rPr>
          <w:rFonts w:ascii="Times New Roman" w:hAnsi="Times New Roman" w:cs="Times New Roman"/>
          <w:sz w:val="16"/>
          <w:szCs w:val="16"/>
        </w:rPr>
        <w:t xml:space="preserve"> where a high score indicates a relative lack of disadvantage, and IRSAD </w:t>
      </w:r>
      <w:r w:rsidR="00926F4D">
        <w:rPr>
          <w:rFonts w:ascii="Times New Roman" w:hAnsi="Times New Roman" w:cs="Times New Roman"/>
          <w:sz w:val="16"/>
          <w:szCs w:val="16"/>
        </w:rPr>
        <w:t>(</w:t>
      </w:r>
      <w:r w:rsidR="0035471F">
        <w:rPr>
          <w:rFonts w:ascii="Times New Roman" w:hAnsi="Times New Roman" w:cs="Times New Roman"/>
          <w:sz w:val="16"/>
          <w:szCs w:val="16"/>
        </w:rPr>
        <w:t>Index of Relative Socio-economic Advantage/Disadvantage</w:t>
      </w:r>
      <w:r w:rsidR="00926F4D">
        <w:rPr>
          <w:rFonts w:ascii="Times New Roman" w:hAnsi="Times New Roman" w:cs="Times New Roman"/>
          <w:sz w:val="16"/>
          <w:szCs w:val="16"/>
        </w:rPr>
        <w:t xml:space="preserve">) </w:t>
      </w:r>
      <w:r w:rsidR="0035471F">
        <w:rPr>
          <w:rFonts w:ascii="Times New Roman" w:hAnsi="Times New Roman" w:cs="Times New Roman"/>
          <w:sz w:val="16"/>
          <w:szCs w:val="16"/>
        </w:rPr>
        <w:t>where a high score indicates a relative lack of disadvantage and greater advantage overall</w:t>
      </w:r>
      <w:r w:rsidRPr="00231EB1">
        <w:rPr>
          <w:rFonts w:ascii="Times New Roman" w:hAnsi="Times New Roman" w:cs="Times New Roman"/>
          <w:sz w:val="16"/>
          <w:szCs w:val="16"/>
        </w:rPr>
        <w:t xml:space="preserve">; </w:t>
      </w:r>
      <w:r w:rsidRPr="00231EB1">
        <w:rPr>
          <w:rFonts w:ascii="Times New Roman" w:hAnsi="Times New Roman" w:cs="Times New Roman"/>
          <w:sz w:val="16"/>
          <w:szCs w:val="16"/>
          <w:shd w:val="clear" w:color="auto" w:fill="FFFFFF"/>
          <w:vertAlign w:val="superscript"/>
        </w:rPr>
        <w:t xml:space="preserve">b </w:t>
      </w:r>
      <w:r w:rsidRPr="00231EB1">
        <w:rPr>
          <w:rFonts w:ascii="Times New Roman" w:hAnsi="Times New Roman" w:cs="Times New Roman"/>
          <w:sz w:val="16"/>
          <w:szCs w:val="16"/>
          <w:shd w:val="clear" w:color="auto" w:fill="FFFFFF"/>
        </w:rPr>
        <w:t xml:space="preserve">Synthetic small area estimation (SAE) of internalising disorder prevalence, as based on a previous Young Minds Matter analysis (see Appendix </w:t>
      </w:r>
      <w:r w:rsidR="00503387">
        <w:rPr>
          <w:rFonts w:ascii="Times New Roman" w:hAnsi="Times New Roman" w:cs="Times New Roman"/>
          <w:sz w:val="16"/>
          <w:szCs w:val="16"/>
          <w:shd w:val="clear" w:color="auto" w:fill="FFFFFF"/>
        </w:rPr>
        <w:t>4</w:t>
      </w:r>
      <w:r w:rsidRPr="00231EB1">
        <w:rPr>
          <w:rFonts w:ascii="Times New Roman" w:hAnsi="Times New Roman" w:cs="Times New Roman"/>
          <w:sz w:val="16"/>
          <w:szCs w:val="16"/>
          <w:shd w:val="clear" w:color="auto" w:fill="FFFFFF"/>
        </w:rPr>
        <w:t xml:space="preserve">). Internalising disorders are defined as those characterised by anxiety, depressive, and somatic symptoms (whereas externalising disorders are characterised primarily by actions in the external world, such as acting out, antisocial behaviour, disruptive conduct, hostility, and aggression); </w:t>
      </w:r>
      <w:r w:rsidRPr="00231EB1">
        <w:rPr>
          <w:rFonts w:ascii="Times New Roman" w:hAnsi="Times New Roman" w:cs="Times New Roman"/>
          <w:sz w:val="16"/>
          <w:szCs w:val="16"/>
          <w:vertAlign w:val="superscript"/>
        </w:rPr>
        <w:t xml:space="preserve">c </w:t>
      </w:r>
      <w:r w:rsidRPr="00231EB1">
        <w:rPr>
          <w:rFonts w:ascii="Times New Roman" w:hAnsi="Times New Roman" w:cs="Times New Roman"/>
          <w:sz w:val="16"/>
          <w:szCs w:val="16"/>
        </w:rPr>
        <w:t xml:space="preserve">According to the ABS, low family income is defined as annual household income &lt;$52k; </w:t>
      </w:r>
      <w:r w:rsidRPr="00231EB1">
        <w:rPr>
          <w:rFonts w:ascii="Times New Roman" w:hAnsi="Times New Roman" w:cs="Times New Roman"/>
          <w:sz w:val="16"/>
          <w:szCs w:val="16"/>
          <w:vertAlign w:val="superscript"/>
        </w:rPr>
        <w:t>d</w:t>
      </w:r>
      <w:r w:rsidRPr="00231EB1">
        <w:rPr>
          <w:rFonts w:ascii="Times New Roman" w:hAnsi="Times New Roman" w:cs="Times New Roman"/>
          <w:sz w:val="16"/>
          <w:szCs w:val="16"/>
        </w:rPr>
        <w:t xml:space="preserve"> According to the ABS, blended family is defined as </w:t>
      </w:r>
      <w:r w:rsidRPr="00231EB1">
        <w:rPr>
          <w:rFonts w:ascii="Times New Roman" w:hAnsi="Times New Roman" w:cs="Times New Roman"/>
          <w:sz w:val="16"/>
          <w:szCs w:val="16"/>
          <w:shd w:val="clear" w:color="auto" w:fill="FFFFFF"/>
        </w:rPr>
        <w:t>a couple family containing two or more children, of whom at least one is the natural or adopted child of both members of the couple, and at least one is the step child of either partner in the couple.</w:t>
      </w:r>
    </w:p>
    <w:p w14:paraId="1AEFA4CC" w14:textId="7691E0ED" w:rsidR="001F486F" w:rsidRDefault="001F486F" w:rsidP="00820C51">
      <w:pPr>
        <w:ind w:right="3893"/>
        <w:rPr>
          <w:rFonts w:ascii="Times New Roman" w:hAnsi="Times New Roman" w:cs="Times New Roman"/>
          <w:sz w:val="16"/>
          <w:szCs w:val="16"/>
          <w:shd w:val="clear" w:color="auto" w:fill="FFFFFF"/>
        </w:rPr>
      </w:pPr>
    </w:p>
    <w:p w14:paraId="4AD0806D" w14:textId="77777777" w:rsidR="009B3A85" w:rsidRDefault="009B3A85" w:rsidP="00D373A8">
      <w:pPr>
        <w:jc w:val="both"/>
        <w:rPr>
          <w:rFonts w:ascii="Times New Roman" w:hAnsi="Times New Roman" w:cs="Times New Roman"/>
          <w:sz w:val="20"/>
          <w:szCs w:val="20"/>
        </w:rPr>
      </w:pPr>
    </w:p>
    <w:p w14:paraId="6511E748" w14:textId="77777777" w:rsidR="006C2D2C" w:rsidRDefault="006C2D2C" w:rsidP="005338DF">
      <w:pPr>
        <w:rPr>
          <w:rFonts w:ascii="Times New Roman" w:hAnsi="Times New Roman" w:cs="Times New Roman"/>
          <w:sz w:val="24"/>
          <w:szCs w:val="24"/>
        </w:rPr>
        <w:sectPr w:rsidR="006C2D2C" w:rsidSect="007F24EE">
          <w:footerReference w:type="first" r:id="rId14"/>
          <w:pgSz w:w="16838" w:h="11906" w:orient="landscape"/>
          <w:pgMar w:top="1440" w:right="1440" w:bottom="1440" w:left="1440" w:header="708" w:footer="708" w:gutter="0"/>
          <w:cols w:space="708"/>
          <w:titlePg/>
          <w:docGrid w:linePitch="360"/>
        </w:sectPr>
      </w:pPr>
    </w:p>
    <w:p w14:paraId="1A8A7621" w14:textId="62FD50BE" w:rsidR="006C2D2C" w:rsidRDefault="00503387" w:rsidP="00503387">
      <w:pPr>
        <w:pStyle w:val="Heading2"/>
      </w:pPr>
      <w:r w:rsidRPr="00503387">
        <w:lastRenderedPageBreak/>
        <w:t xml:space="preserve">Appendix </w:t>
      </w:r>
      <w:r w:rsidR="00D17C54">
        <w:t>4</w:t>
      </w:r>
      <w:r w:rsidRPr="00503387">
        <w:t xml:space="preserve">. Synthetic Internalising Disorder Estimates </w:t>
      </w:r>
    </w:p>
    <w:p w14:paraId="5A590AAF" w14:textId="77777777" w:rsidR="00503387" w:rsidRPr="003A0488" w:rsidRDefault="00503387" w:rsidP="00503387">
      <w:pPr>
        <w:spacing w:after="0" w:line="360" w:lineRule="auto"/>
        <w:jc w:val="both"/>
        <w:rPr>
          <w:rFonts w:ascii="Times New Roman" w:hAnsi="Times New Roman" w:cs="Times New Roman"/>
          <w:b/>
          <w:bCs/>
          <w:sz w:val="24"/>
          <w:szCs w:val="24"/>
        </w:rPr>
      </w:pPr>
      <w:r w:rsidRPr="003A0488">
        <w:rPr>
          <w:rFonts w:ascii="Times New Roman" w:hAnsi="Times New Roman" w:cs="Times New Roman"/>
          <w:b/>
          <w:bCs/>
          <w:sz w:val="24"/>
          <w:szCs w:val="24"/>
        </w:rPr>
        <w:t>Summary of the methodology for developing synthetic estimates of prevalence of mental health disorders in children and adolescents in Australia</w:t>
      </w:r>
    </w:p>
    <w:p w14:paraId="24FBCAEB" w14:textId="77777777" w:rsidR="00503387" w:rsidRPr="00503387" w:rsidRDefault="00503387" w:rsidP="00503387">
      <w:pPr>
        <w:spacing w:after="0" w:line="360" w:lineRule="auto"/>
        <w:rPr>
          <w:rFonts w:ascii="Times New Roman" w:hAnsi="Times New Roman" w:cs="Times New Roman"/>
          <w:sz w:val="24"/>
          <w:szCs w:val="24"/>
        </w:rPr>
      </w:pPr>
    </w:p>
    <w:p w14:paraId="6AA47010" w14:textId="0D3C86AB" w:rsidR="00503387" w:rsidRDefault="00503387" w:rsidP="00503387">
      <w:pPr>
        <w:spacing w:after="0" w:line="360" w:lineRule="auto"/>
        <w:jc w:val="both"/>
        <w:rPr>
          <w:rFonts w:ascii="Times New Roman" w:hAnsi="Times New Roman" w:cs="Times New Roman"/>
          <w:sz w:val="24"/>
          <w:szCs w:val="24"/>
        </w:rPr>
      </w:pPr>
      <w:r w:rsidRPr="00503387">
        <w:rPr>
          <w:rFonts w:ascii="Times New Roman" w:hAnsi="Times New Roman" w:cs="Times New Roman"/>
          <w:sz w:val="24"/>
          <w:szCs w:val="24"/>
        </w:rPr>
        <w:t>Young Minds Matter (YMM survey, or the second Australian Child and Adolescent Survey of Mental Health and Wellbeing (YMM), provided detailed information on the prevalence and severity of mental disorders in children and adolescents aged 4-17 years. YMM surveyed over 6,000 families with children aged 4-17 years by visiting 550 communities across Australia. The survey results identified strong trends in prevalence by socio-economic characteristics of families and geographic areas. Mental health disorders were more common in families experiencing various types of social disadvantage, including in low-income families, families living in public housing, sole parent families, and families living in disadvantaged areas.</w:t>
      </w:r>
    </w:p>
    <w:p w14:paraId="66070CFC" w14:textId="77777777" w:rsidR="00503387" w:rsidRPr="00503387" w:rsidRDefault="00503387" w:rsidP="00503387">
      <w:pPr>
        <w:spacing w:after="0" w:line="360" w:lineRule="auto"/>
        <w:jc w:val="both"/>
        <w:rPr>
          <w:rFonts w:ascii="Times New Roman" w:hAnsi="Times New Roman" w:cs="Times New Roman"/>
          <w:sz w:val="24"/>
          <w:szCs w:val="24"/>
        </w:rPr>
      </w:pPr>
    </w:p>
    <w:p w14:paraId="416BF5B9" w14:textId="77777777" w:rsidR="00503387" w:rsidRPr="00503387" w:rsidRDefault="00503387" w:rsidP="00503387">
      <w:pPr>
        <w:spacing w:after="0" w:line="360" w:lineRule="auto"/>
        <w:jc w:val="both"/>
        <w:rPr>
          <w:rFonts w:ascii="Times New Roman" w:hAnsi="Times New Roman" w:cs="Times New Roman"/>
          <w:sz w:val="24"/>
          <w:szCs w:val="24"/>
        </w:rPr>
      </w:pPr>
      <w:r w:rsidRPr="00503387">
        <w:rPr>
          <w:rFonts w:ascii="Times New Roman" w:hAnsi="Times New Roman" w:cs="Times New Roman"/>
          <w:sz w:val="24"/>
          <w:szCs w:val="24"/>
        </w:rPr>
        <w:t>Although the survey visited a large and representative range of communities across the country, it was not possible to visit all communities. Estimates of the prevalence of mental disorders for individual communities can be very valuable for designing, locating and funding support services for children and adolescents experiencing mental health disorders and their families.</w:t>
      </w:r>
    </w:p>
    <w:p w14:paraId="65BE80DD" w14:textId="508574B0" w:rsidR="00503387" w:rsidRDefault="00503387" w:rsidP="00503387">
      <w:pPr>
        <w:spacing w:after="0" w:line="360" w:lineRule="auto"/>
        <w:jc w:val="both"/>
        <w:rPr>
          <w:rFonts w:ascii="Times New Roman" w:hAnsi="Times New Roman" w:cs="Times New Roman"/>
          <w:sz w:val="24"/>
          <w:szCs w:val="24"/>
        </w:rPr>
      </w:pPr>
      <w:r w:rsidRPr="00503387">
        <w:rPr>
          <w:rFonts w:ascii="Times New Roman" w:hAnsi="Times New Roman" w:cs="Times New Roman"/>
          <w:sz w:val="24"/>
          <w:szCs w:val="24"/>
        </w:rPr>
        <w:t xml:space="preserve">Synthetic estimates of the prevalence and severity of mental disorders have been produced by combining statistical modelling of factors associated with mental disorder status from the </w:t>
      </w:r>
      <w:r w:rsidRPr="00503387">
        <w:rPr>
          <w:rFonts w:ascii="Times New Roman" w:hAnsi="Times New Roman" w:cs="Times New Roman"/>
          <w:iCs/>
          <w:sz w:val="24"/>
          <w:szCs w:val="24"/>
        </w:rPr>
        <w:t>YMM</w:t>
      </w:r>
      <w:r w:rsidRPr="00503387">
        <w:rPr>
          <w:rFonts w:ascii="Times New Roman" w:hAnsi="Times New Roman" w:cs="Times New Roman"/>
          <w:sz w:val="24"/>
          <w:szCs w:val="24"/>
        </w:rPr>
        <w:t xml:space="preserve"> data, with information on the geographic distribution of those factors from the </w:t>
      </w:r>
      <w:r w:rsidR="00FE1E91">
        <w:rPr>
          <w:rFonts w:ascii="Times New Roman" w:hAnsi="Times New Roman" w:cs="Times New Roman"/>
          <w:sz w:val="24"/>
          <w:szCs w:val="24"/>
        </w:rPr>
        <w:t xml:space="preserve">2011 and </w:t>
      </w:r>
      <w:r w:rsidRPr="00503387">
        <w:rPr>
          <w:rFonts w:ascii="Times New Roman" w:hAnsi="Times New Roman" w:cs="Times New Roman"/>
          <w:sz w:val="24"/>
          <w:szCs w:val="24"/>
        </w:rPr>
        <w:t>2016 Census, and projecting forward using the most recent Estimated Residential Population figures provided by the ABS (for 30 June 2</w:t>
      </w:r>
      <w:r w:rsidR="00FE1E91">
        <w:rPr>
          <w:rFonts w:ascii="Times New Roman" w:hAnsi="Times New Roman" w:cs="Times New Roman"/>
          <w:sz w:val="24"/>
          <w:szCs w:val="24"/>
        </w:rPr>
        <w:t>019</w:t>
      </w:r>
      <w:r w:rsidRPr="00503387">
        <w:rPr>
          <w:rFonts w:ascii="Times New Roman" w:hAnsi="Times New Roman" w:cs="Times New Roman"/>
          <w:sz w:val="24"/>
          <w:szCs w:val="24"/>
        </w:rPr>
        <w:t>).</w:t>
      </w:r>
    </w:p>
    <w:p w14:paraId="4578A262" w14:textId="77777777" w:rsidR="00503387" w:rsidRPr="00503387" w:rsidRDefault="00503387" w:rsidP="00503387">
      <w:pPr>
        <w:spacing w:after="0" w:line="360" w:lineRule="auto"/>
        <w:jc w:val="both"/>
        <w:rPr>
          <w:rFonts w:ascii="Times New Roman" w:hAnsi="Times New Roman" w:cs="Times New Roman"/>
          <w:sz w:val="24"/>
          <w:szCs w:val="24"/>
        </w:rPr>
      </w:pPr>
    </w:p>
    <w:p w14:paraId="58628323" w14:textId="77777777" w:rsidR="00503387" w:rsidRPr="00503387" w:rsidRDefault="00503387" w:rsidP="00503387">
      <w:pPr>
        <w:pStyle w:val="BodyText"/>
        <w:spacing w:after="0" w:line="360" w:lineRule="auto"/>
        <w:jc w:val="both"/>
        <w:rPr>
          <w:rFonts w:ascii="Times New Roman" w:hAnsi="Times New Roman" w:cs="Times New Roman"/>
          <w:sz w:val="24"/>
          <w:szCs w:val="24"/>
        </w:rPr>
      </w:pPr>
      <w:r w:rsidRPr="00503387">
        <w:rPr>
          <w:rFonts w:ascii="Times New Roman" w:hAnsi="Times New Roman" w:cs="Times New Roman"/>
          <w:sz w:val="24"/>
          <w:szCs w:val="24"/>
        </w:rPr>
        <w:t>Synthetic estimates have been calculated for internalising disorders (anxiety disorders and major depressive disorder), externalising disorders (Attention-deficit/hyperactivity disorder and conduct disorder) and all disorders at the following levels:</w:t>
      </w:r>
    </w:p>
    <w:p w14:paraId="564DC249" w14:textId="77777777" w:rsidR="00503387" w:rsidRPr="00503387" w:rsidRDefault="00503387" w:rsidP="00503387">
      <w:pPr>
        <w:pStyle w:val="BodyText"/>
        <w:numPr>
          <w:ilvl w:val="0"/>
          <w:numId w:val="17"/>
        </w:numPr>
        <w:spacing w:after="0" w:line="360" w:lineRule="auto"/>
        <w:jc w:val="both"/>
        <w:rPr>
          <w:rFonts w:ascii="Times New Roman" w:hAnsi="Times New Roman" w:cs="Times New Roman"/>
          <w:sz w:val="24"/>
          <w:szCs w:val="24"/>
        </w:rPr>
      </w:pPr>
      <w:r w:rsidRPr="00503387">
        <w:rPr>
          <w:rFonts w:ascii="Times New Roman" w:hAnsi="Times New Roman" w:cs="Times New Roman"/>
          <w:sz w:val="24"/>
          <w:szCs w:val="24"/>
        </w:rPr>
        <w:t>disorder type by age group (4-11 years and 12-17 years) and sex</w:t>
      </w:r>
    </w:p>
    <w:p w14:paraId="00234BEE" w14:textId="77777777" w:rsidR="00503387" w:rsidRPr="00503387" w:rsidRDefault="00503387" w:rsidP="00503387">
      <w:pPr>
        <w:pStyle w:val="BodyText"/>
        <w:numPr>
          <w:ilvl w:val="0"/>
          <w:numId w:val="17"/>
        </w:numPr>
        <w:spacing w:after="0" w:line="360" w:lineRule="auto"/>
        <w:jc w:val="both"/>
        <w:rPr>
          <w:rFonts w:ascii="Times New Roman" w:hAnsi="Times New Roman" w:cs="Times New Roman"/>
          <w:sz w:val="24"/>
          <w:szCs w:val="24"/>
        </w:rPr>
      </w:pPr>
      <w:r w:rsidRPr="00503387">
        <w:rPr>
          <w:rFonts w:ascii="Times New Roman" w:hAnsi="Times New Roman" w:cs="Times New Roman"/>
          <w:sz w:val="24"/>
          <w:szCs w:val="24"/>
        </w:rPr>
        <w:t>disorder type by severity (mild, moderate, severe)</w:t>
      </w:r>
    </w:p>
    <w:p w14:paraId="6524A208" w14:textId="3FFA6A69" w:rsidR="00503387" w:rsidRDefault="00503387" w:rsidP="00503387">
      <w:pPr>
        <w:pStyle w:val="BodyText"/>
        <w:numPr>
          <w:ilvl w:val="0"/>
          <w:numId w:val="17"/>
        </w:numPr>
        <w:spacing w:after="0" w:line="360" w:lineRule="auto"/>
        <w:jc w:val="both"/>
        <w:rPr>
          <w:rFonts w:ascii="Times New Roman" w:hAnsi="Times New Roman" w:cs="Times New Roman"/>
          <w:sz w:val="24"/>
          <w:szCs w:val="24"/>
        </w:rPr>
      </w:pPr>
      <w:r w:rsidRPr="00503387">
        <w:rPr>
          <w:rFonts w:ascii="Times New Roman" w:hAnsi="Times New Roman" w:cs="Times New Roman"/>
          <w:sz w:val="24"/>
          <w:szCs w:val="24"/>
        </w:rPr>
        <w:t>disorder type by sex for 16-17 year-olds</w:t>
      </w:r>
    </w:p>
    <w:p w14:paraId="04D10BB3" w14:textId="77777777" w:rsidR="00503387" w:rsidRPr="00503387" w:rsidRDefault="00503387" w:rsidP="00503387">
      <w:pPr>
        <w:pStyle w:val="BodyText"/>
        <w:spacing w:after="0" w:line="360" w:lineRule="auto"/>
        <w:ind w:left="720"/>
        <w:jc w:val="both"/>
        <w:rPr>
          <w:rFonts w:ascii="Times New Roman" w:hAnsi="Times New Roman" w:cs="Times New Roman"/>
          <w:sz w:val="24"/>
          <w:szCs w:val="24"/>
        </w:rPr>
      </w:pPr>
    </w:p>
    <w:p w14:paraId="4968EC11" w14:textId="77777777" w:rsidR="00503387" w:rsidRPr="00503387" w:rsidRDefault="00503387" w:rsidP="00503387">
      <w:pPr>
        <w:pStyle w:val="BodyText"/>
        <w:spacing w:after="0" w:line="360" w:lineRule="auto"/>
        <w:jc w:val="both"/>
        <w:rPr>
          <w:rFonts w:ascii="Times New Roman" w:hAnsi="Times New Roman" w:cs="Times New Roman"/>
          <w:sz w:val="24"/>
          <w:szCs w:val="24"/>
        </w:rPr>
      </w:pPr>
      <w:r w:rsidRPr="00503387">
        <w:rPr>
          <w:rFonts w:ascii="Times New Roman" w:hAnsi="Times New Roman" w:cs="Times New Roman"/>
          <w:sz w:val="24"/>
          <w:szCs w:val="24"/>
        </w:rPr>
        <w:t>Estimates have been calculated at the SA1 level, and then aggregated up to higher levels of geographic classification, including to SA2 and SA3 level, Primary Health Network (PHN) region level and Commonwealth Electoral Districts.</w:t>
      </w:r>
    </w:p>
    <w:p w14:paraId="59352443" w14:textId="62BA856D" w:rsidR="00503387" w:rsidRDefault="00503387" w:rsidP="00503387">
      <w:pPr>
        <w:pStyle w:val="BodyText"/>
        <w:spacing w:after="0" w:line="360" w:lineRule="auto"/>
        <w:jc w:val="both"/>
        <w:rPr>
          <w:rFonts w:ascii="Times New Roman" w:hAnsi="Times New Roman" w:cs="Times New Roman"/>
          <w:sz w:val="24"/>
          <w:szCs w:val="24"/>
        </w:rPr>
      </w:pPr>
      <w:r w:rsidRPr="00503387">
        <w:rPr>
          <w:rFonts w:ascii="Times New Roman" w:hAnsi="Times New Roman" w:cs="Times New Roman"/>
          <w:sz w:val="24"/>
          <w:szCs w:val="24"/>
        </w:rPr>
        <w:lastRenderedPageBreak/>
        <w:t>Due to restrictions on access to Census data, a mixed modelling approach was taken to producing the synthetic estimates, using a combination of individual level characteristics and characteristics of SA1s (small areas with average population around 250). Individual characteristics included in the model were age group, sex, Indigenous status and family type. Small area characteristics included in the model were SEIFA Index of Relative Socio-Economic Disadvantage (IRSD) quintiles, proportion of children and adolescents born overseas, proportion of children and adolescents with one or both parents born overseas, proportion of families by household income levels, education levels of parents, labour force status of parents and housing tenure.</w:t>
      </w:r>
    </w:p>
    <w:p w14:paraId="289D97AB" w14:textId="77777777" w:rsidR="00503387" w:rsidRPr="00503387" w:rsidRDefault="00503387" w:rsidP="00503387">
      <w:pPr>
        <w:pStyle w:val="BodyText"/>
        <w:spacing w:after="0" w:line="360" w:lineRule="auto"/>
        <w:jc w:val="both"/>
        <w:rPr>
          <w:rFonts w:ascii="Times New Roman" w:hAnsi="Times New Roman" w:cs="Times New Roman"/>
          <w:sz w:val="24"/>
          <w:szCs w:val="24"/>
        </w:rPr>
      </w:pPr>
    </w:p>
    <w:p w14:paraId="66BD013E" w14:textId="66CD12CF" w:rsidR="00503387" w:rsidRDefault="00503387" w:rsidP="00503387">
      <w:pPr>
        <w:pStyle w:val="BodyText"/>
        <w:spacing w:after="0" w:line="360" w:lineRule="auto"/>
        <w:jc w:val="both"/>
        <w:rPr>
          <w:rFonts w:ascii="Times New Roman" w:hAnsi="Times New Roman" w:cs="Times New Roman"/>
          <w:sz w:val="24"/>
          <w:szCs w:val="24"/>
        </w:rPr>
      </w:pPr>
      <w:r w:rsidRPr="00503387">
        <w:rPr>
          <w:rFonts w:ascii="Times New Roman" w:hAnsi="Times New Roman" w:cs="Times New Roman"/>
          <w:sz w:val="24"/>
          <w:szCs w:val="24"/>
        </w:rPr>
        <w:t xml:space="preserve">The models were first fit using the YMM survey data, and were then applied to the 2016 Census data to estimate prevalence of disorders for every SA1 in Australia. These estimates were then projected forward to </w:t>
      </w:r>
      <w:r w:rsidR="00FE1E91">
        <w:rPr>
          <w:rFonts w:ascii="Times New Roman" w:hAnsi="Times New Roman" w:cs="Times New Roman"/>
          <w:sz w:val="24"/>
          <w:szCs w:val="24"/>
        </w:rPr>
        <w:t>2019</w:t>
      </w:r>
      <w:r w:rsidRPr="00503387">
        <w:rPr>
          <w:rFonts w:ascii="Times New Roman" w:hAnsi="Times New Roman" w:cs="Times New Roman"/>
          <w:sz w:val="24"/>
          <w:szCs w:val="24"/>
        </w:rPr>
        <w:t xml:space="preserve"> population counts based on the growth rate in number of children and adolescents living in each SA1 area.</w:t>
      </w:r>
    </w:p>
    <w:p w14:paraId="0E254EEC" w14:textId="77777777" w:rsidR="00503387" w:rsidRPr="00503387" w:rsidRDefault="00503387" w:rsidP="00503387">
      <w:pPr>
        <w:pStyle w:val="BodyText"/>
        <w:spacing w:after="0" w:line="360" w:lineRule="auto"/>
        <w:jc w:val="both"/>
        <w:rPr>
          <w:rFonts w:ascii="Times New Roman" w:hAnsi="Times New Roman" w:cs="Times New Roman"/>
          <w:sz w:val="24"/>
          <w:szCs w:val="24"/>
        </w:rPr>
      </w:pPr>
    </w:p>
    <w:p w14:paraId="7BE59EBB" w14:textId="48515CA5" w:rsidR="00503387" w:rsidRDefault="00503387" w:rsidP="00503387">
      <w:pPr>
        <w:pStyle w:val="BodyText"/>
        <w:spacing w:after="0" w:line="360" w:lineRule="auto"/>
        <w:jc w:val="both"/>
        <w:rPr>
          <w:rFonts w:ascii="Times New Roman" w:hAnsi="Times New Roman" w:cs="Times New Roman"/>
          <w:sz w:val="24"/>
          <w:szCs w:val="24"/>
        </w:rPr>
      </w:pPr>
      <w:r w:rsidRPr="00503387">
        <w:rPr>
          <w:rFonts w:ascii="Times New Roman" w:hAnsi="Times New Roman" w:cs="Times New Roman"/>
          <w:sz w:val="24"/>
          <w:szCs w:val="24"/>
        </w:rPr>
        <w:t>While synthetic estimates are the best available small area data that can be used for service and program planning and delivery, the actual number of cases of disorder in any small area can vary from the model prediction if there are unique factors of that area that are not included in the model.</w:t>
      </w:r>
    </w:p>
    <w:p w14:paraId="745C0685" w14:textId="77777777" w:rsidR="00503387" w:rsidRPr="00503387" w:rsidRDefault="00503387" w:rsidP="00503387">
      <w:pPr>
        <w:pStyle w:val="BodyText"/>
        <w:spacing w:after="0" w:line="360" w:lineRule="auto"/>
        <w:jc w:val="both"/>
        <w:rPr>
          <w:rFonts w:ascii="Times New Roman" w:hAnsi="Times New Roman" w:cs="Times New Roman"/>
          <w:sz w:val="24"/>
          <w:szCs w:val="24"/>
        </w:rPr>
      </w:pPr>
    </w:p>
    <w:p w14:paraId="33076BC3" w14:textId="77777777" w:rsidR="00503387" w:rsidRPr="00503387" w:rsidRDefault="00503387" w:rsidP="00503387">
      <w:pPr>
        <w:pStyle w:val="BodyText"/>
        <w:spacing w:after="0" w:line="360" w:lineRule="auto"/>
        <w:jc w:val="both"/>
        <w:rPr>
          <w:rFonts w:ascii="Times New Roman" w:hAnsi="Times New Roman" w:cs="Times New Roman"/>
          <w:sz w:val="24"/>
          <w:szCs w:val="24"/>
        </w:rPr>
      </w:pPr>
      <w:r w:rsidRPr="00503387">
        <w:rPr>
          <w:rFonts w:ascii="Times New Roman" w:hAnsi="Times New Roman" w:cs="Times New Roman"/>
          <w:sz w:val="24"/>
          <w:szCs w:val="24"/>
        </w:rPr>
        <w:t>To facilitate using these estimates for service planning, estimates have been produced based on both the prevalence of disorders (the proportion of children and adolescents predicted to have a mental disorder irrespective of the size of the area) and the density of children and adolescents with disorders (number of prevalent cases per square kilometre) as illustrated in the example below for the Commonwealth Electoral District of Brand, in Western Australia.</w:t>
      </w:r>
    </w:p>
    <w:p w14:paraId="3EBDED2F" w14:textId="77777777" w:rsidR="00503387" w:rsidRPr="00503387" w:rsidRDefault="00503387" w:rsidP="00503387">
      <w:pPr>
        <w:pStyle w:val="BodyText"/>
        <w:spacing w:after="0" w:line="360" w:lineRule="auto"/>
        <w:jc w:val="both"/>
        <w:rPr>
          <w:rFonts w:ascii="Times New Roman" w:hAnsi="Times New Roman" w:cs="Times New Roman"/>
          <w:sz w:val="24"/>
          <w:szCs w:val="24"/>
        </w:rPr>
      </w:pPr>
    </w:p>
    <w:p w14:paraId="5C049510" w14:textId="77777777" w:rsidR="001D5273" w:rsidRDefault="001D5273" w:rsidP="005338DF">
      <w:pPr>
        <w:rPr>
          <w:rFonts w:ascii="Times New Roman" w:hAnsi="Times New Roman" w:cs="Times New Roman"/>
          <w:sz w:val="24"/>
          <w:szCs w:val="24"/>
        </w:rPr>
      </w:pPr>
    </w:p>
    <w:p w14:paraId="2E587C0A" w14:textId="15257392" w:rsidR="009B3A85" w:rsidRPr="005338DF" w:rsidRDefault="009B3A85" w:rsidP="005338DF">
      <w:pPr>
        <w:rPr>
          <w:rFonts w:ascii="Times New Roman" w:hAnsi="Times New Roman" w:cs="Times New Roman"/>
          <w:sz w:val="24"/>
          <w:szCs w:val="24"/>
        </w:rPr>
      </w:pPr>
    </w:p>
    <w:sectPr w:rsidR="009B3A85" w:rsidRPr="005338DF" w:rsidSect="007F24EE">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EDB84" w14:textId="77777777" w:rsidR="007F24EE" w:rsidRDefault="007F24EE" w:rsidP="009C6621">
      <w:pPr>
        <w:spacing w:after="0" w:line="240" w:lineRule="auto"/>
      </w:pPr>
      <w:r>
        <w:separator/>
      </w:r>
    </w:p>
  </w:endnote>
  <w:endnote w:type="continuationSeparator" w:id="0">
    <w:p w14:paraId="0EF02280" w14:textId="77777777" w:rsidR="007F24EE" w:rsidRDefault="007F24EE" w:rsidP="009C6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2737351"/>
      <w:docPartObj>
        <w:docPartGallery w:val="Page Numbers (Bottom of Page)"/>
        <w:docPartUnique/>
      </w:docPartObj>
    </w:sdtPr>
    <w:sdtContent>
      <w:p w14:paraId="03202A39" w14:textId="3EBE62DA" w:rsidR="00185AE6" w:rsidRDefault="00185AE6" w:rsidP="00185A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DEF315" w14:textId="77777777" w:rsidR="00185AE6" w:rsidRDefault="00185AE6" w:rsidP="00185A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2612683"/>
      <w:docPartObj>
        <w:docPartGallery w:val="Page Numbers (Bottom of Page)"/>
        <w:docPartUnique/>
      </w:docPartObj>
    </w:sdtPr>
    <w:sdtContent>
      <w:p w14:paraId="14DA3F93" w14:textId="29982B8F" w:rsidR="00185AE6" w:rsidRDefault="00185AE6" w:rsidP="00185AE6">
        <w:pPr>
          <w:pStyle w:val="Footer"/>
          <w:framePr w:wrap="none" w:vAnchor="text" w:hAnchor="margin" w:xAlign="right" w:y="1"/>
          <w:rPr>
            <w:rStyle w:val="PageNumber"/>
          </w:rPr>
        </w:pPr>
        <w:r w:rsidRPr="00185AE6">
          <w:rPr>
            <w:rStyle w:val="PageNumber"/>
            <w:rFonts w:ascii="Times New Roman" w:hAnsi="Times New Roman" w:cs="Times New Roman"/>
          </w:rPr>
          <w:fldChar w:fldCharType="begin"/>
        </w:r>
        <w:r w:rsidRPr="00185AE6">
          <w:rPr>
            <w:rStyle w:val="PageNumber"/>
            <w:rFonts w:ascii="Times New Roman" w:hAnsi="Times New Roman" w:cs="Times New Roman"/>
          </w:rPr>
          <w:instrText xml:space="preserve"> PAGE </w:instrText>
        </w:r>
        <w:r w:rsidRPr="00185AE6">
          <w:rPr>
            <w:rStyle w:val="PageNumber"/>
            <w:rFonts w:ascii="Times New Roman" w:hAnsi="Times New Roman" w:cs="Times New Roman"/>
          </w:rPr>
          <w:fldChar w:fldCharType="separate"/>
        </w:r>
        <w:r w:rsidRPr="00185AE6">
          <w:rPr>
            <w:rStyle w:val="PageNumber"/>
            <w:rFonts w:ascii="Times New Roman" w:hAnsi="Times New Roman" w:cs="Times New Roman"/>
            <w:noProof/>
          </w:rPr>
          <w:t>3</w:t>
        </w:r>
        <w:r w:rsidRPr="00185AE6">
          <w:rPr>
            <w:rStyle w:val="PageNumber"/>
            <w:rFonts w:ascii="Times New Roman" w:hAnsi="Times New Roman" w:cs="Times New Roman"/>
          </w:rPr>
          <w:fldChar w:fldCharType="end"/>
        </w:r>
      </w:p>
    </w:sdtContent>
  </w:sdt>
  <w:p w14:paraId="5FE95121" w14:textId="77777777" w:rsidR="00185AE6" w:rsidRDefault="00185AE6" w:rsidP="00185AE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6E48B" w14:textId="3244D93C" w:rsidR="008E52FB" w:rsidRPr="003848A0" w:rsidRDefault="00185AE6" w:rsidP="005B264D">
    <w:pPr>
      <w:pStyle w:val="Footer"/>
      <w:jc w:val="right"/>
      <w:rPr>
        <w:rFonts w:ascii="Times New Roman" w:hAnsi="Times New Roman" w:cs="Times New Roman"/>
      </w:rPr>
    </w:pPr>
    <w:r>
      <w:rPr>
        <w:rFonts w:ascii="Times New Roman" w:hAnsi="Times New Roman" w:cs="Times New Roman"/>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458425861"/>
      <w:docPartObj>
        <w:docPartGallery w:val="Page Numbers (Bottom of Page)"/>
        <w:docPartUnique/>
      </w:docPartObj>
    </w:sdtPr>
    <w:sdtContent>
      <w:p w14:paraId="29335056" w14:textId="0C4D2147" w:rsidR="004141F7" w:rsidRPr="004141F7" w:rsidRDefault="004141F7" w:rsidP="00345AC2">
        <w:pPr>
          <w:pStyle w:val="Footer"/>
          <w:framePr w:wrap="none" w:vAnchor="text" w:hAnchor="margin" w:xAlign="right" w:y="1"/>
          <w:rPr>
            <w:rStyle w:val="PageNumber"/>
            <w:rFonts w:ascii="Times New Roman" w:hAnsi="Times New Roman" w:cs="Times New Roman"/>
          </w:rPr>
        </w:pPr>
        <w:r w:rsidRPr="004141F7">
          <w:rPr>
            <w:rStyle w:val="PageNumber"/>
            <w:rFonts w:ascii="Times New Roman" w:hAnsi="Times New Roman" w:cs="Times New Roman"/>
          </w:rPr>
          <w:fldChar w:fldCharType="begin"/>
        </w:r>
        <w:r w:rsidRPr="004141F7">
          <w:rPr>
            <w:rStyle w:val="PageNumber"/>
            <w:rFonts w:ascii="Times New Roman" w:hAnsi="Times New Roman" w:cs="Times New Roman"/>
          </w:rPr>
          <w:instrText xml:space="preserve"> PAGE </w:instrText>
        </w:r>
        <w:r w:rsidRPr="004141F7">
          <w:rPr>
            <w:rStyle w:val="PageNumber"/>
            <w:rFonts w:ascii="Times New Roman" w:hAnsi="Times New Roman" w:cs="Times New Roman"/>
          </w:rPr>
          <w:fldChar w:fldCharType="separate"/>
        </w:r>
        <w:r w:rsidRPr="004141F7">
          <w:rPr>
            <w:rStyle w:val="PageNumber"/>
            <w:rFonts w:ascii="Times New Roman" w:hAnsi="Times New Roman" w:cs="Times New Roman"/>
            <w:noProof/>
          </w:rPr>
          <w:t>8</w:t>
        </w:r>
        <w:r w:rsidRPr="004141F7">
          <w:rPr>
            <w:rStyle w:val="PageNumber"/>
            <w:rFonts w:ascii="Times New Roman" w:hAnsi="Times New Roman" w:cs="Times New Roman"/>
          </w:rPr>
          <w:fldChar w:fldCharType="end"/>
        </w:r>
      </w:p>
    </w:sdtContent>
  </w:sdt>
  <w:p w14:paraId="78C20F99" w14:textId="0D878CE5" w:rsidR="008E52FB" w:rsidRPr="003848A0" w:rsidRDefault="008E52FB" w:rsidP="004141F7">
    <w:pPr>
      <w:pStyle w:val="Footer"/>
      <w:ind w:right="360"/>
      <w:jc w:val="right"/>
      <w:rPr>
        <w:rFonts w:ascii="Times New Roman" w:hAnsi="Times New Roman" w:cs="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13CB" w14:textId="0E46724B" w:rsidR="008E52FB" w:rsidRPr="003848A0" w:rsidRDefault="004141F7" w:rsidP="004141F7">
    <w:pPr>
      <w:pStyle w:val="Footer"/>
      <w:ind w:right="360"/>
      <w:jc w:val="right"/>
      <w:rPr>
        <w:rFonts w:ascii="Times New Roman" w:hAnsi="Times New Roman" w:cs="Times New Roman"/>
      </w:rPr>
    </w:pPr>
    <w:r>
      <w:rPr>
        <w:rFonts w:ascii="Times New Roman" w:hAnsi="Times New Roman" w:cs="Times New Roman"/>
      </w:rPr>
      <w:t>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7427827"/>
      <w:docPartObj>
        <w:docPartGallery w:val="Page Numbers (Bottom of Page)"/>
        <w:docPartUnique/>
      </w:docPartObj>
    </w:sdtPr>
    <w:sdtContent>
      <w:p w14:paraId="1CAF31A0" w14:textId="40CE965A" w:rsidR="004141F7" w:rsidRDefault="004141F7" w:rsidP="00345AC2">
        <w:pPr>
          <w:pStyle w:val="Footer"/>
          <w:framePr w:wrap="none" w:vAnchor="text" w:hAnchor="margin" w:xAlign="right" w:y="1"/>
          <w:rPr>
            <w:rStyle w:val="PageNumber"/>
          </w:rPr>
        </w:pPr>
        <w:r w:rsidRPr="004141F7">
          <w:rPr>
            <w:rStyle w:val="PageNumber"/>
            <w:rFonts w:ascii="Times New Roman" w:hAnsi="Times New Roman" w:cs="Times New Roman"/>
          </w:rPr>
          <w:fldChar w:fldCharType="begin"/>
        </w:r>
        <w:r w:rsidRPr="004141F7">
          <w:rPr>
            <w:rStyle w:val="PageNumber"/>
            <w:rFonts w:ascii="Times New Roman" w:hAnsi="Times New Roman" w:cs="Times New Roman"/>
          </w:rPr>
          <w:instrText xml:space="preserve"> PAGE </w:instrText>
        </w:r>
        <w:r w:rsidRPr="004141F7">
          <w:rPr>
            <w:rStyle w:val="PageNumber"/>
            <w:rFonts w:ascii="Times New Roman" w:hAnsi="Times New Roman" w:cs="Times New Roman"/>
          </w:rPr>
          <w:fldChar w:fldCharType="separate"/>
        </w:r>
        <w:r w:rsidRPr="004141F7">
          <w:rPr>
            <w:rStyle w:val="PageNumber"/>
            <w:rFonts w:ascii="Times New Roman" w:hAnsi="Times New Roman" w:cs="Times New Roman"/>
            <w:noProof/>
          </w:rPr>
          <w:t>14</w:t>
        </w:r>
        <w:r w:rsidRPr="004141F7">
          <w:rPr>
            <w:rStyle w:val="PageNumber"/>
            <w:rFonts w:ascii="Times New Roman" w:hAnsi="Times New Roman" w:cs="Times New Roman"/>
          </w:rPr>
          <w:fldChar w:fldCharType="end"/>
        </w:r>
      </w:p>
    </w:sdtContent>
  </w:sdt>
  <w:p w14:paraId="239ADA27" w14:textId="62D387F3" w:rsidR="008E52FB" w:rsidRPr="003848A0" w:rsidRDefault="008E52FB" w:rsidP="004141F7">
    <w:pPr>
      <w:pStyle w:val="Footer"/>
      <w:ind w:right="360"/>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7488E" w14:textId="77777777" w:rsidR="007F24EE" w:rsidRDefault="007F24EE" w:rsidP="009C6621">
      <w:pPr>
        <w:spacing w:after="0" w:line="240" w:lineRule="auto"/>
      </w:pPr>
      <w:r>
        <w:separator/>
      </w:r>
    </w:p>
  </w:footnote>
  <w:footnote w:type="continuationSeparator" w:id="0">
    <w:p w14:paraId="3E19EFD2" w14:textId="77777777" w:rsidR="007F24EE" w:rsidRDefault="007F24EE" w:rsidP="009C6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013F"/>
    <w:multiLevelType w:val="hybridMultilevel"/>
    <w:tmpl w:val="D7C68A3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E7A7E"/>
    <w:multiLevelType w:val="hybridMultilevel"/>
    <w:tmpl w:val="615CA5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9502DB26">
      <w:start w:val="87"/>
      <w:numFmt w:val="bullet"/>
      <w:lvlText w:val="-"/>
      <w:lvlJc w:val="left"/>
      <w:pPr>
        <w:ind w:left="3600" w:hanging="360"/>
      </w:pPr>
      <w:rPr>
        <w:rFonts w:ascii="Arial Narrow" w:eastAsiaTheme="minorHAnsi" w:hAnsi="Arial Narrow" w:cs="Aria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24BFA"/>
    <w:multiLevelType w:val="hybridMultilevel"/>
    <w:tmpl w:val="AF7E24A6"/>
    <w:lvl w:ilvl="0" w:tplc="12105808">
      <w:start w:val="1"/>
      <w:numFmt w:val="decimal"/>
      <w:lvlText w:val="%1."/>
      <w:lvlJc w:val="left"/>
      <w:pPr>
        <w:ind w:left="720" w:hanging="360"/>
      </w:pPr>
      <w:rPr>
        <w:rFonts w:ascii="Arial" w:eastAsia="Calibri" w:hAnsi="Arial" w:cs="Arial" w:hint="default"/>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CA5B8F"/>
    <w:multiLevelType w:val="multilevel"/>
    <w:tmpl w:val="AAB6BA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D06444"/>
    <w:multiLevelType w:val="hybridMultilevel"/>
    <w:tmpl w:val="BE901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2916B5"/>
    <w:multiLevelType w:val="hybridMultilevel"/>
    <w:tmpl w:val="C78E1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6059E4"/>
    <w:multiLevelType w:val="hybridMultilevel"/>
    <w:tmpl w:val="9FE6D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E121C"/>
    <w:multiLevelType w:val="hybridMultilevel"/>
    <w:tmpl w:val="DD3A7C00"/>
    <w:lvl w:ilvl="0" w:tplc="0C090003">
      <w:start w:val="1"/>
      <w:numFmt w:val="bullet"/>
      <w:lvlText w:val="o"/>
      <w:lvlJc w:val="left"/>
      <w:pPr>
        <w:ind w:left="1095" w:hanging="360"/>
      </w:pPr>
      <w:rPr>
        <w:rFonts w:ascii="Courier New" w:hAnsi="Courier New" w:cs="Courier New" w:hint="default"/>
      </w:rPr>
    </w:lvl>
    <w:lvl w:ilvl="1" w:tplc="0C090003" w:tentative="1">
      <w:start w:val="1"/>
      <w:numFmt w:val="bullet"/>
      <w:lvlText w:val="o"/>
      <w:lvlJc w:val="left"/>
      <w:pPr>
        <w:ind w:left="1815" w:hanging="360"/>
      </w:pPr>
      <w:rPr>
        <w:rFonts w:ascii="Courier New" w:hAnsi="Courier New" w:cs="Courier New" w:hint="default"/>
      </w:rPr>
    </w:lvl>
    <w:lvl w:ilvl="2" w:tplc="0C090005" w:tentative="1">
      <w:start w:val="1"/>
      <w:numFmt w:val="bullet"/>
      <w:lvlText w:val=""/>
      <w:lvlJc w:val="left"/>
      <w:pPr>
        <w:ind w:left="2535" w:hanging="360"/>
      </w:pPr>
      <w:rPr>
        <w:rFonts w:ascii="Wingdings" w:hAnsi="Wingdings" w:hint="default"/>
      </w:rPr>
    </w:lvl>
    <w:lvl w:ilvl="3" w:tplc="0C090001" w:tentative="1">
      <w:start w:val="1"/>
      <w:numFmt w:val="bullet"/>
      <w:lvlText w:val=""/>
      <w:lvlJc w:val="left"/>
      <w:pPr>
        <w:ind w:left="3255" w:hanging="360"/>
      </w:pPr>
      <w:rPr>
        <w:rFonts w:ascii="Symbol" w:hAnsi="Symbol" w:hint="default"/>
      </w:rPr>
    </w:lvl>
    <w:lvl w:ilvl="4" w:tplc="0C090003" w:tentative="1">
      <w:start w:val="1"/>
      <w:numFmt w:val="bullet"/>
      <w:lvlText w:val="o"/>
      <w:lvlJc w:val="left"/>
      <w:pPr>
        <w:ind w:left="3975" w:hanging="360"/>
      </w:pPr>
      <w:rPr>
        <w:rFonts w:ascii="Courier New" w:hAnsi="Courier New" w:cs="Courier New" w:hint="default"/>
      </w:rPr>
    </w:lvl>
    <w:lvl w:ilvl="5" w:tplc="0C090005" w:tentative="1">
      <w:start w:val="1"/>
      <w:numFmt w:val="bullet"/>
      <w:lvlText w:val=""/>
      <w:lvlJc w:val="left"/>
      <w:pPr>
        <w:ind w:left="4695" w:hanging="360"/>
      </w:pPr>
      <w:rPr>
        <w:rFonts w:ascii="Wingdings" w:hAnsi="Wingdings" w:hint="default"/>
      </w:rPr>
    </w:lvl>
    <w:lvl w:ilvl="6" w:tplc="0C090001" w:tentative="1">
      <w:start w:val="1"/>
      <w:numFmt w:val="bullet"/>
      <w:lvlText w:val=""/>
      <w:lvlJc w:val="left"/>
      <w:pPr>
        <w:ind w:left="5415" w:hanging="360"/>
      </w:pPr>
      <w:rPr>
        <w:rFonts w:ascii="Symbol" w:hAnsi="Symbol" w:hint="default"/>
      </w:rPr>
    </w:lvl>
    <w:lvl w:ilvl="7" w:tplc="0C090003" w:tentative="1">
      <w:start w:val="1"/>
      <w:numFmt w:val="bullet"/>
      <w:lvlText w:val="o"/>
      <w:lvlJc w:val="left"/>
      <w:pPr>
        <w:ind w:left="6135" w:hanging="360"/>
      </w:pPr>
      <w:rPr>
        <w:rFonts w:ascii="Courier New" w:hAnsi="Courier New" w:cs="Courier New" w:hint="default"/>
      </w:rPr>
    </w:lvl>
    <w:lvl w:ilvl="8" w:tplc="0C090005" w:tentative="1">
      <w:start w:val="1"/>
      <w:numFmt w:val="bullet"/>
      <w:lvlText w:val=""/>
      <w:lvlJc w:val="left"/>
      <w:pPr>
        <w:ind w:left="6855" w:hanging="360"/>
      </w:pPr>
      <w:rPr>
        <w:rFonts w:ascii="Wingdings" w:hAnsi="Wingdings" w:hint="default"/>
      </w:rPr>
    </w:lvl>
  </w:abstractNum>
  <w:abstractNum w:abstractNumId="8" w15:restartNumberingAfterBreak="0">
    <w:nsid w:val="2D8D24BA"/>
    <w:multiLevelType w:val="hybridMultilevel"/>
    <w:tmpl w:val="7806E6C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B">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2C2B06"/>
    <w:multiLevelType w:val="hybridMultilevel"/>
    <w:tmpl w:val="9BBCF5CA"/>
    <w:lvl w:ilvl="0" w:tplc="0C09000B">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3AF629E4"/>
    <w:multiLevelType w:val="hybridMultilevel"/>
    <w:tmpl w:val="A4BC5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916D64"/>
    <w:multiLevelType w:val="hybridMultilevel"/>
    <w:tmpl w:val="260AC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DF0E2A"/>
    <w:multiLevelType w:val="hybridMultilevel"/>
    <w:tmpl w:val="EB12C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A74439"/>
    <w:multiLevelType w:val="hybridMultilevel"/>
    <w:tmpl w:val="DF206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927D39"/>
    <w:multiLevelType w:val="hybridMultilevel"/>
    <w:tmpl w:val="721E5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1B2A26"/>
    <w:multiLevelType w:val="hybridMultilevel"/>
    <w:tmpl w:val="5B1CD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A25D05"/>
    <w:multiLevelType w:val="hybridMultilevel"/>
    <w:tmpl w:val="9F565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8705180">
    <w:abstractNumId w:val="3"/>
  </w:num>
  <w:num w:numId="2" w16cid:durableId="2092309637">
    <w:abstractNumId w:val="2"/>
  </w:num>
  <w:num w:numId="3" w16cid:durableId="995693973">
    <w:abstractNumId w:val="5"/>
  </w:num>
  <w:num w:numId="4" w16cid:durableId="2020813563">
    <w:abstractNumId w:val="1"/>
  </w:num>
  <w:num w:numId="5" w16cid:durableId="1893734712">
    <w:abstractNumId w:val="8"/>
  </w:num>
  <w:num w:numId="6" w16cid:durableId="484668411">
    <w:abstractNumId w:val="10"/>
  </w:num>
  <w:num w:numId="7" w16cid:durableId="492373701">
    <w:abstractNumId w:val="13"/>
  </w:num>
  <w:num w:numId="8" w16cid:durableId="180508620">
    <w:abstractNumId w:val="12"/>
  </w:num>
  <w:num w:numId="9" w16cid:durableId="1196042955">
    <w:abstractNumId w:val="14"/>
  </w:num>
  <w:num w:numId="10" w16cid:durableId="1901552423">
    <w:abstractNumId w:val="16"/>
  </w:num>
  <w:num w:numId="11" w16cid:durableId="928276689">
    <w:abstractNumId w:val="15"/>
  </w:num>
  <w:num w:numId="12" w16cid:durableId="179318910">
    <w:abstractNumId w:val="9"/>
  </w:num>
  <w:num w:numId="13" w16cid:durableId="1473019456">
    <w:abstractNumId w:val="6"/>
  </w:num>
  <w:num w:numId="14" w16cid:durableId="1822576165">
    <w:abstractNumId w:val="11"/>
  </w:num>
  <w:num w:numId="15" w16cid:durableId="500463534">
    <w:abstractNumId w:val="7"/>
  </w:num>
  <w:num w:numId="16" w16cid:durableId="803039780">
    <w:abstractNumId w:val="0"/>
  </w:num>
  <w:num w:numId="17" w16cid:durableId="209844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Epidemiol Psychiatr Sci&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xvrv2z2grvep7edadtp9etaf2d99sttp229&quot;&gt;SPA report-Converted&lt;record-ids&gt;&lt;item&gt;1&lt;/item&gt;&lt;item&gt;2&lt;/item&gt;&lt;item&gt;3&lt;/item&gt;&lt;item&gt;4&lt;/item&gt;&lt;item&gt;5&lt;/item&gt;&lt;item&gt;7&lt;/item&gt;&lt;item&gt;8&lt;/item&gt;&lt;item&gt;11&lt;/item&gt;&lt;item&gt;14&lt;/item&gt;&lt;item&gt;27&lt;/item&gt;&lt;item&gt;31&lt;/item&gt;&lt;item&gt;34&lt;/item&gt;&lt;item&gt;35&lt;/item&gt;&lt;item&gt;36&lt;/item&gt;&lt;item&gt;39&lt;/item&gt;&lt;item&gt;47&lt;/item&gt;&lt;item&gt;49&lt;/item&gt;&lt;item&gt;54&lt;/item&gt;&lt;item&gt;59&lt;/item&gt;&lt;item&gt;60&lt;/item&gt;&lt;item&gt;61&lt;/item&gt;&lt;item&gt;62&lt;/item&gt;&lt;item&gt;63&lt;/item&gt;&lt;item&gt;64&lt;/item&gt;&lt;item&gt;65&lt;/item&gt;&lt;item&gt;66&lt;/item&gt;&lt;item&gt;67&lt;/item&gt;&lt;item&gt;68&lt;/item&gt;&lt;item&gt;70&lt;/item&gt;&lt;item&gt;71&lt;/item&gt;&lt;item&gt;72&lt;/item&gt;&lt;item&gt;74&lt;/item&gt;&lt;item&gt;76&lt;/item&gt;&lt;item&gt;78&lt;/item&gt;&lt;item&gt;80&lt;/item&gt;&lt;item&gt;88&lt;/item&gt;&lt;item&gt;89&lt;/item&gt;&lt;item&gt;90&lt;/item&gt;&lt;item&gt;91&lt;/item&gt;&lt;/record-ids&gt;&lt;/item&gt;&lt;/Libraries&gt;"/>
  </w:docVars>
  <w:rsids>
    <w:rsidRoot w:val="002901BE"/>
    <w:rsid w:val="00000A10"/>
    <w:rsid w:val="00001557"/>
    <w:rsid w:val="00001870"/>
    <w:rsid w:val="00003CAE"/>
    <w:rsid w:val="00006B15"/>
    <w:rsid w:val="0000799D"/>
    <w:rsid w:val="00007EB8"/>
    <w:rsid w:val="00013DAA"/>
    <w:rsid w:val="00014458"/>
    <w:rsid w:val="000174DB"/>
    <w:rsid w:val="00021145"/>
    <w:rsid w:val="0002173E"/>
    <w:rsid w:val="000229B9"/>
    <w:rsid w:val="00025311"/>
    <w:rsid w:val="000273EA"/>
    <w:rsid w:val="0003398B"/>
    <w:rsid w:val="00035B3E"/>
    <w:rsid w:val="00036480"/>
    <w:rsid w:val="00036C8D"/>
    <w:rsid w:val="00037DFA"/>
    <w:rsid w:val="00043A4C"/>
    <w:rsid w:val="00044AB7"/>
    <w:rsid w:val="000463FC"/>
    <w:rsid w:val="00046A25"/>
    <w:rsid w:val="00047365"/>
    <w:rsid w:val="000518D9"/>
    <w:rsid w:val="00052D38"/>
    <w:rsid w:val="00054DF9"/>
    <w:rsid w:val="00055FD8"/>
    <w:rsid w:val="00060206"/>
    <w:rsid w:val="00060626"/>
    <w:rsid w:val="00060A0E"/>
    <w:rsid w:val="00061156"/>
    <w:rsid w:val="00061B72"/>
    <w:rsid w:val="00062E7B"/>
    <w:rsid w:val="00062FA8"/>
    <w:rsid w:val="00064378"/>
    <w:rsid w:val="000645BE"/>
    <w:rsid w:val="000665CF"/>
    <w:rsid w:val="00066A63"/>
    <w:rsid w:val="00067730"/>
    <w:rsid w:val="000706EF"/>
    <w:rsid w:val="00070D8F"/>
    <w:rsid w:val="00071BA4"/>
    <w:rsid w:val="00080DBA"/>
    <w:rsid w:val="00082CD1"/>
    <w:rsid w:val="00085B7F"/>
    <w:rsid w:val="00087022"/>
    <w:rsid w:val="00087B12"/>
    <w:rsid w:val="0009174D"/>
    <w:rsid w:val="00091D7D"/>
    <w:rsid w:val="000923C7"/>
    <w:rsid w:val="0009364F"/>
    <w:rsid w:val="00093B14"/>
    <w:rsid w:val="00093B8B"/>
    <w:rsid w:val="000964FA"/>
    <w:rsid w:val="00096580"/>
    <w:rsid w:val="000974D8"/>
    <w:rsid w:val="000A0D91"/>
    <w:rsid w:val="000B035B"/>
    <w:rsid w:val="000B114A"/>
    <w:rsid w:val="000B1F5B"/>
    <w:rsid w:val="000B79BA"/>
    <w:rsid w:val="000C0E51"/>
    <w:rsid w:val="000C3F0E"/>
    <w:rsid w:val="000C418A"/>
    <w:rsid w:val="000C7158"/>
    <w:rsid w:val="000C72F0"/>
    <w:rsid w:val="000D2CCA"/>
    <w:rsid w:val="000D3807"/>
    <w:rsid w:val="000D3A8C"/>
    <w:rsid w:val="000D5449"/>
    <w:rsid w:val="000D5897"/>
    <w:rsid w:val="000D5A07"/>
    <w:rsid w:val="000D5F60"/>
    <w:rsid w:val="000D6800"/>
    <w:rsid w:val="000E261B"/>
    <w:rsid w:val="000E2BA4"/>
    <w:rsid w:val="000E3D4B"/>
    <w:rsid w:val="000E7028"/>
    <w:rsid w:val="000F1F35"/>
    <w:rsid w:val="000F2880"/>
    <w:rsid w:val="000F2887"/>
    <w:rsid w:val="000F2F98"/>
    <w:rsid w:val="000F427D"/>
    <w:rsid w:val="000F527F"/>
    <w:rsid w:val="000F74B4"/>
    <w:rsid w:val="00105E0E"/>
    <w:rsid w:val="00106498"/>
    <w:rsid w:val="001100E9"/>
    <w:rsid w:val="00110F53"/>
    <w:rsid w:val="00113D23"/>
    <w:rsid w:val="00115816"/>
    <w:rsid w:val="001177ED"/>
    <w:rsid w:val="00120186"/>
    <w:rsid w:val="00120911"/>
    <w:rsid w:val="00121907"/>
    <w:rsid w:val="00123433"/>
    <w:rsid w:val="001276E9"/>
    <w:rsid w:val="00133C66"/>
    <w:rsid w:val="00134573"/>
    <w:rsid w:val="00134DB2"/>
    <w:rsid w:val="001350DC"/>
    <w:rsid w:val="00135C43"/>
    <w:rsid w:val="00136FB3"/>
    <w:rsid w:val="00137965"/>
    <w:rsid w:val="00145DC8"/>
    <w:rsid w:val="00146B1A"/>
    <w:rsid w:val="0015197C"/>
    <w:rsid w:val="00152769"/>
    <w:rsid w:val="00152A36"/>
    <w:rsid w:val="00155776"/>
    <w:rsid w:val="00156C94"/>
    <w:rsid w:val="00160BAF"/>
    <w:rsid w:val="00162878"/>
    <w:rsid w:val="00163326"/>
    <w:rsid w:val="00164292"/>
    <w:rsid w:val="00164B27"/>
    <w:rsid w:val="00164FA7"/>
    <w:rsid w:val="001657E2"/>
    <w:rsid w:val="00170F1E"/>
    <w:rsid w:val="00175C25"/>
    <w:rsid w:val="00175E21"/>
    <w:rsid w:val="00177A9F"/>
    <w:rsid w:val="001805B1"/>
    <w:rsid w:val="001812D7"/>
    <w:rsid w:val="001849B0"/>
    <w:rsid w:val="00185AE6"/>
    <w:rsid w:val="0018615F"/>
    <w:rsid w:val="001872DF"/>
    <w:rsid w:val="00187E4C"/>
    <w:rsid w:val="0019178F"/>
    <w:rsid w:val="00191B06"/>
    <w:rsid w:val="00192FA5"/>
    <w:rsid w:val="00193DC4"/>
    <w:rsid w:val="00194494"/>
    <w:rsid w:val="00196C38"/>
    <w:rsid w:val="00196F31"/>
    <w:rsid w:val="00196F52"/>
    <w:rsid w:val="001A3576"/>
    <w:rsid w:val="001A4704"/>
    <w:rsid w:val="001A511B"/>
    <w:rsid w:val="001A7A64"/>
    <w:rsid w:val="001B0D3A"/>
    <w:rsid w:val="001B0F03"/>
    <w:rsid w:val="001B134C"/>
    <w:rsid w:val="001C393C"/>
    <w:rsid w:val="001C54DA"/>
    <w:rsid w:val="001C5C75"/>
    <w:rsid w:val="001C780B"/>
    <w:rsid w:val="001D0D63"/>
    <w:rsid w:val="001D4123"/>
    <w:rsid w:val="001D4515"/>
    <w:rsid w:val="001D4550"/>
    <w:rsid w:val="001D5273"/>
    <w:rsid w:val="001D59A5"/>
    <w:rsid w:val="001D5ADE"/>
    <w:rsid w:val="001D5F31"/>
    <w:rsid w:val="001D7021"/>
    <w:rsid w:val="001D7491"/>
    <w:rsid w:val="001D784D"/>
    <w:rsid w:val="001D7D55"/>
    <w:rsid w:val="001E107A"/>
    <w:rsid w:val="001E29F3"/>
    <w:rsid w:val="001E330F"/>
    <w:rsid w:val="001E3401"/>
    <w:rsid w:val="001E5041"/>
    <w:rsid w:val="001E6680"/>
    <w:rsid w:val="001E6A58"/>
    <w:rsid w:val="001F2B47"/>
    <w:rsid w:val="001F38F0"/>
    <w:rsid w:val="001F4571"/>
    <w:rsid w:val="001F486F"/>
    <w:rsid w:val="001F5D6C"/>
    <w:rsid w:val="00200C49"/>
    <w:rsid w:val="00201DAF"/>
    <w:rsid w:val="00202C28"/>
    <w:rsid w:val="0020642A"/>
    <w:rsid w:val="00206685"/>
    <w:rsid w:val="0020771C"/>
    <w:rsid w:val="00210306"/>
    <w:rsid w:val="0021220F"/>
    <w:rsid w:val="002141FE"/>
    <w:rsid w:val="0021568A"/>
    <w:rsid w:val="00215DF0"/>
    <w:rsid w:val="00216422"/>
    <w:rsid w:val="00216AD0"/>
    <w:rsid w:val="002217AE"/>
    <w:rsid w:val="00221B0F"/>
    <w:rsid w:val="00221CAD"/>
    <w:rsid w:val="00224A7D"/>
    <w:rsid w:val="00225CE1"/>
    <w:rsid w:val="00227471"/>
    <w:rsid w:val="002310FA"/>
    <w:rsid w:val="00231EB1"/>
    <w:rsid w:val="00233D89"/>
    <w:rsid w:val="0023599A"/>
    <w:rsid w:val="00237DE2"/>
    <w:rsid w:val="00242676"/>
    <w:rsid w:val="0024552A"/>
    <w:rsid w:val="0024699C"/>
    <w:rsid w:val="002472A3"/>
    <w:rsid w:val="00247EFE"/>
    <w:rsid w:val="002522FC"/>
    <w:rsid w:val="00252C82"/>
    <w:rsid w:val="00255A0B"/>
    <w:rsid w:val="00256DF5"/>
    <w:rsid w:val="00257FB3"/>
    <w:rsid w:val="0026181F"/>
    <w:rsid w:val="00263ABF"/>
    <w:rsid w:val="00264EC0"/>
    <w:rsid w:val="00265DBA"/>
    <w:rsid w:val="0026659F"/>
    <w:rsid w:val="00270675"/>
    <w:rsid w:val="00271D66"/>
    <w:rsid w:val="0027417F"/>
    <w:rsid w:val="00274B3A"/>
    <w:rsid w:val="0027507B"/>
    <w:rsid w:val="00277D7D"/>
    <w:rsid w:val="00283B0D"/>
    <w:rsid w:val="002849E2"/>
    <w:rsid w:val="0028524A"/>
    <w:rsid w:val="00285745"/>
    <w:rsid w:val="00285C46"/>
    <w:rsid w:val="0028720E"/>
    <w:rsid w:val="002901BE"/>
    <w:rsid w:val="00291C2B"/>
    <w:rsid w:val="00292D1B"/>
    <w:rsid w:val="00293607"/>
    <w:rsid w:val="002939A8"/>
    <w:rsid w:val="0029493D"/>
    <w:rsid w:val="0029598C"/>
    <w:rsid w:val="002A1D70"/>
    <w:rsid w:val="002A2286"/>
    <w:rsid w:val="002A53EE"/>
    <w:rsid w:val="002A55F7"/>
    <w:rsid w:val="002B1827"/>
    <w:rsid w:val="002B31EF"/>
    <w:rsid w:val="002B40E6"/>
    <w:rsid w:val="002B5BCE"/>
    <w:rsid w:val="002B7225"/>
    <w:rsid w:val="002B7984"/>
    <w:rsid w:val="002C0681"/>
    <w:rsid w:val="002C219C"/>
    <w:rsid w:val="002C4350"/>
    <w:rsid w:val="002C4F48"/>
    <w:rsid w:val="002C602B"/>
    <w:rsid w:val="002C6F18"/>
    <w:rsid w:val="002D4DE3"/>
    <w:rsid w:val="002D55D9"/>
    <w:rsid w:val="002D57F9"/>
    <w:rsid w:val="002D6A5B"/>
    <w:rsid w:val="002D7F46"/>
    <w:rsid w:val="002E144F"/>
    <w:rsid w:val="002E27FF"/>
    <w:rsid w:val="002E29AA"/>
    <w:rsid w:val="002E2D07"/>
    <w:rsid w:val="002E6CB9"/>
    <w:rsid w:val="002E7233"/>
    <w:rsid w:val="002E766E"/>
    <w:rsid w:val="002F0EE2"/>
    <w:rsid w:val="002F34E5"/>
    <w:rsid w:val="002F399D"/>
    <w:rsid w:val="002F3DD7"/>
    <w:rsid w:val="002F5BAC"/>
    <w:rsid w:val="00300B44"/>
    <w:rsid w:val="003054F3"/>
    <w:rsid w:val="00305815"/>
    <w:rsid w:val="003062CF"/>
    <w:rsid w:val="0030652C"/>
    <w:rsid w:val="003065A3"/>
    <w:rsid w:val="00312BE9"/>
    <w:rsid w:val="003162EB"/>
    <w:rsid w:val="00321D7D"/>
    <w:rsid w:val="0032213E"/>
    <w:rsid w:val="00324799"/>
    <w:rsid w:val="00325A61"/>
    <w:rsid w:val="0032662C"/>
    <w:rsid w:val="00330040"/>
    <w:rsid w:val="003306E7"/>
    <w:rsid w:val="003307C5"/>
    <w:rsid w:val="00331980"/>
    <w:rsid w:val="00333788"/>
    <w:rsid w:val="003348C8"/>
    <w:rsid w:val="00334B9E"/>
    <w:rsid w:val="003364FE"/>
    <w:rsid w:val="00340275"/>
    <w:rsid w:val="003423FB"/>
    <w:rsid w:val="003435A4"/>
    <w:rsid w:val="00343AE7"/>
    <w:rsid w:val="003465C0"/>
    <w:rsid w:val="0034773C"/>
    <w:rsid w:val="003505D2"/>
    <w:rsid w:val="00351967"/>
    <w:rsid w:val="00352822"/>
    <w:rsid w:val="003546AA"/>
    <w:rsid w:val="0035471F"/>
    <w:rsid w:val="00361A41"/>
    <w:rsid w:val="0036247F"/>
    <w:rsid w:val="0036343C"/>
    <w:rsid w:val="00363905"/>
    <w:rsid w:val="00365B90"/>
    <w:rsid w:val="00367271"/>
    <w:rsid w:val="00367A49"/>
    <w:rsid w:val="0037661F"/>
    <w:rsid w:val="003848A0"/>
    <w:rsid w:val="00385927"/>
    <w:rsid w:val="00387AAA"/>
    <w:rsid w:val="0039062D"/>
    <w:rsid w:val="00391390"/>
    <w:rsid w:val="00391415"/>
    <w:rsid w:val="003969BC"/>
    <w:rsid w:val="00397B6F"/>
    <w:rsid w:val="003A0488"/>
    <w:rsid w:val="003A3E62"/>
    <w:rsid w:val="003A4256"/>
    <w:rsid w:val="003A4F49"/>
    <w:rsid w:val="003A5921"/>
    <w:rsid w:val="003A59F8"/>
    <w:rsid w:val="003A5A86"/>
    <w:rsid w:val="003B43E5"/>
    <w:rsid w:val="003B45AA"/>
    <w:rsid w:val="003B461F"/>
    <w:rsid w:val="003B5556"/>
    <w:rsid w:val="003C0A48"/>
    <w:rsid w:val="003C2F4F"/>
    <w:rsid w:val="003C5212"/>
    <w:rsid w:val="003C551E"/>
    <w:rsid w:val="003D1C53"/>
    <w:rsid w:val="003D4324"/>
    <w:rsid w:val="003D5E52"/>
    <w:rsid w:val="003D63F2"/>
    <w:rsid w:val="003E142C"/>
    <w:rsid w:val="003E17C1"/>
    <w:rsid w:val="003E2D9A"/>
    <w:rsid w:val="003E6797"/>
    <w:rsid w:val="003E773D"/>
    <w:rsid w:val="003F0446"/>
    <w:rsid w:val="003F1216"/>
    <w:rsid w:val="003F2781"/>
    <w:rsid w:val="003F5A35"/>
    <w:rsid w:val="003F7D1C"/>
    <w:rsid w:val="00403654"/>
    <w:rsid w:val="00404E6A"/>
    <w:rsid w:val="00406780"/>
    <w:rsid w:val="00406A03"/>
    <w:rsid w:val="00407425"/>
    <w:rsid w:val="004076AF"/>
    <w:rsid w:val="00407DA5"/>
    <w:rsid w:val="00411CA9"/>
    <w:rsid w:val="004141F7"/>
    <w:rsid w:val="00414D67"/>
    <w:rsid w:val="00415D24"/>
    <w:rsid w:val="0042170D"/>
    <w:rsid w:val="0042181A"/>
    <w:rsid w:val="00427692"/>
    <w:rsid w:val="004303E3"/>
    <w:rsid w:val="00431DFE"/>
    <w:rsid w:val="00433431"/>
    <w:rsid w:val="00441E6A"/>
    <w:rsid w:val="00444650"/>
    <w:rsid w:val="00445977"/>
    <w:rsid w:val="00447E9C"/>
    <w:rsid w:val="004510CE"/>
    <w:rsid w:val="0045175B"/>
    <w:rsid w:val="00451CC5"/>
    <w:rsid w:val="00451CEC"/>
    <w:rsid w:val="00452ADD"/>
    <w:rsid w:val="00454B7E"/>
    <w:rsid w:val="00461AFB"/>
    <w:rsid w:val="00461E3F"/>
    <w:rsid w:val="0046218C"/>
    <w:rsid w:val="0046257A"/>
    <w:rsid w:val="00463695"/>
    <w:rsid w:val="0046386B"/>
    <w:rsid w:val="00463CD4"/>
    <w:rsid w:val="00465A2D"/>
    <w:rsid w:val="00465D33"/>
    <w:rsid w:val="00470388"/>
    <w:rsid w:val="00470A7F"/>
    <w:rsid w:val="00471B3D"/>
    <w:rsid w:val="004756EA"/>
    <w:rsid w:val="00476E19"/>
    <w:rsid w:val="00477BE3"/>
    <w:rsid w:val="004820F0"/>
    <w:rsid w:val="00482AB3"/>
    <w:rsid w:val="00482D03"/>
    <w:rsid w:val="004833A5"/>
    <w:rsid w:val="00485579"/>
    <w:rsid w:val="004862A4"/>
    <w:rsid w:val="00486373"/>
    <w:rsid w:val="00486526"/>
    <w:rsid w:val="00491F6B"/>
    <w:rsid w:val="00492B1D"/>
    <w:rsid w:val="00492E56"/>
    <w:rsid w:val="004949F0"/>
    <w:rsid w:val="00494B92"/>
    <w:rsid w:val="004953E4"/>
    <w:rsid w:val="00496127"/>
    <w:rsid w:val="0049771D"/>
    <w:rsid w:val="004A06FD"/>
    <w:rsid w:val="004A17A7"/>
    <w:rsid w:val="004A1E49"/>
    <w:rsid w:val="004A3A0D"/>
    <w:rsid w:val="004A588B"/>
    <w:rsid w:val="004A7E75"/>
    <w:rsid w:val="004B0398"/>
    <w:rsid w:val="004B0EAC"/>
    <w:rsid w:val="004B443D"/>
    <w:rsid w:val="004B50BD"/>
    <w:rsid w:val="004B6115"/>
    <w:rsid w:val="004C06DD"/>
    <w:rsid w:val="004C1DA9"/>
    <w:rsid w:val="004C1FAD"/>
    <w:rsid w:val="004C256F"/>
    <w:rsid w:val="004C4E43"/>
    <w:rsid w:val="004C5B73"/>
    <w:rsid w:val="004C7F50"/>
    <w:rsid w:val="004D04C0"/>
    <w:rsid w:val="004D0886"/>
    <w:rsid w:val="004D0E8E"/>
    <w:rsid w:val="004D11C7"/>
    <w:rsid w:val="004D2598"/>
    <w:rsid w:val="004D26AC"/>
    <w:rsid w:val="004D48D9"/>
    <w:rsid w:val="004D603D"/>
    <w:rsid w:val="004D79D3"/>
    <w:rsid w:val="004E0652"/>
    <w:rsid w:val="004E1DCA"/>
    <w:rsid w:val="004E1E2D"/>
    <w:rsid w:val="004E2F29"/>
    <w:rsid w:val="004E5C9A"/>
    <w:rsid w:val="004F0EED"/>
    <w:rsid w:val="004F4E48"/>
    <w:rsid w:val="004F5A0C"/>
    <w:rsid w:val="00500141"/>
    <w:rsid w:val="005004A1"/>
    <w:rsid w:val="0050074E"/>
    <w:rsid w:val="0050088C"/>
    <w:rsid w:val="0050136F"/>
    <w:rsid w:val="005019BC"/>
    <w:rsid w:val="00503387"/>
    <w:rsid w:val="00503982"/>
    <w:rsid w:val="00504DF4"/>
    <w:rsid w:val="0050505C"/>
    <w:rsid w:val="00505A1A"/>
    <w:rsid w:val="005106B6"/>
    <w:rsid w:val="00512222"/>
    <w:rsid w:val="0051750F"/>
    <w:rsid w:val="0052063E"/>
    <w:rsid w:val="005248F1"/>
    <w:rsid w:val="0052649F"/>
    <w:rsid w:val="005269FD"/>
    <w:rsid w:val="00527DE4"/>
    <w:rsid w:val="0053042D"/>
    <w:rsid w:val="00532CA1"/>
    <w:rsid w:val="005338DF"/>
    <w:rsid w:val="00534C87"/>
    <w:rsid w:val="0053528F"/>
    <w:rsid w:val="00535376"/>
    <w:rsid w:val="00536D90"/>
    <w:rsid w:val="00537F18"/>
    <w:rsid w:val="0054258A"/>
    <w:rsid w:val="005429EB"/>
    <w:rsid w:val="00543338"/>
    <w:rsid w:val="00546214"/>
    <w:rsid w:val="00547E52"/>
    <w:rsid w:val="00555AEE"/>
    <w:rsid w:val="005570A3"/>
    <w:rsid w:val="00557203"/>
    <w:rsid w:val="005575C9"/>
    <w:rsid w:val="0056119B"/>
    <w:rsid w:val="005616A0"/>
    <w:rsid w:val="00561730"/>
    <w:rsid w:val="00562A9C"/>
    <w:rsid w:val="00565F70"/>
    <w:rsid w:val="00566EC7"/>
    <w:rsid w:val="00570BA7"/>
    <w:rsid w:val="00570EC2"/>
    <w:rsid w:val="00570ED8"/>
    <w:rsid w:val="00570FD7"/>
    <w:rsid w:val="00573280"/>
    <w:rsid w:val="00576EB1"/>
    <w:rsid w:val="00577590"/>
    <w:rsid w:val="005806B6"/>
    <w:rsid w:val="005809B1"/>
    <w:rsid w:val="00581285"/>
    <w:rsid w:val="00581C62"/>
    <w:rsid w:val="00583339"/>
    <w:rsid w:val="0058465C"/>
    <w:rsid w:val="00586130"/>
    <w:rsid w:val="005906E6"/>
    <w:rsid w:val="00592CF6"/>
    <w:rsid w:val="00593A60"/>
    <w:rsid w:val="005942B4"/>
    <w:rsid w:val="00594C10"/>
    <w:rsid w:val="0059612B"/>
    <w:rsid w:val="00597148"/>
    <w:rsid w:val="005A09BB"/>
    <w:rsid w:val="005A10C5"/>
    <w:rsid w:val="005A12E0"/>
    <w:rsid w:val="005A23B4"/>
    <w:rsid w:val="005A3329"/>
    <w:rsid w:val="005A3BDA"/>
    <w:rsid w:val="005A557D"/>
    <w:rsid w:val="005A6C6A"/>
    <w:rsid w:val="005B0CF2"/>
    <w:rsid w:val="005B1502"/>
    <w:rsid w:val="005B1949"/>
    <w:rsid w:val="005B264D"/>
    <w:rsid w:val="005B3FE8"/>
    <w:rsid w:val="005B40F5"/>
    <w:rsid w:val="005B54C7"/>
    <w:rsid w:val="005B6919"/>
    <w:rsid w:val="005B797A"/>
    <w:rsid w:val="005C3D58"/>
    <w:rsid w:val="005C6BB9"/>
    <w:rsid w:val="005D0B2A"/>
    <w:rsid w:val="005D116D"/>
    <w:rsid w:val="005D2227"/>
    <w:rsid w:val="005D2AAB"/>
    <w:rsid w:val="005D51B2"/>
    <w:rsid w:val="005D5C23"/>
    <w:rsid w:val="005E0F46"/>
    <w:rsid w:val="005E293A"/>
    <w:rsid w:val="005E49C0"/>
    <w:rsid w:val="005E6034"/>
    <w:rsid w:val="005E74C3"/>
    <w:rsid w:val="005E778C"/>
    <w:rsid w:val="005F1CA7"/>
    <w:rsid w:val="005F1FB3"/>
    <w:rsid w:val="005F2C77"/>
    <w:rsid w:val="005F7610"/>
    <w:rsid w:val="0060182C"/>
    <w:rsid w:val="0060373C"/>
    <w:rsid w:val="006046C9"/>
    <w:rsid w:val="00605152"/>
    <w:rsid w:val="00606177"/>
    <w:rsid w:val="006076CB"/>
    <w:rsid w:val="00610650"/>
    <w:rsid w:val="00610A7B"/>
    <w:rsid w:val="006111D1"/>
    <w:rsid w:val="00611CA0"/>
    <w:rsid w:val="006200B0"/>
    <w:rsid w:val="00620B5C"/>
    <w:rsid w:val="00622A45"/>
    <w:rsid w:val="0062463A"/>
    <w:rsid w:val="00624D7F"/>
    <w:rsid w:val="006252BC"/>
    <w:rsid w:val="006265B0"/>
    <w:rsid w:val="00627974"/>
    <w:rsid w:val="00632C67"/>
    <w:rsid w:val="006334EB"/>
    <w:rsid w:val="006344C2"/>
    <w:rsid w:val="0063586D"/>
    <w:rsid w:val="006366EC"/>
    <w:rsid w:val="00640631"/>
    <w:rsid w:val="00642FB7"/>
    <w:rsid w:val="00643D28"/>
    <w:rsid w:val="00646914"/>
    <w:rsid w:val="00647735"/>
    <w:rsid w:val="006505A8"/>
    <w:rsid w:val="00652D6A"/>
    <w:rsid w:val="00653CE7"/>
    <w:rsid w:val="00655CAA"/>
    <w:rsid w:val="00656150"/>
    <w:rsid w:val="00657AE2"/>
    <w:rsid w:val="0066017F"/>
    <w:rsid w:val="0066077B"/>
    <w:rsid w:val="006610EE"/>
    <w:rsid w:val="00662279"/>
    <w:rsid w:val="006637C1"/>
    <w:rsid w:val="00664A5F"/>
    <w:rsid w:val="00665B5F"/>
    <w:rsid w:val="00670A78"/>
    <w:rsid w:val="006727BD"/>
    <w:rsid w:val="00672F8E"/>
    <w:rsid w:val="00681C79"/>
    <w:rsid w:val="00686C87"/>
    <w:rsid w:val="00692F27"/>
    <w:rsid w:val="00694312"/>
    <w:rsid w:val="00697153"/>
    <w:rsid w:val="00697C58"/>
    <w:rsid w:val="006A5F13"/>
    <w:rsid w:val="006A6863"/>
    <w:rsid w:val="006B218E"/>
    <w:rsid w:val="006B621A"/>
    <w:rsid w:val="006B653A"/>
    <w:rsid w:val="006B6778"/>
    <w:rsid w:val="006B7FF5"/>
    <w:rsid w:val="006C2404"/>
    <w:rsid w:val="006C2D2C"/>
    <w:rsid w:val="006C3D78"/>
    <w:rsid w:val="006C61B8"/>
    <w:rsid w:val="006C68CC"/>
    <w:rsid w:val="006C7899"/>
    <w:rsid w:val="006C7D95"/>
    <w:rsid w:val="006D1C8F"/>
    <w:rsid w:val="006D35B1"/>
    <w:rsid w:val="006D48F9"/>
    <w:rsid w:val="006E0056"/>
    <w:rsid w:val="006E1361"/>
    <w:rsid w:val="006E46B7"/>
    <w:rsid w:val="006E75AB"/>
    <w:rsid w:val="006F016A"/>
    <w:rsid w:val="006F49D0"/>
    <w:rsid w:val="006F6F06"/>
    <w:rsid w:val="00700819"/>
    <w:rsid w:val="00702EBE"/>
    <w:rsid w:val="00703DC9"/>
    <w:rsid w:val="0070444B"/>
    <w:rsid w:val="007070B5"/>
    <w:rsid w:val="00710CED"/>
    <w:rsid w:val="00711AE6"/>
    <w:rsid w:val="00713482"/>
    <w:rsid w:val="00713CF9"/>
    <w:rsid w:val="00713D9A"/>
    <w:rsid w:val="007150C1"/>
    <w:rsid w:val="007152AF"/>
    <w:rsid w:val="007155BF"/>
    <w:rsid w:val="00715C10"/>
    <w:rsid w:val="007162F5"/>
    <w:rsid w:val="0071635A"/>
    <w:rsid w:val="00717939"/>
    <w:rsid w:val="00717C01"/>
    <w:rsid w:val="007205CC"/>
    <w:rsid w:val="00724409"/>
    <w:rsid w:val="00727B7A"/>
    <w:rsid w:val="00727F4B"/>
    <w:rsid w:val="00730A61"/>
    <w:rsid w:val="00731B75"/>
    <w:rsid w:val="00732081"/>
    <w:rsid w:val="00733531"/>
    <w:rsid w:val="0073428C"/>
    <w:rsid w:val="00735363"/>
    <w:rsid w:val="0073593E"/>
    <w:rsid w:val="00737D39"/>
    <w:rsid w:val="007402A4"/>
    <w:rsid w:val="00741853"/>
    <w:rsid w:val="007421CC"/>
    <w:rsid w:val="00743F67"/>
    <w:rsid w:val="007443FD"/>
    <w:rsid w:val="007444F8"/>
    <w:rsid w:val="007447B0"/>
    <w:rsid w:val="00744A16"/>
    <w:rsid w:val="00745234"/>
    <w:rsid w:val="00747075"/>
    <w:rsid w:val="00750A5C"/>
    <w:rsid w:val="007518AC"/>
    <w:rsid w:val="00752686"/>
    <w:rsid w:val="007552B5"/>
    <w:rsid w:val="007601B4"/>
    <w:rsid w:val="007603DF"/>
    <w:rsid w:val="00760A29"/>
    <w:rsid w:val="00760D09"/>
    <w:rsid w:val="007611BB"/>
    <w:rsid w:val="00762C15"/>
    <w:rsid w:val="00771F9D"/>
    <w:rsid w:val="007725AA"/>
    <w:rsid w:val="00773542"/>
    <w:rsid w:val="00782E08"/>
    <w:rsid w:val="00791F98"/>
    <w:rsid w:val="007932FE"/>
    <w:rsid w:val="007933CA"/>
    <w:rsid w:val="00794449"/>
    <w:rsid w:val="0079481B"/>
    <w:rsid w:val="00794A62"/>
    <w:rsid w:val="00794FD5"/>
    <w:rsid w:val="00796A1A"/>
    <w:rsid w:val="007A602D"/>
    <w:rsid w:val="007B4CE1"/>
    <w:rsid w:val="007B58CF"/>
    <w:rsid w:val="007B78F3"/>
    <w:rsid w:val="007B7AC5"/>
    <w:rsid w:val="007C1D83"/>
    <w:rsid w:val="007C434C"/>
    <w:rsid w:val="007C477B"/>
    <w:rsid w:val="007C4BC4"/>
    <w:rsid w:val="007C5019"/>
    <w:rsid w:val="007C539A"/>
    <w:rsid w:val="007C5465"/>
    <w:rsid w:val="007C74EC"/>
    <w:rsid w:val="007D1E16"/>
    <w:rsid w:val="007D2DF7"/>
    <w:rsid w:val="007D4810"/>
    <w:rsid w:val="007D5DE3"/>
    <w:rsid w:val="007D6B61"/>
    <w:rsid w:val="007D7F05"/>
    <w:rsid w:val="007E25F9"/>
    <w:rsid w:val="007E3709"/>
    <w:rsid w:val="007E485E"/>
    <w:rsid w:val="007E7946"/>
    <w:rsid w:val="007F0421"/>
    <w:rsid w:val="007F24EE"/>
    <w:rsid w:val="007F32E7"/>
    <w:rsid w:val="007F6D9B"/>
    <w:rsid w:val="00801FBB"/>
    <w:rsid w:val="00806200"/>
    <w:rsid w:val="008068D8"/>
    <w:rsid w:val="00811910"/>
    <w:rsid w:val="00813B14"/>
    <w:rsid w:val="00814AB8"/>
    <w:rsid w:val="00814E11"/>
    <w:rsid w:val="00815140"/>
    <w:rsid w:val="008160C5"/>
    <w:rsid w:val="0081658D"/>
    <w:rsid w:val="00816D3C"/>
    <w:rsid w:val="00820C51"/>
    <w:rsid w:val="00821D9A"/>
    <w:rsid w:val="008265FE"/>
    <w:rsid w:val="008341B1"/>
    <w:rsid w:val="00834BD0"/>
    <w:rsid w:val="00836B19"/>
    <w:rsid w:val="00837B43"/>
    <w:rsid w:val="00840085"/>
    <w:rsid w:val="00844A47"/>
    <w:rsid w:val="00846A38"/>
    <w:rsid w:val="008472E1"/>
    <w:rsid w:val="008536BE"/>
    <w:rsid w:val="008538FD"/>
    <w:rsid w:val="00854274"/>
    <w:rsid w:val="00855507"/>
    <w:rsid w:val="00860164"/>
    <w:rsid w:val="00865329"/>
    <w:rsid w:val="00865557"/>
    <w:rsid w:val="00866325"/>
    <w:rsid w:val="008668C1"/>
    <w:rsid w:val="00866E3E"/>
    <w:rsid w:val="0086756E"/>
    <w:rsid w:val="00867DB8"/>
    <w:rsid w:val="00870F07"/>
    <w:rsid w:val="008719BE"/>
    <w:rsid w:val="0087482C"/>
    <w:rsid w:val="008756BB"/>
    <w:rsid w:val="00876360"/>
    <w:rsid w:val="00880258"/>
    <w:rsid w:val="00881C90"/>
    <w:rsid w:val="00885485"/>
    <w:rsid w:val="00886F40"/>
    <w:rsid w:val="00887568"/>
    <w:rsid w:val="008929B4"/>
    <w:rsid w:val="0089482C"/>
    <w:rsid w:val="00895175"/>
    <w:rsid w:val="008959B0"/>
    <w:rsid w:val="008967F6"/>
    <w:rsid w:val="00896B2C"/>
    <w:rsid w:val="00896C76"/>
    <w:rsid w:val="008A5BA3"/>
    <w:rsid w:val="008B0BF7"/>
    <w:rsid w:val="008B1C5E"/>
    <w:rsid w:val="008B495D"/>
    <w:rsid w:val="008B7E41"/>
    <w:rsid w:val="008C1253"/>
    <w:rsid w:val="008C1DB6"/>
    <w:rsid w:val="008C1E77"/>
    <w:rsid w:val="008C25BF"/>
    <w:rsid w:val="008C2A55"/>
    <w:rsid w:val="008C496A"/>
    <w:rsid w:val="008C497F"/>
    <w:rsid w:val="008C5A57"/>
    <w:rsid w:val="008C67DC"/>
    <w:rsid w:val="008C6C4E"/>
    <w:rsid w:val="008C7023"/>
    <w:rsid w:val="008D0AA5"/>
    <w:rsid w:val="008D1C7F"/>
    <w:rsid w:val="008D1F27"/>
    <w:rsid w:val="008D35CA"/>
    <w:rsid w:val="008D3FAC"/>
    <w:rsid w:val="008D4A42"/>
    <w:rsid w:val="008D6007"/>
    <w:rsid w:val="008D719C"/>
    <w:rsid w:val="008E087F"/>
    <w:rsid w:val="008E0EE0"/>
    <w:rsid w:val="008E1B75"/>
    <w:rsid w:val="008E2E47"/>
    <w:rsid w:val="008E2FA9"/>
    <w:rsid w:val="008E44A6"/>
    <w:rsid w:val="008E52FB"/>
    <w:rsid w:val="008E551C"/>
    <w:rsid w:val="008E5832"/>
    <w:rsid w:val="008F0296"/>
    <w:rsid w:val="008F2071"/>
    <w:rsid w:val="008F556E"/>
    <w:rsid w:val="008F7982"/>
    <w:rsid w:val="0090202D"/>
    <w:rsid w:val="00902911"/>
    <w:rsid w:val="00905619"/>
    <w:rsid w:val="00905C1F"/>
    <w:rsid w:val="0091550E"/>
    <w:rsid w:val="009161B5"/>
    <w:rsid w:val="0092005A"/>
    <w:rsid w:val="00921ED2"/>
    <w:rsid w:val="009233AB"/>
    <w:rsid w:val="00924457"/>
    <w:rsid w:val="009262A5"/>
    <w:rsid w:val="0092665E"/>
    <w:rsid w:val="00926F4D"/>
    <w:rsid w:val="00932F1D"/>
    <w:rsid w:val="00933329"/>
    <w:rsid w:val="009334B6"/>
    <w:rsid w:val="00933A5A"/>
    <w:rsid w:val="00935E4A"/>
    <w:rsid w:val="009379F8"/>
    <w:rsid w:val="0094272F"/>
    <w:rsid w:val="00942CDF"/>
    <w:rsid w:val="00944968"/>
    <w:rsid w:val="009460C2"/>
    <w:rsid w:val="0095086B"/>
    <w:rsid w:val="00951A2A"/>
    <w:rsid w:val="00953A42"/>
    <w:rsid w:val="00954489"/>
    <w:rsid w:val="00954B2D"/>
    <w:rsid w:val="00954E99"/>
    <w:rsid w:val="0096064D"/>
    <w:rsid w:val="009614C4"/>
    <w:rsid w:val="00961F3A"/>
    <w:rsid w:val="00963A50"/>
    <w:rsid w:val="00965CF4"/>
    <w:rsid w:val="00966BE8"/>
    <w:rsid w:val="0096734B"/>
    <w:rsid w:val="00972A96"/>
    <w:rsid w:val="00973246"/>
    <w:rsid w:val="0097437E"/>
    <w:rsid w:val="00974D73"/>
    <w:rsid w:val="00981134"/>
    <w:rsid w:val="00984475"/>
    <w:rsid w:val="0098723F"/>
    <w:rsid w:val="009874DC"/>
    <w:rsid w:val="0099091F"/>
    <w:rsid w:val="0099508E"/>
    <w:rsid w:val="009964B3"/>
    <w:rsid w:val="00997C2E"/>
    <w:rsid w:val="009A1211"/>
    <w:rsid w:val="009A2525"/>
    <w:rsid w:val="009A2FBC"/>
    <w:rsid w:val="009A36AD"/>
    <w:rsid w:val="009A4E1D"/>
    <w:rsid w:val="009A4F6B"/>
    <w:rsid w:val="009B05D5"/>
    <w:rsid w:val="009B16E4"/>
    <w:rsid w:val="009B38EC"/>
    <w:rsid w:val="009B3A85"/>
    <w:rsid w:val="009B3F3C"/>
    <w:rsid w:val="009B5709"/>
    <w:rsid w:val="009B7098"/>
    <w:rsid w:val="009C1700"/>
    <w:rsid w:val="009C4464"/>
    <w:rsid w:val="009C656B"/>
    <w:rsid w:val="009C6621"/>
    <w:rsid w:val="009C6F50"/>
    <w:rsid w:val="009C78EB"/>
    <w:rsid w:val="009D00B3"/>
    <w:rsid w:val="009D2099"/>
    <w:rsid w:val="009D23D1"/>
    <w:rsid w:val="009D2768"/>
    <w:rsid w:val="009D2E59"/>
    <w:rsid w:val="009D4E72"/>
    <w:rsid w:val="009D5B6F"/>
    <w:rsid w:val="009D6F5B"/>
    <w:rsid w:val="009E25A2"/>
    <w:rsid w:val="009E4617"/>
    <w:rsid w:val="009F25B9"/>
    <w:rsid w:val="009F3994"/>
    <w:rsid w:val="009F5065"/>
    <w:rsid w:val="009F7369"/>
    <w:rsid w:val="00A007DF"/>
    <w:rsid w:val="00A00DE5"/>
    <w:rsid w:val="00A03638"/>
    <w:rsid w:val="00A0402C"/>
    <w:rsid w:val="00A1050E"/>
    <w:rsid w:val="00A13E2A"/>
    <w:rsid w:val="00A141EB"/>
    <w:rsid w:val="00A1573D"/>
    <w:rsid w:val="00A178F6"/>
    <w:rsid w:val="00A17D54"/>
    <w:rsid w:val="00A233AF"/>
    <w:rsid w:val="00A27BC0"/>
    <w:rsid w:val="00A31589"/>
    <w:rsid w:val="00A323EB"/>
    <w:rsid w:val="00A348EB"/>
    <w:rsid w:val="00A34C3F"/>
    <w:rsid w:val="00A357D7"/>
    <w:rsid w:val="00A36A5B"/>
    <w:rsid w:val="00A36A78"/>
    <w:rsid w:val="00A37125"/>
    <w:rsid w:val="00A371F4"/>
    <w:rsid w:val="00A40159"/>
    <w:rsid w:val="00A4243A"/>
    <w:rsid w:val="00A4688C"/>
    <w:rsid w:val="00A515B3"/>
    <w:rsid w:val="00A519E9"/>
    <w:rsid w:val="00A53717"/>
    <w:rsid w:val="00A61C7A"/>
    <w:rsid w:val="00A62C8B"/>
    <w:rsid w:val="00A6435E"/>
    <w:rsid w:val="00A673FF"/>
    <w:rsid w:val="00A67C9E"/>
    <w:rsid w:val="00A727D6"/>
    <w:rsid w:val="00A767A4"/>
    <w:rsid w:val="00A84B22"/>
    <w:rsid w:val="00A86842"/>
    <w:rsid w:val="00A8715D"/>
    <w:rsid w:val="00A876A0"/>
    <w:rsid w:val="00A90A4E"/>
    <w:rsid w:val="00A91BDE"/>
    <w:rsid w:val="00A927F1"/>
    <w:rsid w:val="00A945F1"/>
    <w:rsid w:val="00A9668D"/>
    <w:rsid w:val="00A97241"/>
    <w:rsid w:val="00A976AA"/>
    <w:rsid w:val="00AA0F5D"/>
    <w:rsid w:val="00AA1993"/>
    <w:rsid w:val="00AA2670"/>
    <w:rsid w:val="00AA50DD"/>
    <w:rsid w:val="00AA51F5"/>
    <w:rsid w:val="00AB0B48"/>
    <w:rsid w:val="00AB2479"/>
    <w:rsid w:val="00AB4348"/>
    <w:rsid w:val="00AB47A0"/>
    <w:rsid w:val="00AB6C4A"/>
    <w:rsid w:val="00AB7B96"/>
    <w:rsid w:val="00AC24BB"/>
    <w:rsid w:val="00AC3272"/>
    <w:rsid w:val="00AC458E"/>
    <w:rsid w:val="00AC4CB3"/>
    <w:rsid w:val="00AC4D06"/>
    <w:rsid w:val="00AC5A01"/>
    <w:rsid w:val="00AD363D"/>
    <w:rsid w:val="00AD374D"/>
    <w:rsid w:val="00AD528A"/>
    <w:rsid w:val="00AD5F6F"/>
    <w:rsid w:val="00AD63E4"/>
    <w:rsid w:val="00AD7553"/>
    <w:rsid w:val="00AE0383"/>
    <w:rsid w:val="00AE0DA7"/>
    <w:rsid w:val="00AE1DA9"/>
    <w:rsid w:val="00AE390F"/>
    <w:rsid w:val="00AE63D4"/>
    <w:rsid w:val="00AE757C"/>
    <w:rsid w:val="00AF2136"/>
    <w:rsid w:val="00AF2714"/>
    <w:rsid w:val="00AF49F2"/>
    <w:rsid w:val="00AF6D4F"/>
    <w:rsid w:val="00AF7A1A"/>
    <w:rsid w:val="00B00204"/>
    <w:rsid w:val="00B00B56"/>
    <w:rsid w:val="00B01E93"/>
    <w:rsid w:val="00B04971"/>
    <w:rsid w:val="00B05023"/>
    <w:rsid w:val="00B07D82"/>
    <w:rsid w:val="00B10834"/>
    <w:rsid w:val="00B10E05"/>
    <w:rsid w:val="00B1296B"/>
    <w:rsid w:val="00B12E5A"/>
    <w:rsid w:val="00B14648"/>
    <w:rsid w:val="00B15CE6"/>
    <w:rsid w:val="00B174DC"/>
    <w:rsid w:val="00B178FA"/>
    <w:rsid w:val="00B227D5"/>
    <w:rsid w:val="00B22B58"/>
    <w:rsid w:val="00B235B8"/>
    <w:rsid w:val="00B25BED"/>
    <w:rsid w:val="00B27D13"/>
    <w:rsid w:val="00B303C7"/>
    <w:rsid w:val="00B312E3"/>
    <w:rsid w:val="00B32876"/>
    <w:rsid w:val="00B34A75"/>
    <w:rsid w:val="00B3511B"/>
    <w:rsid w:val="00B35714"/>
    <w:rsid w:val="00B36EF1"/>
    <w:rsid w:val="00B40167"/>
    <w:rsid w:val="00B40BE1"/>
    <w:rsid w:val="00B45D45"/>
    <w:rsid w:val="00B46737"/>
    <w:rsid w:val="00B5108B"/>
    <w:rsid w:val="00B52F00"/>
    <w:rsid w:val="00B53994"/>
    <w:rsid w:val="00B539B5"/>
    <w:rsid w:val="00B53D01"/>
    <w:rsid w:val="00B540E5"/>
    <w:rsid w:val="00B56040"/>
    <w:rsid w:val="00B56AC5"/>
    <w:rsid w:val="00B56D25"/>
    <w:rsid w:val="00B60CCE"/>
    <w:rsid w:val="00B6483A"/>
    <w:rsid w:val="00B7121A"/>
    <w:rsid w:val="00B71698"/>
    <w:rsid w:val="00B72E7B"/>
    <w:rsid w:val="00B733EE"/>
    <w:rsid w:val="00B7464A"/>
    <w:rsid w:val="00B7735A"/>
    <w:rsid w:val="00B77D1E"/>
    <w:rsid w:val="00B80054"/>
    <w:rsid w:val="00B8165E"/>
    <w:rsid w:val="00B827BB"/>
    <w:rsid w:val="00B84943"/>
    <w:rsid w:val="00B900E7"/>
    <w:rsid w:val="00B91249"/>
    <w:rsid w:val="00B92C25"/>
    <w:rsid w:val="00B930D9"/>
    <w:rsid w:val="00BA03E9"/>
    <w:rsid w:val="00BA0EB4"/>
    <w:rsid w:val="00BA24EA"/>
    <w:rsid w:val="00BA3353"/>
    <w:rsid w:val="00BA5E47"/>
    <w:rsid w:val="00BB1CE3"/>
    <w:rsid w:val="00BB3B33"/>
    <w:rsid w:val="00BB49EC"/>
    <w:rsid w:val="00BB66D5"/>
    <w:rsid w:val="00BC001C"/>
    <w:rsid w:val="00BC1ADB"/>
    <w:rsid w:val="00BC2086"/>
    <w:rsid w:val="00BC4AE7"/>
    <w:rsid w:val="00BC554E"/>
    <w:rsid w:val="00BC6A4D"/>
    <w:rsid w:val="00BC7A17"/>
    <w:rsid w:val="00BC7FD0"/>
    <w:rsid w:val="00BD0781"/>
    <w:rsid w:val="00BD17F5"/>
    <w:rsid w:val="00BD342C"/>
    <w:rsid w:val="00BD34FC"/>
    <w:rsid w:val="00BD4FF6"/>
    <w:rsid w:val="00BD6B70"/>
    <w:rsid w:val="00BE17E1"/>
    <w:rsid w:val="00BE2451"/>
    <w:rsid w:val="00BE2DA0"/>
    <w:rsid w:val="00BE50B8"/>
    <w:rsid w:val="00BF11AD"/>
    <w:rsid w:val="00BF13F2"/>
    <w:rsid w:val="00BF3E42"/>
    <w:rsid w:val="00BF3E88"/>
    <w:rsid w:val="00BF42B6"/>
    <w:rsid w:val="00BF4D52"/>
    <w:rsid w:val="00BF5620"/>
    <w:rsid w:val="00C00137"/>
    <w:rsid w:val="00C00428"/>
    <w:rsid w:val="00C01181"/>
    <w:rsid w:val="00C019F3"/>
    <w:rsid w:val="00C02E34"/>
    <w:rsid w:val="00C03395"/>
    <w:rsid w:val="00C04196"/>
    <w:rsid w:val="00C0623F"/>
    <w:rsid w:val="00C06667"/>
    <w:rsid w:val="00C0718F"/>
    <w:rsid w:val="00C10186"/>
    <w:rsid w:val="00C15091"/>
    <w:rsid w:val="00C1533C"/>
    <w:rsid w:val="00C17670"/>
    <w:rsid w:val="00C17A32"/>
    <w:rsid w:val="00C2058D"/>
    <w:rsid w:val="00C205EF"/>
    <w:rsid w:val="00C21DF1"/>
    <w:rsid w:val="00C22FA3"/>
    <w:rsid w:val="00C23600"/>
    <w:rsid w:val="00C243B3"/>
    <w:rsid w:val="00C25828"/>
    <w:rsid w:val="00C258E3"/>
    <w:rsid w:val="00C25AD4"/>
    <w:rsid w:val="00C269E7"/>
    <w:rsid w:val="00C30764"/>
    <w:rsid w:val="00C31ED0"/>
    <w:rsid w:val="00C32373"/>
    <w:rsid w:val="00C3289C"/>
    <w:rsid w:val="00C33D05"/>
    <w:rsid w:val="00C350B3"/>
    <w:rsid w:val="00C35CD2"/>
    <w:rsid w:val="00C377AF"/>
    <w:rsid w:val="00C41518"/>
    <w:rsid w:val="00C44CB0"/>
    <w:rsid w:val="00C52404"/>
    <w:rsid w:val="00C544C2"/>
    <w:rsid w:val="00C56547"/>
    <w:rsid w:val="00C569E8"/>
    <w:rsid w:val="00C60F10"/>
    <w:rsid w:val="00C63317"/>
    <w:rsid w:val="00C63BDB"/>
    <w:rsid w:val="00C645D5"/>
    <w:rsid w:val="00C66E7B"/>
    <w:rsid w:val="00C675DB"/>
    <w:rsid w:val="00C67CBB"/>
    <w:rsid w:val="00C7154E"/>
    <w:rsid w:val="00C73806"/>
    <w:rsid w:val="00C74009"/>
    <w:rsid w:val="00C80DAC"/>
    <w:rsid w:val="00C81609"/>
    <w:rsid w:val="00C81B40"/>
    <w:rsid w:val="00C8319D"/>
    <w:rsid w:val="00C853B6"/>
    <w:rsid w:val="00C85E36"/>
    <w:rsid w:val="00C87657"/>
    <w:rsid w:val="00C879FB"/>
    <w:rsid w:val="00C90355"/>
    <w:rsid w:val="00C92A2C"/>
    <w:rsid w:val="00C941F0"/>
    <w:rsid w:val="00C95D54"/>
    <w:rsid w:val="00C96097"/>
    <w:rsid w:val="00C9670C"/>
    <w:rsid w:val="00CA2E75"/>
    <w:rsid w:val="00CA411C"/>
    <w:rsid w:val="00CA44E9"/>
    <w:rsid w:val="00CA4E3F"/>
    <w:rsid w:val="00CA543F"/>
    <w:rsid w:val="00CA5638"/>
    <w:rsid w:val="00CA573D"/>
    <w:rsid w:val="00CA57B3"/>
    <w:rsid w:val="00CB112E"/>
    <w:rsid w:val="00CB259E"/>
    <w:rsid w:val="00CB405A"/>
    <w:rsid w:val="00CB7DEC"/>
    <w:rsid w:val="00CC1501"/>
    <w:rsid w:val="00CC3C5A"/>
    <w:rsid w:val="00CC3EC0"/>
    <w:rsid w:val="00CD03D4"/>
    <w:rsid w:val="00CD1AA5"/>
    <w:rsid w:val="00CD2D39"/>
    <w:rsid w:val="00CE0B02"/>
    <w:rsid w:val="00CE1E44"/>
    <w:rsid w:val="00CE5479"/>
    <w:rsid w:val="00CE5F49"/>
    <w:rsid w:val="00CE73E5"/>
    <w:rsid w:val="00CE7649"/>
    <w:rsid w:val="00CE7F4C"/>
    <w:rsid w:val="00CF16D4"/>
    <w:rsid w:val="00CF22D7"/>
    <w:rsid w:val="00CF2A49"/>
    <w:rsid w:val="00CF35E7"/>
    <w:rsid w:val="00CF3AA5"/>
    <w:rsid w:val="00CF4910"/>
    <w:rsid w:val="00CF5DF8"/>
    <w:rsid w:val="00CF5E6E"/>
    <w:rsid w:val="00CF7B5A"/>
    <w:rsid w:val="00D03AF7"/>
    <w:rsid w:val="00D04F68"/>
    <w:rsid w:val="00D055AF"/>
    <w:rsid w:val="00D06D26"/>
    <w:rsid w:val="00D14888"/>
    <w:rsid w:val="00D17C54"/>
    <w:rsid w:val="00D208BA"/>
    <w:rsid w:val="00D215ED"/>
    <w:rsid w:val="00D21C4C"/>
    <w:rsid w:val="00D2288D"/>
    <w:rsid w:val="00D2316E"/>
    <w:rsid w:val="00D248A0"/>
    <w:rsid w:val="00D27062"/>
    <w:rsid w:val="00D273D8"/>
    <w:rsid w:val="00D27D3C"/>
    <w:rsid w:val="00D30385"/>
    <w:rsid w:val="00D31BBE"/>
    <w:rsid w:val="00D36A84"/>
    <w:rsid w:val="00D370CA"/>
    <w:rsid w:val="00D37109"/>
    <w:rsid w:val="00D3715B"/>
    <w:rsid w:val="00D373A8"/>
    <w:rsid w:val="00D376B4"/>
    <w:rsid w:val="00D40E98"/>
    <w:rsid w:val="00D41CAF"/>
    <w:rsid w:val="00D43540"/>
    <w:rsid w:val="00D44427"/>
    <w:rsid w:val="00D47578"/>
    <w:rsid w:val="00D504D2"/>
    <w:rsid w:val="00D50C93"/>
    <w:rsid w:val="00D510BC"/>
    <w:rsid w:val="00D52696"/>
    <w:rsid w:val="00D543E2"/>
    <w:rsid w:val="00D5656E"/>
    <w:rsid w:val="00D57F0E"/>
    <w:rsid w:val="00D603C0"/>
    <w:rsid w:val="00D60887"/>
    <w:rsid w:val="00D611D0"/>
    <w:rsid w:val="00D61413"/>
    <w:rsid w:val="00D61681"/>
    <w:rsid w:val="00D61745"/>
    <w:rsid w:val="00D760E0"/>
    <w:rsid w:val="00D762FC"/>
    <w:rsid w:val="00D76902"/>
    <w:rsid w:val="00D76F7F"/>
    <w:rsid w:val="00D809E1"/>
    <w:rsid w:val="00D81BDF"/>
    <w:rsid w:val="00D84F09"/>
    <w:rsid w:val="00D859DE"/>
    <w:rsid w:val="00D86494"/>
    <w:rsid w:val="00D8651E"/>
    <w:rsid w:val="00D875CA"/>
    <w:rsid w:val="00D8763D"/>
    <w:rsid w:val="00D90584"/>
    <w:rsid w:val="00D90916"/>
    <w:rsid w:val="00D92575"/>
    <w:rsid w:val="00D92AE4"/>
    <w:rsid w:val="00D96728"/>
    <w:rsid w:val="00DA063A"/>
    <w:rsid w:val="00DA06FA"/>
    <w:rsid w:val="00DA0C57"/>
    <w:rsid w:val="00DA0CF1"/>
    <w:rsid w:val="00DA1213"/>
    <w:rsid w:val="00DA1F9A"/>
    <w:rsid w:val="00DA4150"/>
    <w:rsid w:val="00DA52F6"/>
    <w:rsid w:val="00DA53F4"/>
    <w:rsid w:val="00DA71C6"/>
    <w:rsid w:val="00DA7A3A"/>
    <w:rsid w:val="00DB0BF2"/>
    <w:rsid w:val="00DB4F09"/>
    <w:rsid w:val="00DB73CD"/>
    <w:rsid w:val="00DC11BF"/>
    <w:rsid w:val="00DC1683"/>
    <w:rsid w:val="00DC173F"/>
    <w:rsid w:val="00DC204C"/>
    <w:rsid w:val="00DC2EE2"/>
    <w:rsid w:val="00DC2FDD"/>
    <w:rsid w:val="00DC5D46"/>
    <w:rsid w:val="00DC6A1F"/>
    <w:rsid w:val="00DC6B49"/>
    <w:rsid w:val="00DD0687"/>
    <w:rsid w:val="00DD0780"/>
    <w:rsid w:val="00DD0CB0"/>
    <w:rsid w:val="00DD233F"/>
    <w:rsid w:val="00DD42D0"/>
    <w:rsid w:val="00DD6834"/>
    <w:rsid w:val="00DD7391"/>
    <w:rsid w:val="00DE0161"/>
    <w:rsid w:val="00DE2085"/>
    <w:rsid w:val="00DE356A"/>
    <w:rsid w:val="00DE5453"/>
    <w:rsid w:val="00DE714F"/>
    <w:rsid w:val="00DE79AA"/>
    <w:rsid w:val="00DF01F3"/>
    <w:rsid w:val="00DF0BC2"/>
    <w:rsid w:val="00DF0F06"/>
    <w:rsid w:val="00DF1FCE"/>
    <w:rsid w:val="00DF1FDF"/>
    <w:rsid w:val="00DF2018"/>
    <w:rsid w:val="00DF3647"/>
    <w:rsid w:val="00DF3CC8"/>
    <w:rsid w:val="00DF3E2E"/>
    <w:rsid w:val="00E0114D"/>
    <w:rsid w:val="00E01C26"/>
    <w:rsid w:val="00E0278F"/>
    <w:rsid w:val="00E064B7"/>
    <w:rsid w:val="00E07D8F"/>
    <w:rsid w:val="00E07EA1"/>
    <w:rsid w:val="00E10049"/>
    <w:rsid w:val="00E1410D"/>
    <w:rsid w:val="00E14AE8"/>
    <w:rsid w:val="00E157B5"/>
    <w:rsid w:val="00E171BC"/>
    <w:rsid w:val="00E175C3"/>
    <w:rsid w:val="00E21B94"/>
    <w:rsid w:val="00E21E3F"/>
    <w:rsid w:val="00E24272"/>
    <w:rsid w:val="00E3001A"/>
    <w:rsid w:val="00E31747"/>
    <w:rsid w:val="00E327FE"/>
    <w:rsid w:val="00E331FF"/>
    <w:rsid w:val="00E33CD6"/>
    <w:rsid w:val="00E40ADD"/>
    <w:rsid w:val="00E4203A"/>
    <w:rsid w:val="00E427F4"/>
    <w:rsid w:val="00E4281E"/>
    <w:rsid w:val="00E442E1"/>
    <w:rsid w:val="00E4549D"/>
    <w:rsid w:val="00E459C9"/>
    <w:rsid w:val="00E45F31"/>
    <w:rsid w:val="00E461E8"/>
    <w:rsid w:val="00E46258"/>
    <w:rsid w:val="00E47448"/>
    <w:rsid w:val="00E47868"/>
    <w:rsid w:val="00E509ED"/>
    <w:rsid w:val="00E52BA8"/>
    <w:rsid w:val="00E53113"/>
    <w:rsid w:val="00E5374A"/>
    <w:rsid w:val="00E571C2"/>
    <w:rsid w:val="00E6068D"/>
    <w:rsid w:val="00E60CC5"/>
    <w:rsid w:val="00E60CE9"/>
    <w:rsid w:val="00E62CA1"/>
    <w:rsid w:val="00E671C4"/>
    <w:rsid w:val="00E70E39"/>
    <w:rsid w:val="00E74639"/>
    <w:rsid w:val="00E770DE"/>
    <w:rsid w:val="00E77C26"/>
    <w:rsid w:val="00E80D30"/>
    <w:rsid w:val="00E819F9"/>
    <w:rsid w:val="00E83458"/>
    <w:rsid w:val="00E837FF"/>
    <w:rsid w:val="00E852DC"/>
    <w:rsid w:val="00E86147"/>
    <w:rsid w:val="00E869CB"/>
    <w:rsid w:val="00E944AB"/>
    <w:rsid w:val="00E94E8B"/>
    <w:rsid w:val="00E9547F"/>
    <w:rsid w:val="00E95FC8"/>
    <w:rsid w:val="00E96FD8"/>
    <w:rsid w:val="00EA42C0"/>
    <w:rsid w:val="00EA55B9"/>
    <w:rsid w:val="00EA6679"/>
    <w:rsid w:val="00EB09BA"/>
    <w:rsid w:val="00EB202C"/>
    <w:rsid w:val="00EB2737"/>
    <w:rsid w:val="00EB5651"/>
    <w:rsid w:val="00EB5E0A"/>
    <w:rsid w:val="00EB5E3D"/>
    <w:rsid w:val="00EB6062"/>
    <w:rsid w:val="00EB60BB"/>
    <w:rsid w:val="00EC2FE1"/>
    <w:rsid w:val="00EC32DF"/>
    <w:rsid w:val="00EC4042"/>
    <w:rsid w:val="00ED3AC0"/>
    <w:rsid w:val="00ED5DBB"/>
    <w:rsid w:val="00EE1362"/>
    <w:rsid w:val="00EE20F4"/>
    <w:rsid w:val="00EE29DF"/>
    <w:rsid w:val="00EE70AB"/>
    <w:rsid w:val="00EE7453"/>
    <w:rsid w:val="00EF0294"/>
    <w:rsid w:val="00EF1784"/>
    <w:rsid w:val="00EF17E4"/>
    <w:rsid w:val="00EF1CFC"/>
    <w:rsid w:val="00EF28AB"/>
    <w:rsid w:val="00EF52C5"/>
    <w:rsid w:val="00EF6925"/>
    <w:rsid w:val="00EF7476"/>
    <w:rsid w:val="00EF7A08"/>
    <w:rsid w:val="00EF7AA3"/>
    <w:rsid w:val="00F001FC"/>
    <w:rsid w:val="00F00692"/>
    <w:rsid w:val="00F0073E"/>
    <w:rsid w:val="00F01C23"/>
    <w:rsid w:val="00F02C51"/>
    <w:rsid w:val="00F02DB5"/>
    <w:rsid w:val="00F071F6"/>
    <w:rsid w:val="00F118DB"/>
    <w:rsid w:val="00F132FA"/>
    <w:rsid w:val="00F13461"/>
    <w:rsid w:val="00F1394D"/>
    <w:rsid w:val="00F14CB0"/>
    <w:rsid w:val="00F16C7C"/>
    <w:rsid w:val="00F17CBE"/>
    <w:rsid w:val="00F224BA"/>
    <w:rsid w:val="00F22FD2"/>
    <w:rsid w:val="00F2326D"/>
    <w:rsid w:val="00F27813"/>
    <w:rsid w:val="00F30BF3"/>
    <w:rsid w:val="00F30F35"/>
    <w:rsid w:val="00F310F5"/>
    <w:rsid w:val="00F322E9"/>
    <w:rsid w:val="00F346ED"/>
    <w:rsid w:val="00F34825"/>
    <w:rsid w:val="00F36D39"/>
    <w:rsid w:val="00F3741C"/>
    <w:rsid w:val="00F40033"/>
    <w:rsid w:val="00F40251"/>
    <w:rsid w:val="00F42A25"/>
    <w:rsid w:val="00F47268"/>
    <w:rsid w:val="00F501ED"/>
    <w:rsid w:val="00F52F8D"/>
    <w:rsid w:val="00F545AA"/>
    <w:rsid w:val="00F55221"/>
    <w:rsid w:val="00F55664"/>
    <w:rsid w:val="00F565A3"/>
    <w:rsid w:val="00F57424"/>
    <w:rsid w:val="00F61848"/>
    <w:rsid w:val="00F6448F"/>
    <w:rsid w:val="00F647D3"/>
    <w:rsid w:val="00F6495A"/>
    <w:rsid w:val="00F64D76"/>
    <w:rsid w:val="00F64EA3"/>
    <w:rsid w:val="00F678D3"/>
    <w:rsid w:val="00F714B4"/>
    <w:rsid w:val="00F73813"/>
    <w:rsid w:val="00F7543F"/>
    <w:rsid w:val="00F7670C"/>
    <w:rsid w:val="00F77D27"/>
    <w:rsid w:val="00F80A50"/>
    <w:rsid w:val="00F8106B"/>
    <w:rsid w:val="00F81E95"/>
    <w:rsid w:val="00F83513"/>
    <w:rsid w:val="00F8676E"/>
    <w:rsid w:val="00F90900"/>
    <w:rsid w:val="00F91367"/>
    <w:rsid w:val="00F91ADB"/>
    <w:rsid w:val="00FA02CA"/>
    <w:rsid w:val="00FA51C4"/>
    <w:rsid w:val="00FA58D8"/>
    <w:rsid w:val="00FA5FD2"/>
    <w:rsid w:val="00FA7E16"/>
    <w:rsid w:val="00FA7E69"/>
    <w:rsid w:val="00FB1F3E"/>
    <w:rsid w:val="00FB5D85"/>
    <w:rsid w:val="00FB66CF"/>
    <w:rsid w:val="00FC188E"/>
    <w:rsid w:val="00FC2E9D"/>
    <w:rsid w:val="00FD1FE8"/>
    <w:rsid w:val="00FE1E91"/>
    <w:rsid w:val="00FE2AEF"/>
    <w:rsid w:val="00FE310D"/>
    <w:rsid w:val="00FE3184"/>
    <w:rsid w:val="00FE3E5E"/>
    <w:rsid w:val="00FE4C3F"/>
    <w:rsid w:val="00FE4EA9"/>
    <w:rsid w:val="00FE5843"/>
    <w:rsid w:val="00FE79F6"/>
    <w:rsid w:val="00FE7A06"/>
    <w:rsid w:val="00FF1681"/>
    <w:rsid w:val="00FF20A2"/>
    <w:rsid w:val="00FF3230"/>
    <w:rsid w:val="00FF3836"/>
    <w:rsid w:val="00FF6CC4"/>
    <w:rsid w:val="00FF6E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97F65"/>
  <w15:chartTrackingRefBased/>
  <w15:docId w15:val="{579EA66A-2BB7-4970-8741-285F7912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3E4"/>
    <w:pPr>
      <w:keepNext/>
      <w:keepLines/>
      <w:spacing w:after="0" w:line="480" w:lineRule="auto"/>
      <w:outlineLvl w:val="0"/>
    </w:pPr>
    <w:rPr>
      <w:rFonts w:ascii="Times New Roman" w:eastAsiaTheme="majorEastAsia" w:hAnsi="Times New Roman" w:cstheme="majorBidi"/>
      <w:b/>
      <w:caps/>
      <w:sz w:val="24"/>
      <w:szCs w:val="32"/>
    </w:rPr>
  </w:style>
  <w:style w:type="paragraph" w:styleId="Heading2">
    <w:name w:val="heading 2"/>
    <w:basedOn w:val="Normal"/>
    <w:next w:val="Normal"/>
    <w:link w:val="Heading2Char"/>
    <w:uiPriority w:val="9"/>
    <w:unhideWhenUsed/>
    <w:qFormat/>
    <w:rsid w:val="00AD63E4"/>
    <w:pPr>
      <w:keepNext/>
      <w:keepLines/>
      <w:spacing w:after="0" w:line="48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451CEC"/>
    <w:pPr>
      <w:keepNext/>
      <w:keepLines/>
      <w:spacing w:after="0" w:line="480" w:lineRule="auto"/>
      <w:outlineLvl w:val="2"/>
    </w:pPr>
    <w:rPr>
      <w:rFonts w:ascii="Times New Roman" w:eastAsiaTheme="majorEastAsia" w:hAnsi="Times New Roman" w:cstheme="majorBidi"/>
      <w:b/>
      <w:i/>
      <w:sz w:val="24"/>
      <w:szCs w:val="24"/>
    </w:rPr>
  </w:style>
  <w:style w:type="paragraph" w:styleId="Heading4">
    <w:name w:val="heading 4"/>
    <w:basedOn w:val="Normal"/>
    <w:next w:val="Normal"/>
    <w:link w:val="Heading4Char"/>
    <w:uiPriority w:val="9"/>
    <w:semiHidden/>
    <w:unhideWhenUsed/>
    <w:qFormat/>
    <w:rsid w:val="003F278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6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621"/>
    <w:rPr>
      <w:rFonts w:ascii="Segoe UI" w:hAnsi="Segoe UI" w:cs="Segoe UI"/>
      <w:sz w:val="18"/>
      <w:szCs w:val="18"/>
    </w:rPr>
  </w:style>
  <w:style w:type="paragraph" w:styleId="Header">
    <w:name w:val="header"/>
    <w:basedOn w:val="Normal"/>
    <w:link w:val="HeaderChar"/>
    <w:uiPriority w:val="99"/>
    <w:unhideWhenUsed/>
    <w:rsid w:val="009C66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621"/>
  </w:style>
  <w:style w:type="paragraph" w:styleId="Footer">
    <w:name w:val="footer"/>
    <w:basedOn w:val="Normal"/>
    <w:link w:val="FooterChar"/>
    <w:uiPriority w:val="99"/>
    <w:unhideWhenUsed/>
    <w:rsid w:val="009C6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621"/>
  </w:style>
  <w:style w:type="character" w:customStyle="1" w:styleId="Heading1Char">
    <w:name w:val="Heading 1 Char"/>
    <w:basedOn w:val="DefaultParagraphFont"/>
    <w:link w:val="Heading1"/>
    <w:uiPriority w:val="9"/>
    <w:rsid w:val="00AD63E4"/>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AD63E4"/>
    <w:rPr>
      <w:rFonts w:ascii="Times New Roman" w:eastAsiaTheme="majorEastAsia" w:hAnsi="Times New Roman" w:cstheme="majorBidi"/>
      <w:b/>
      <w:sz w:val="24"/>
      <w:szCs w:val="26"/>
    </w:rPr>
  </w:style>
  <w:style w:type="character" w:styleId="CommentReference">
    <w:name w:val="annotation reference"/>
    <w:basedOn w:val="DefaultParagraphFont"/>
    <w:uiPriority w:val="99"/>
    <w:semiHidden/>
    <w:unhideWhenUsed/>
    <w:rsid w:val="00C81B40"/>
    <w:rPr>
      <w:sz w:val="16"/>
      <w:szCs w:val="16"/>
    </w:rPr>
  </w:style>
  <w:style w:type="paragraph" w:styleId="CommentText">
    <w:name w:val="annotation text"/>
    <w:basedOn w:val="Normal"/>
    <w:link w:val="CommentTextChar"/>
    <w:uiPriority w:val="99"/>
    <w:unhideWhenUsed/>
    <w:rsid w:val="00C81B40"/>
    <w:pPr>
      <w:spacing w:line="240" w:lineRule="auto"/>
    </w:pPr>
    <w:rPr>
      <w:sz w:val="20"/>
      <w:szCs w:val="20"/>
    </w:rPr>
  </w:style>
  <w:style w:type="character" w:customStyle="1" w:styleId="CommentTextChar">
    <w:name w:val="Comment Text Char"/>
    <w:basedOn w:val="DefaultParagraphFont"/>
    <w:link w:val="CommentText"/>
    <w:uiPriority w:val="99"/>
    <w:rsid w:val="00C81B40"/>
    <w:rPr>
      <w:sz w:val="20"/>
      <w:szCs w:val="20"/>
    </w:rPr>
  </w:style>
  <w:style w:type="paragraph" w:styleId="CommentSubject">
    <w:name w:val="annotation subject"/>
    <w:basedOn w:val="CommentText"/>
    <w:next w:val="CommentText"/>
    <w:link w:val="CommentSubjectChar"/>
    <w:uiPriority w:val="99"/>
    <w:semiHidden/>
    <w:unhideWhenUsed/>
    <w:rsid w:val="00C81B40"/>
    <w:rPr>
      <w:b/>
      <w:bCs/>
    </w:rPr>
  </w:style>
  <w:style w:type="character" w:customStyle="1" w:styleId="CommentSubjectChar">
    <w:name w:val="Comment Subject Char"/>
    <w:basedOn w:val="CommentTextChar"/>
    <w:link w:val="CommentSubject"/>
    <w:uiPriority w:val="99"/>
    <w:semiHidden/>
    <w:rsid w:val="00C81B40"/>
    <w:rPr>
      <w:b/>
      <w:bCs/>
      <w:sz w:val="20"/>
      <w:szCs w:val="20"/>
    </w:rPr>
  </w:style>
  <w:style w:type="character" w:styleId="Emphasis">
    <w:name w:val="Emphasis"/>
    <w:basedOn w:val="DefaultParagraphFont"/>
    <w:uiPriority w:val="20"/>
    <w:qFormat/>
    <w:rsid w:val="00710CED"/>
    <w:rPr>
      <w:i/>
      <w:iCs/>
    </w:rPr>
  </w:style>
  <w:style w:type="character" w:customStyle="1" w:styleId="Heading3Char">
    <w:name w:val="Heading 3 Char"/>
    <w:basedOn w:val="DefaultParagraphFont"/>
    <w:link w:val="Heading3"/>
    <w:uiPriority w:val="9"/>
    <w:rsid w:val="00451CEC"/>
    <w:rPr>
      <w:rFonts w:ascii="Times New Roman" w:eastAsiaTheme="majorEastAsia" w:hAnsi="Times New Roman" w:cstheme="majorBidi"/>
      <w:b/>
      <w:i/>
      <w:sz w:val="24"/>
      <w:szCs w:val="24"/>
    </w:rPr>
  </w:style>
  <w:style w:type="paragraph" w:styleId="NormalWeb">
    <w:name w:val="Normal (Web)"/>
    <w:basedOn w:val="Normal"/>
    <w:uiPriority w:val="99"/>
    <w:rsid w:val="00FE7A06"/>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FE7A06"/>
    <w:rPr>
      <w:color w:val="0000FF"/>
      <w:u w:val="single"/>
    </w:rPr>
  </w:style>
  <w:style w:type="paragraph" w:customStyle="1" w:styleId="Default">
    <w:name w:val="Default"/>
    <w:rsid w:val="00FE7A06"/>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81C90"/>
    <w:rPr>
      <w:color w:val="605E5C"/>
      <w:shd w:val="clear" w:color="auto" w:fill="E1DFDD"/>
    </w:rPr>
  </w:style>
  <w:style w:type="character" w:customStyle="1" w:styleId="Heading4Char">
    <w:name w:val="Heading 4 Char"/>
    <w:basedOn w:val="DefaultParagraphFont"/>
    <w:link w:val="Heading4"/>
    <w:uiPriority w:val="9"/>
    <w:semiHidden/>
    <w:rsid w:val="003F2781"/>
    <w:rPr>
      <w:rFonts w:asciiTheme="majorHAnsi" w:eastAsiaTheme="majorEastAsia" w:hAnsiTheme="majorHAnsi" w:cstheme="majorBidi"/>
      <w:i/>
      <w:iCs/>
      <w:color w:val="2F5496" w:themeColor="accent1" w:themeShade="BF"/>
    </w:rPr>
  </w:style>
  <w:style w:type="paragraph" w:styleId="ListParagraph">
    <w:name w:val="List Paragraph"/>
    <w:aliases w:val="Bullet,Bullet Point List,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876360"/>
    <w:pPr>
      <w:ind w:left="720"/>
      <w:contextualSpacing/>
    </w:pPr>
  </w:style>
  <w:style w:type="character" w:customStyle="1" w:styleId="ListParagraphChar">
    <w:name w:val="List Paragraph Char"/>
    <w:aliases w:val="Bullet Char,Bullet Point List Char,Bullet Point Char,Bullet point Char,Bulletr List Paragraph Char,Content descriptions Char,FooterText Char,L Char,List Bullet 1 Char,List Paragraph1 Char,List Paragraph11 Char,List Paragraph2 Char"/>
    <w:basedOn w:val="DefaultParagraphFont"/>
    <w:link w:val="ListParagraph"/>
    <w:uiPriority w:val="34"/>
    <w:rsid w:val="00C0623F"/>
  </w:style>
  <w:style w:type="character" w:styleId="FootnoteReference">
    <w:name w:val="footnote reference"/>
    <w:basedOn w:val="DefaultParagraphFont"/>
    <w:uiPriority w:val="99"/>
    <w:rsid w:val="00200C49"/>
    <w:rPr>
      <w:vertAlign w:val="superscript"/>
    </w:rPr>
  </w:style>
  <w:style w:type="paragraph" w:styleId="FootnoteText">
    <w:name w:val="footnote text"/>
    <w:basedOn w:val="Normal"/>
    <w:link w:val="FootnoteTextChar"/>
    <w:uiPriority w:val="99"/>
    <w:rsid w:val="00200C49"/>
    <w:pPr>
      <w:spacing w:after="0" w:line="240" w:lineRule="auto"/>
      <w:ind w:left="709"/>
      <w:jc w:val="both"/>
    </w:pPr>
    <w:rPr>
      <w:rFonts w:eastAsia="Times New Roman" w:cstheme="minorHAnsi"/>
      <w:iCs/>
      <w:sz w:val="20"/>
      <w:szCs w:val="20"/>
      <w:lang w:eastAsia="en-AU"/>
    </w:rPr>
  </w:style>
  <w:style w:type="character" w:customStyle="1" w:styleId="FootnoteTextChar">
    <w:name w:val="Footnote Text Char"/>
    <w:basedOn w:val="DefaultParagraphFont"/>
    <w:link w:val="FootnoteText"/>
    <w:uiPriority w:val="99"/>
    <w:rsid w:val="00200C49"/>
    <w:rPr>
      <w:rFonts w:eastAsia="Times New Roman" w:cstheme="minorHAnsi"/>
      <w:iCs/>
      <w:sz w:val="20"/>
      <w:szCs w:val="20"/>
      <w:lang w:eastAsia="en-AU"/>
    </w:rPr>
  </w:style>
  <w:style w:type="character" w:customStyle="1" w:styleId="cf01">
    <w:name w:val="cf01"/>
    <w:basedOn w:val="DefaultParagraphFont"/>
    <w:rsid w:val="00B827BB"/>
    <w:rPr>
      <w:rFonts w:ascii="Segoe UI" w:hAnsi="Segoe UI" w:cs="Segoe UI" w:hint="default"/>
      <w:sz w:val="18"/>
      <w:szCs w:val="18"/>
    </w:rPr>
  </w:style>
  <w:style w:type="paragraph" w:customStyle="1" w:styleId="pf0">
    <w:name w:val="pf0"/>
    <w:basedOn w:val="Normal"/>
    <w:rsid w:val="005269F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11">
    <w:name w:val="cf11"/>
    <w:basedOn w:val="DefaultParagraphFont"/>
    <w:rsid w:val="005269FD"/>
    <w:rPr>
      <w:rFonts w:ascii="Segoe UI" w:hAnsi="Segoe UI" w:cs="Segoe UI" w:hint="default"/>
      <w:sz w:val="18"/>
      <w:szCs w:val="18"/>
    </w:rPr>
  </w:style>
  <w:style w:type="character" w:styleId="FollowedHyperlink">
    <w:name w:val="FollowedHyperlink"/>
    <w:basedOn w:val="DefaultParagraphFont"/>
    <w:uiPriority w:val="99"/>
    <w:semiHidden/>
    <w:unhideWhenUsed/>
    <w:rsid w:val="00954489"/>
    <w:rPr>
      <w:color w:val="954F72" w:themeColor="followedHyperlink"/>
      <w:u w:val="single"/>
    </w:rPr>
  </w:style>
  <w:style w:type="table" w:styleId="TableGrid">
    <w:name w:val="Table Grid"/>
    <w:basedOn w:val="TableNormal"/>
    <w:uiPriority w:val="39"/>
    <w:rsid w:val="001D4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qFormat/>
    <w:rsid w:val="00503387"/>
    <w:pPr>
      <w:spacing w:after="227" w:line="300" w:lineRule="exact"/>
    </w:pPr>
  </w:style>
  <w:style w:type="paragraph" w:customStyle="1" w:styleId="EndNoteBibliographyTitle">
    <w:name w:val="EndNote Bibliography Title"/>
    <w:basedOn w:val="Normal"/>
    <w:link w:val="EndNoteBibliographyTitleChar"/>
    <w:rsid w:val="001D5273"/>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D5273"/>
    <w:rPr>
      <w:rFonts w:ascii="Calibri" w:hAnsi="Calibri" w:cs="Calibri"/>
      <w:noProof/>
      <w:lang w:val="en-US"/>
    </w:rPr>
  </w:style>
  <w:style w:type="paragraph" w:customStyle="1" w:styleId="EndNoteBibliography">
    <w:name w:val="EndNote Bibliography"/>
    <w:basedOn w:val="Normal"/>
    <w:link w:val="EndNoteBibliographyChar"/>
    <w:rsid w:val="001D5273"/>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1D5273"/>
    <w:rPr>
      <w:rFonts w:ascii="Calibri" w:hAnsi="Calibri" w:cs="Calibri"/>
      <w:noProof/>
      <w:lang w:val="en-US"/>
    </w:rPr>
  </w:style>
  <w:style w:type="character" w:customStyle="1" w:styleId="UnresolvedMention2">
    <w:name w:val="Unresolved Mention2"/>
    <w:basedOn w:val="DefaultParagraphFont"/>
    <w:uiPriority w:val="99"/>
    <w:semiHidden/>
    <w:unhideWhenUsed/>
    <w:rsid w:val="00352822"/>
    <w:rPr>
      <w:color w:val="605E5C"/>
      <w:shd w:val="clear" w:color="auto" w:fill="E1DFDD"/>
    </w:rPr>
  </w:style>
  <w:style w:type="paragraph" w:styleId="Revision">
    <w:name w:val="Revision"/>
    <w:hidden/>
    <w:uiPriority w:val="99"/>
    <w:semiHidden/>
    <w:rsid w:val="00115816"/>
    <w:pPr>
      <w:spacing w:after="0" w:line="240" w:lineRule="auto"/>
    </w:pPr>
  </w:style>
  <w:style w:type="character" w:styleId="PageNumber">
    <w:name w:val="page number"/>
    <w:basedOn w:val="DefaultParagraphFont"/>
    <w:uiPriority w:val="99"/>
    <w:semiHidden/>
    <w:unhideWhenUsed/>
    <w:rsid w:val="00185AE6"/>
  </w:style>
  <w:style w:type="character" w:styleId="Strong">
    <w:name w:val="Strong"/>
    <w:basedOn w:val="DefaultParagraphFont"/>
    <w:uiPriority w:val="22"/>
    <w:qFormat/>
    <w:rsid w:val="00E70E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5220">
      <w:bodyDiv w:val="1"/>
      <w:marLeft w:val="0"/>
      <w:marRight w:val="0"/>
      <w:marTop w:val="0"/>
      <w:marBottom w:val="0"/>
      <w:divBdr>
        <w:top w:val="none" w:sz="0" w:space="0" w:color="auto"/>
        <w:left w:val="none" w:sz="0" w:space="0" w:color="auto"/>
        <w:bottom w:val="none" w:sz="0" w:space="0" w:color="auto"/>
        <w:right w:val="none" w:sz="0" w:space="0" w:color="auto"/>
      </w:divBdr>
    </w:div>
    <w:div w:id="197744944">
      <w:bodyDiv w:val="1"/>
      <w:marLeft w:val="0"/>
      <w:marRight w:val="0"/>
      <w:marTop w:val="0"/>
      <w:marBottom w:val="0"/>
      <w:divBdr>
        <w:top w:val="none" w:sz="0" w:space="0" w:color="auto"/>
        <w:left w:val="none" w:sz="0" w:space="0" w:color="auto"/>
        <w:bottom w:val="none" w:sz="0" w:space="0" w:color="auto"/>
        <w:right w:val="none" w:sz="0" w:space="0" w:color="auto"/>
      </w:divBdr>
    </w:div>
    <w:div w:id="405030620">
      <w:bodyDiv w:val="1"/>
      <w:marLeft w:val="0"/>
      <w:marRight w:val="0"/>
      <w:marTop w:val="0"/>
      <w:marBottom w:val="0"/>
      <w:divBdr>
        <w:top w:val="none" w:sz="0" w:space="0" w:color="auto"/>
        <w:left w:val="none" w:sz="0" w:space="0" w:color="auto"/>
        <w:bottom w:val="none" w:sz="0" w:space="0" w:color="auto"/>
        <w:right w:val="none" w:sz="0" w:space="0" w:color="auto"/>
      </w:divBdr>
    </w:div>
    <w:div w:id="659119609">
      <w:bodyDiv w:val="1"/>
      <w:marLeft w:val="0"/>
      <w:marRight w:val="0"/>
      <w:marTop w:val="0"/>
      <w:marBottom w:val="0"/>
      <w:divBdr>
        <w:top w:val="none" w:sz="0" w:space="0" w:color="auto"/>
        <w:left w:val="none" w:sz="0" w:space="0" w:color="auto"/>
        <w:bottom w:val="none" w:sz="0" w:space="0" w:color="auto"/>
        <w:right w:val="none" w:sz="0" w:space="0" w:color="auto"/>
      </w:divBdr>
    </w:div>
    <w:div w:id="1321813374">
      <w:bodyDiv w:val="1"/>
      <w:marLeft w:val="0"/>
      <w:marRight w:val="0"/>
      <w:marTop w:val="0"/>
      <w:marBottom w:val="0"/>
      <w:divBdr>
        <w:top w:val="none" w:sz="0" w:space="0" w:color="auto"/>
        <w:left w:val="none" w:sz="0" w:space="0" w:color="auto"/>
        <w:bottom w:val="none" w:sz="0" w:space="0" w:color="auto"/>
        <w:right w:val="none" w:sz="0" w:space="0" w:color="auto"/>
      </w:divBdr>
    </w:div>
    <w:div w:id="1388337766">
      <w:bodyDiv w:val="1"/>
      <w:marLeft w:val="0"/>
      <w:marRight w:val="0"/>
      <w:marTop w:val="0"/>
      <w:marBottom w:val="0"/>
      <w:divBdr>
        <w:top w:val="none" w:sz="0" w:space="0" w:color="auto"/>
        <w:left w:val="none" w:sz="0" w:space="0" w:color="auto"/>
        <w:bottom w:val="none" w:sz="0" w:space="0" w:color="auto"/>
        <w:right w:val="none" w:sz="0" w:space="0" w:color="auto"/>
      </w:divBdr>
    </w:div>
    <w:div w:id="1701932368">
      <w:bodyDiv w:val="1"/>
      <w:marLeft w:val="0"/>
      <w:marRight w:val="0"/>
      <w:marTop w:val="0"/>
      <w:marBottom w:val="0"/>
      <w:divBdr>
        <w:top w:val="none" w:sz="0" w:space="0" w:color="auto"/>
        <w:left w:val="none" w:sz="0" w:space="0" w:color="auto"/>
        <w:bottom w:val="none" w:sz="0" w:space="0" w:color="auto"/>
        <w:right w:val="none" w:sz="0" w:space="0" w:color="auto"/>
      </w:divBdr>
    </w:div>
    <w:div w:id="1872840062">
      <w:bodyDiv w:val="1"/>
      <w:marLeft w:val="0"/>
      <w:marRight w:val="0"/>
      <w:marTop w:val="0"/>
      <w:marBottom w:val="0"/>
      <w:divBdr>
        <w:top w:val="none" w:sz="0" w:space="0" w:color="auto"/>
        <w:left w:val="none" w:sz="0" w:space="0" w:color="auto"/>
        <w:bottom w:val="none" w:sz="0" w:space="0" w:color="auto"/>
        <w:right w:val="none" w:sz="0" w:space="0" w:color="auto"/>
      </w:divBdr>
    </w:div>
    <w:div w:id="1929650942">
      <w:bodyDiv w:val="1"/>
      <w:marLeft w:val="0"/>
      <w:marRight w:val="0"/>
      <w:marTop w:val="0"/>
      <w:marBottom w:val="0"/>
      <w:divBdr>
        <w:top w:val="none" w:sz="0" w:space="0" w:color="auto"/>
        <w:left w:val="none" w:sz="0" w:space="0" w:color="auto"/>
        <w:bottom w:val="none" w:sz="0" w:space="0" w:color="auto"/>
        <w:right w:val="none" w:sz="0" w:space="0" w:color="auto"/>
      </w:divBdr>
      <w:divsChild>
        <w:div w:id="1700665539">
          <w:marLeft w:val="300"/>
          <w:marRight w:val="0"/>
          <w:marTop w:val="0"/>
          <w:marBottom w:val="0"/>
          <w:divBdr>
            <w:top w:val="none" w:sz="0" w:space="0" w:color="auto"/>
            <w:left w:val="none" w:sz="0" w:space="0" w:color="auto"/>
            <w:bottom w:val="none" w:sz="0" w:space="0" w:color="auto"/>
            <w:right w:val="none" w:sz="0" w:space="0" w:color="auto"/>
          </w:divBdr>
        </w:div>
      </w:divsChild>
    </w:div>
    <w:div w:id="195154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2D7E3-DB5F-4CA9-89CA-F1E64E9E0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5882</Words>
  <Characters>33528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Hielscher</dc:creator>
  <cp:keywords/>
  <dc:description/>
  <cp:lastModifiedBy>Finn Haunch</cp:lastModifiedBy>
  <cp:revision>38</cp:revision>
  <cp:lastPrinted>2022-11-24T06:52:00Z</cp:lastPrinted>
  <dcterms:created xsi:type="dcterms:W3CDTF">2023-04-17T03:37:00Z</dcterms:created>
  <dcterms:modified xsi:type="dcterms:W3CDTF">2024-04-19T14:00:00Z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b064b5-5911-4077-b076-dd8db707b7e6_Enabled">
    <vt:lpwstr>true</vt:lpwstr>
  </property>
  <property fmtid="{D5CDD505-2E9C-101B-9397-08002B2CF9AE}" pid="3" name="MSIP_Label_adb064b5-5911-4077-b076-dd8db707b7e6_SetDate">
    <vt:lpwstr>2022-02-01T22:19:17Z</vt:lpwstr>
  </property>
  <property fmtid="{D5CDD505-2E9C-101B-9397-08002B2CF9AE}" pid="4" name="MSIP_Label_adb064b5-5911-4077-b076-dd8db707b7e6_Method">
    <vt:lpwstr>Privileged</vt:lpwstr>
  </property>
  <property fmtid="{D5CDD505-2E9C-101B-9397-08002B2CF9AE}" pid="5" name="MSIP_Label_adb064b5-5911-4077-b076-dd8db707b7e6_Name">
    <vt:lpwstr>UNOFFICIAL</vt:lpwstr>
  </property>
  <property fmtid="{D5CDD505-2E9C-101B-9397-08002B2CF9AE}" pid="6" name="MSIP_Label_adb064b5-5911-4077-b076-dd8db707b7e6_SiteId">
    <vt:lpwstr>b6e377cf-9db3-46cb-91a2-fad9605bb15c</vt:lpwstr>
  </property>
  <property fmtid="{D5CDD505-2E9C-101B-9397-08002B2CF9AE}" pid="7" name="MSIP_Label_adb064b5-5911-4077-b076-dd8db707b7e6_ActionId">
    <vt:lpwstr>3f192c4a-9a18-4f6a-9236-d1e9e4fa8264</vt:lpwstr>
  </property>
  <property fmtid="{D5CDD505-2E9C-101B-9397-08002B2CF9AE}" pid="8" name="MSIP_Label_adb064b5-5911-4077-b076-dd8db707b7e6_ContentBits">
    <vt:lpwstr>0</vt:lpwstr>
  </property>
</Properties>
</file>