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8CD0" w14:textId="607D3E99" w:rsidR="0074261E" w:rsidRPr="007928E6" w:rsidRDefault="00AF207D" w:rsidP="00AF207D">
      <w:pPr>
        <w:jc w:val="center"/>
        <w:rPr>
          <w:b/>
          <w:bCs/>
        </w:rPr>
      </w:pPr>
      <w:r w:rsidRPr="007928E6">
        <w:rPr>
          <w:b/>
          <w:bCs/>
        </w:rPr>
        <w:t>Supplementary files</w:t>
      </w:r>
    </w:p>
    <w:p w14:paraId="5798D498" w14:textId="77777777" w:rsidR="00AF207D" w:rsidRPr="007928E6" w:rsidRDefault="00AF207D" w:rsidP="00AF207D">
      <w:pPr>
        <w:rPr>
          <w:b/>
          <w:bCs/>
          <w:u w:val="single"/>
        </w:rPr>
      </w:pPr>
      <w:r w:rsidRPr="007928E6">
        <w:rPr>
          <w:b/>
          <w:bCs/>
          <w:u w:val="single"/>
        </w:rPr>
        <w:t xml:space="preserve">Glossary of terms </w:t>
      </w:r>
    </w:p>
    <w:p w14:paraId="1D20A177" w14:textId="69CEE87B" w:rsidR="00AF207D" w:rsidRPr="007928E6" w:rsidRDefault="00AF207D" w:rsidP="00AF207D">
      <w:pPr>
        <w:pStyle w:val="ListParagraph"/>
        <w:numPr>
          <w:ilvl w:val="0"/>
          <w:numId w:val="1"/>
        </w:numPr>
        <w:jc w:val="both"/>
        <w:rPr>
          <w:b/>
          <w:bCs/>
        </w:rPr>
      </w:pPr>
      <w:r w:rsidRPr="007928E6">
        <w:rPr>
          <w:b/>
          <w:bCs/>
        </w:rPr>
        <w:t xml:space="preserve">Homonegativity: </w:t>
      </w:r>
      <w:r w:rsidRPr="007928E6">
        <w:t>Having disdain, negative thoughts or attitudes, and discomfort around gay, bisexual, or lesbian individuals.  It can broadly be classified into moralistic homonegativity, which is adverse attitudes towards homosexuality, and intolerance which is personal rejection of homosexuals as a group based on out-group prejudice</w:t>
      </w:r>
      <w:r w:rsidR="00C449F7">
        <w:t xml:space="preserve"> </w:t>
      </w:r>
      <w:r w:rsidR="00E31F8B">
        <w:rPr>
          <w:noProof/>
        </w:rPr>
        <w:t>(Doebler, 2015)</w:t>
      </w:r>
      <w:r w:rsidR="008872CF" w:rsidRPr="007928E6">
        <w:t>.</w:t>
      </w:r>
      <w:r w:rsidRPr="007928E6">
        <w:t xml:space="preserve">  </w:t>
      </w:r>
      <w:r w:rsidRPr="007928E6">
        <w:rPr>
          <w:b/>
          <w:bCs/>
        </w:rPr>
        <w:t xml:space="preserve"> </w:t>
      </w:r>
    </w:p>
    <w:p w14:paraId="07DF0855" w14:textId="77777777" w:rsidR="00AF207D" w:rsidRPr="007928E6" w:rsidRDefault="00AF207D" w:rsidP="00AF207D">
      <w:pPr>
        <w:pStyle w:val="ListParagraph"/>
        <w:jc w:val="both"/>
        <w:rPr>
          <w:b/>
          <w:bCs/>
          <w:sz w:val="12"/>
          <w:szCs w:val="12"/>
        </w:rPr>
      </w:pPr>
    </w:p>
    <w:p w14:paraId="6F7E00A4" w14:textId="6259941D" w:rsidR="0068419C" w:rsidRPr="007928E6" w:rsidRDefault="00781F42" w:rsidP="00781F42">
      <w:pPr>
        <w:pStyle w:val="ListParagraph"/>
        <w:numPr>
          <w:ilvl w:val="0"/>
          <w:numId w:val="1"/>
        </w:numPr>
        <w:jc w:val="both"/>
        <w:rPr>
          <w:b/>
          <w:bCs/>
        </w:rPr>
      </w:pPr>
      <w:r w:rsidRPr="007928E6">
        <w:rPr>
          <w:b/>
          <w:bCs/>
        </w:rPr>
        <w:t xml:space="preserve">Coping: </w:t>
      </w:r>
      <w:r w:rsidR="00247099" w:rsidRPr="007928E6">
        <w:t xml:space="preserve">Process-oriented efforts to regulate emotion, cognition, behaviour, physiology, and the environment in response to events or circumstances </w:t>
      </w:r>
      <w:r w:rsidR="002C7E9E" w:rsidRPr="007928E6">
        <w:t xml:space="preserve">appraised as stressful. Coping is context specific and </w:t>
      </w:r>
      <w:r w:rsidR="0068419C" w:rsidRPr="007928E6">
        <w:t>distinct from more stable dispositions that can serve as coping resources (e.g., high self-esteem, optimism)</w:t>
      </w:r>
      <w:r w:rsidR="00C107BA" w:rsidRPr="007928E6">
        <w:t xml:space="preserve"> </w:t>
      </w:r>
      <w:r w:rsidR="00E31F8B">
        <w:rPr>
          <w:noProof/>
        </w:rPr>
        <w:t>(Lazarus and Folkman, 1984; Major et al., 2017)</w:t>
      </w:r>
    </w:p>
    <w:p w14:paraId="4FEB8997" w14:textId="77777777" w:rsidR="0068419C" w:rsidRPr="007928E6" w:rsidRDefault="0068419C" w:rsidP="0068419C">
      <w:pPr>
        <w:pStyle w:val="ListParagraph"/>
        <w:rPr>
          <w:b/>
          <w:bCs/>
          <w:sz w:val="12"/>
          <w:szCs w:val="12"/>
        </w:rPr>
      </w:pPr>
    </w:p>
    <w:p w14:paraId="124F5DE7" w14:textId="655F5617" w:rsidR="00AF207D" w:rsidRPr="007928E6" w:rsidRDefault="00AF207D" w:rsidP="00AF207D">
      <w:pPr>
        <w:pStyle w:val="ListParagraph"/>
        <w:numPr>
          <w:ilvl w:val="0"/>
          <w:numId w:val="1"/>
        </w:numPr>
        <w:jc w:val="both"/>
        <w:rPr>
          <w:b/>
          <w:bCs/>
        </w:rPr>
      </w:pPr>
      <w:r w:rsidRPr="007928E6">
        <w:rPr>
          <w:b/>
          <w:bCs/>
        </w:rPr>
        <w:t xml:space="preserve">Racialization: </w:t>
      </w:r>
      <w:r w:rsidRPr="007928E6">
        <w:t xml:space="preserve">Racialization is the complex and contradictory process through which groups come to be designated as being part of a particular "race" and on that basis subjected to differential and/or unequal treatment. While </w:t>
      </w:r>
      <w:r w:rsidR="00D03F57" w:rsidRPr="007928E6">
        <w:t>w</w:t>
      </w:r>
      <w:r w:rsidRPr="007928E6">
        <w:t xml:space="preserve">hite people are also racialized, this process is often rendered invisible or normative to those designated as </w:t>
      </w:r>
      <w:r w:rsidR="00D03F57" w:rsidRPr="007928E6">
        <w:t>w</w:t>
      </w:r>
      <w:r w:rsidRPr="007928E6">
        <w:t xml:space="preserve">hite. As a result, </w:t>
      </w:r>
      <w:r w:rsidR="00D03F57" w:rsidRPr="007928E6">
        <w:t>w</w:t>
      </w:r>
      <w:r w:rsidRPr="007928E6">
        <w:t xml:space="preserve">hite people may not see themselves as part of a race but still maintain the authority to name and racialize "others.” Historically, it has been </w:t>
      </w:r>
      <w:r w:rsidR="006112CC" w:rsidRPr="007928E6">
        <w:t>w</w:t>
      </w:r>
      <w:r w:rsidRPr="007928E6">
        <w:t xml:space="preserve">hite people who hold the social, political, and economic power to name and categorize people of colour and Indigenous peoples due to colonial history; in many countries, </w:t>
      </w:r>
      <w:r w:rsidR="006112CC" w:rsidRPr="007928E6">
        <w:t>w</w:t>
      </w:r>
      <w:r w:rsidRPr="007928E6">
        <w:t xml:space="preserve">hiteness is maintained as the “norm” that other races are measured against. White-skinned people doing the naming/categorizing often categorize themselves as </w:t>
      </w:r>
      <w:r w:rsidR="006112CC" w:rsidRPr="007928E6">
        <w:t>w</w:t>
      </w:r>
      <w:r w:rsidRPr="007928E6">
        <w:t>hite or Caucasian or they may think of themselves as "raceless" and "normal." This "normalcy" is defined by the assumed "otherness" or "abnormality" of people of colour</w:t>
      </w:r>
      <w:r w:rsidR="001F13CE">
        <w:t xml:space="preserve"> </w:t>
      </w:r>
      <w:r w:rsidR="00E31F8B">
        <w:rPr>
          <w:noProof/>
        </w:rPr>
        <w:t>(Alberta Civil Liberties Research Centre, 2021)</w:t>
      </w:r>
      <w:r w:rsidR="008872CF" w:rsidRPr="007928E6">
        <w:t>.</w:t>
      </w:r>
    </w:p>
    <w:p w14:paraId="09D2232A" w14:textId="77777777" w:rsidR="00AF207D" w:rsidRPr="007928E6" w:rsidRDefault="00AF207D" w:rsidP="00AF207D">
      <w:pPr>
        <w:pStyle w:val="ListParagraph"/>
        <w:jc w:val="both"/>
        <w:rPr>
          <w:b/>
          <w:bCs/>
          <w:sz w:val="12"/>
          <w:szCs w:val="12"/>
        </w:rPr>
      </w:pPr>
    </w:p>
    <w:p w14:paraId="5D9BB73B" w14:textId="230173FC" w:rsidR="00AF207D" w:rsidRPr="007928E6" w:rsidRDefault="00AF207D" w:rsidP="00AF207D">
      <w:pPr>
        <w:pStyle w:val="ListParagraph"/>
        <w:numPr>
          <w:ilvl w:val="0"/>
          <w:numId w:val="1"/>
        </w:numPr>
        <w:jc w:val="both"/>
        <w:rPr>
          <w:b/>
          <w:bCs/>
        </w:rPr>
      </w:pPr>
      <w:r w:rsidRPr="007928E6">
        <w:rPr>
          <w:b/>
          <w:bCs/>
        </w:rPr>
        <w:t xml:space="preserve">Racism: </w:t>
      </w:r>
      <w:r w:rsidRPr="007928E6">
        <w:t>Racism is a form of prejudice that assumes that the members of racial categories have distinctive characteristics and that these differences result in some racial groups being inferior to others. Racism generally includes negative emotional reactions to members of the group, acceptance of negative stereotypes, and racial discrimination against individuals; in some cases, it leads to violence</w:t>
      </w:r>
      <w:r w:rsidR="00FB4405">
        <w:t xml:space="preserve"> </w:t>
      </w:r>
      <w:r w:rsidR="00E31F8B">
        <w:rPr>
          <w:noProof/>
        </w:rPr>
        <w:t>(American Psychological Association, 2023)</w:t>
      </w:r>
      <w:r w:rsidRPr="007928E6">
        <w:t>. Racism also includes institutional practice</w:t>
      </w:r>
      <w:r w:rsidR="009C2E3D" w:rsidRPr="007928E6">
        <w:t>s</w:t>
      </w:r>
      <w:r w:rsidRPr="007928E6">
        <w:t xml:space="preserve"> which treats people differently because of their colour or ethnicity </w:t>
      </w:r>
      <w:r w:rsidR="00E31F8B">
        <w:rPr>
          <w:noProof/>
        </w:rPr>
        <w:t>(Government of Canada, 2023a)</w:t>
      </w:r>
      <w:r w:rsidR="008872CF" w:rsidRPr="007928E6">
        <w:t>.</w:t>
      </w:r>
    </w:p>
    <w:p w14:paraId="39D13C62" w14:textId="77777777" w:rsidR="00AF207D" w:rsidRPr="007928E6" w:rsidRDefault="00AF207D" w:rsidP="00AF207D">
      <w:pPr>
        <w:pStyle w:val="ListParagraph"/>
        <w:jc w:val="both"/>
        <w:rPr>
          <w:b/>
          <w:bCs/>
          <w:sz w:val="12"/>
          <w:szCs w:val="12"/>
        </w:rPr>
      </w:pPr>
    </w:p>
    <w:p w14:paraId="2B064F4C" w14:textId="2C816A35" w:rsidR="00AF207D" w:rsidRPr="007928E6" w:rsidRDefault="00AF207D" w:rsidP="00AF207D">
      <w:pPr>
        <w:pStyle w:val="ListParagraph"/>
        <w:numPr>
          <w:ilvl w:val="0"/>
          <w:numId w:val="1"/>
        </w:numPr>
        <w:jc w:val="both"/>
        <w:rPr>
          <w:b/>
          <w:bCs/>
        </w:rPr>
      </w:pPr>
      <w:r w:rsidRPr="007928E6">
        <w:rPr>
          <w:b/>
          <w:bCs/>
        </w:rPr>
        <w:t xml:space="preserve">HIV </w:t>
      </w:r>
      <w:r w:rsidR="00790DBD" w:rsidRPr="007928E6">
        <w:rPr>
          <w:b/>
          <w:bCs/>
        </w:rPr>
        <w:t>stigma</w:t>
      </w:r>
      <w:r w:rsidRPr="007928E6">
        <w:t xml:space="preserve">: HIV </w:t>
      </w:r>
      <w:r w:rsidR="00250E7A" w:rsidRPr="007928E6">
        <w:t>stigma</w:t>
      </w:r>
      <w:r w:rsidRPr="007928E6">
        <w:t xml:space="preserve"> is </w:t>
      </w:r>
      <w:r w:rsidR="00565B5D" w:rsidRPr="007928E6">
        <w:t xml:space="preserve">negative attitudes and beliefs about </w:t>
      </w:r>
      <w:r w:rsidR="00790DBD" w:rsidRPr="007928E6">
        <w:t xml:space="preserve">people living with HIV, which may result in HIV discrimination i.e., </w:t>
      </w:r>
      <w:r w:rsidRPr="007928E6">
        <w:t>treating people living with HIV less favorably than those without HIV</w:t>
      </w:r>
      <w:r w:rsidR="00B2318A">
        <w:t xml:space="preserve"> </w:t>
      </w:r>
      <w:r w:rsidR="00E31F8B">
        <w:rPr>
          <w:noProof/>
        </w:rPr>
        <w:t>(Centers for Disease Control and Prevention, 2021</w:t>
      </w:r>
      <w:proofErr w:type="gramStart"/>
      <w:r w:rsidR="00E31F8B">
        <w:rPr>
          <w:noProof/>
        </w:rPr>
        <w:t>)</w:t>
      </w:r>
      <w:r w:rsidR="000D3737">
        <w:rPr>
          <w:b/>
          <w:bCs/>
        </w:rPr>
        <w:t xml:space="preserve"> </w:t>
      </w:r>
      <w:r w:rsidRPr="007928E6">
        <w:t>.</w:t>
      </w:r>
      <w:proofErr w:type="gramEnd"/>
      <w:r w:rsidRPr="007928E6">
        <w:t xml:space="preserve"> Discrimination can include behaviours where they affect the enjoyment of rights for people living with HIV, as well as physical abuse, denial of health or social services, denial or loss of employment or education opportunities or even arrest. It can also be enshrined in criminal laws, travel restrictions, mandatory testing, and employment restrictions </w:t>
      </w:r>
      <w:r w:rsidR="00E31F8B">
        <w:rPr>
          <w:noProof/>
        </w:rPr>
        <w:t>(UNAIDS, 2022)</w:t>
      </w:r>
      <w:r w:rsidR="008872CF" w:rsidRPr="007928E6">
        <w:t>.</w:t>
      </w:r>
      <w:r w:rsidRPr="007928E6">
        <w:t xml:space="preserve"> </w:t>
      </w:r>
    </w:p>
    <w:p w14:paraId="2C1CEC54" w14:textId="77777777" w:rsidR="00AF207D" w:rsidRPr="007928E6" w:rsidRDefault="00AF207D" w:rsidP="00AF207D">
      <w:pPr>
        <w:pStyle w:val="ListParagraph"/>
        <w:jc w:val="both"/>
        <w:rPr>
          <w:b/>
          <w:bCs/>
          <w:sz w:val="12"/>
          <w:szCs w:val="12"/>
        </w:rPr>
      </w:pPr>
    </w:p>
    <w:p w14:paraId="6B7A3FAA" w14:textId="5C5056B0" w:rsidR="00E36BD5" w:rsidRDefault="00AF207D" w:rsidP="00E36BD5">
      <w:pPr>
        <w:pStyle w:val="ListParagraph"/>
        <w:numPr>
          <w:ilvl w:val="0"/>
          <w:numId w:val="1"/>
        </w:numPr>
        <w:jc w:val="both"/>
      </w:pPr>
      <w:r w:rsidRPr="00B45DD7">
        <w:rPr>
          <w:b/>
          <w:bCs/>
        </w:rPr>
        <w:t xml:space="preserve">Stigmatized group:  </w:t>
      </w:r>
      <w:r w:rsidRPr="007928E6">
        <w:t>A group of individuals that possess a common attribute</w:t>
      </w:r>
      <w:r w:rsidRPr="00B45DD7">
        <w:rPr>
          <w:b/>
          <w:bCs/>
        </w:rPr>
        <w:t xml:space="preserve"> </w:t>
      </w:r>
      <w:r w:rsidRPr="007928E6">
        <w:t xml:space="preserve">culturally understood as devalued and discrediting – applied by another more powerful group of individuals. Rooted in normative judgments, stigmatized individuals are reduced from a complex whole and “usual” person to the single tainted and discounted attribute/trait. Individuals belonging to stigmatized groups are subject to a combination of negative stereotyped beliefs, prejudiced attitudes, and </w:t>
      </w:r>
      <w:r w:rsidRPr="007928E6">
        <w:lastRenderedPageBreak/>
        <w:t xml:space="preserve">discriminatory behavior, by other non-stigmatized individuals and institutions </w:t>
      </w:r>
      <w:r w:rsidR="00E31F8B">
        <w:rPr>
          <w:noProof/>
        </w:rPr>
        <w:t>(Fudge Schormans, 2014)</w:t>
      </w:r>
    </w:p>
    <w:p w14:paraId="2FDD78A1" w14:textId="77777777" w:rsidR="00767939" w:rsidRPr="007928E6" w:rsidRDefault="00767939" w:rsidP="00767939">
      <w:pPr>
        <w:pStyle w:val="ListParagraph"/>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2438"/>
        <w:gridCol w:w="1701"/>
        <w:gridCol w:w="1701"/>
      </w:tblGrid>
      <w:tr w:rsidR="00E36BD5" w:rsidRPr="007928E6" w14:paraId="51A3267E" w14:textId="77777777" w:rsidTr="00805120">
        <w:trPr>
          <w:cantSplit/>
          <w:trHeight w:val="567"/>
        </w:trPr>
        <w:tc>
          <w:tcPr>
            <w:tcW w:w="5840" w:type="dxa"/>
            <w:gridSpan w:val="3"/>
          </w:tcPr>
          <w:p w14:paraId="4BE9565E" w14:textId="28FE447E" w:rsidR="00E36BD5" w:rsidRPr="007928E6" w:rsidRDefault="001F5794" w:rsidP="00805120">
            <w:pPr>
              <w:ind w:left="113" w:right="113"/>
              <w:rPr>
                <w:b/>
                <w:bCs/>
              </w:rPr>
            </w:pPr>
            <w:r w:rsidRPr="007928E6">
              <w:rPr>
                <w:b/>
                <w:bCs/>
              </w:rPr>
              <w:t xml:space="preserve">Supplementary </w:t>
            </w:r>
            <w:r w:rsidR="00E36BD5" w:rsidRPr="007928E6">
              <w:rPr>
                <w:b/>
                <w:bCs/>
              </w:rPr>
              <w:t>Figure 1: A simplified scheme to illustrate different forms of discrimination and their intersections that GBM may experience for our analyses</w:t>
            </w:r>
          </w:p>
        </w:tc>
      </w:tr>
      <w:tr w:rsidR="00E36BD5" w:rsidRPr="007928E6" w14:paraId="4D5C6438" w14:textId="77777777" w:rsidTr="00805120">
        <w:trPr>
          <w:cantSplit/>
          <w:trHeight w:val="2608"/>
        </w:trPr>
        <w:tc>
          <w:tcPr>
            <w:tcW w:w="2438" w:type="dxa"/>
          </w:tcPr>
          <w:p w14:paraId="7B08A183" w14:textId="77777777" w:rsidR="00E36BD5" w:rsidRPr="007928E6" w:rsidRDefault="00E36BD5" w:rsidP="00805120"/>
        </w:tc>
        <w:tc>
          <w:tcPr>
            <w:tcW w:w="1701" w:type="dxa"/>
            <w:textDirection w:val="btLr"/>
            <w:vAlign w:val="center"/>
          </w:tcPr>
          <w:p w14:paraId="15291474" w14:textId="77777777" w:rsidR="00E36BD5" w:rsidRPr="007928E6" w:rsidRDefault="00E36BD5" w:rsidP="00805120">
            <w:pPr>
              <w:ind w:left="113" w:right="113"/>
              <w:jc w:val="center"/>
              <w:rPr>
                <w:b/>
                <w:bCs/>
              </w:rPr>
            </w:pPr>
            <w:r w:rsidRPr="007928E6">
              <w:rPr>
                <w:b/>
                <w:bCs/>
              </w:rPr>
              <w:t>No HIV stigmatization</w:t>
            </w:r>
          </w:p>
        </w:tc>
        <w:tc>
          <w:tcPr>
            <w:tcW w:w="1701" w:type="dxa"/>
            <w:textDirection w:val="btLr"/>
            <w:vAlign w:val="center"/>
          </w:tcPr>
          <w:p w14:paraId="64027557" w14:textId="7ECA6076" w:rsidR="00E36BD5" w:rsidRPr="007928E6" w:rsidRDefault="00E36BD5" w:rsidP="00805120">
            <w:pPr>
              <w:ind w:left="113" w:right="113"/>
              <w:rPr>
                <w:b/>
                <w:bCs/>
              </w:rPr>
            </w:pPr>
            <w:r w:rsidRPr="007928E6">
              <w:rPr>
                <w:b/>
                <w:bCs/>
              </w:rPr>
              <w:t>HIV stigmatization from a majority HIV-</w:t>
            </w:r>
            <w:r w:rsidR="007874EC" w:rsidRPr="007928E6">
              <w:rPr>
                <w:b/>
                <w:bCs/>
              </w:rPr>
              <w:t>negative</w:t>
            </w:r>
            <w:r w:rsidRPr="007928E6">
              <w:rPr>
                <w:b/>
                <w:bCs/>
              </w:rPr>
              <w:t xml:space="preserve"> heterosexual society &amp; HIV-</w:t>
            </w:r>
            <w:r w:rsidR="007874EC" w:rsidRPr="007928E6">
              <w:rPr>
                <w:b/>
                <w:bCs/>
              </w:rPr>
              <w:t>negative</w:t>
            </w:r>
            <w:r w:rsidRPr="007928E6">
              <w:rPr>
                <w:b/>
                <w:bCs/>
              </w:rPr>
              <w:t xml:space="preserve"> GBM</w:t>
            </w:r>
          </w:p>
        </w:tc>
      </w:tr>
      <w:tr w:rsidR="00E36BD5" w:rsidRPr="007928E6" w14:paraId="107EB59C" w14:textId="77777777" w:rsidTr="00805120">
        <w:trPr>
          <w:trHeight w:val="680"/>
        </w:trPr>
        <w:tc>
          <w:tcPr>
            <w:tcW w:w="2438" w:type="dxa"/>
            <w:vAlign w:val="center"/>
          </w:tcPr>
          <w:p w14:paraId="6C7D9B79" w14:textId="77777777" w:rsidR="00E36BD5" w:rsidRPr="007928E6" w:rsidRDefault="00E36BD5" w:rsidP="00805120">
            <w:pPr>
              <w:rPr>
                <w:b/>
                <w:bCs/>
              </w:rPr>
            </w:pPr>
            <w:r w:rsidRPr="007928E6">
              <w:rPr>
                <w:b/>
                <w:bCs/>
              </w:rPr>
              <w:t xml:space="preserve">No Racism </w:t>
            </w:r>
          </w:p>
        </w:tc>
        <w:tc>
          <w:tcPr>
            <w:tcW w:w="1701" w:type="dxa"/>
            <w:shd w:val="clear" w:color="auto" w:fill="99CCFF"/>
            <w:vAlign w:val="center"/>
          </w:tcPr>
          <w:p w14:paraId="29C256B6" w14:textId="77777777" w:rsidR="00E36BD5" w:rsidRPr="007928E6" w:rsidRDefault="00E36BD5" w:rsidP="00805120">
            <w:pPr>
              <w:jc w:val="center"/>
            </w:pPr>
            <w:r w:rsidRPr="007928E6">
              <w:t>White GBM</w:t>
            </w:r>
          </w:p>
          <w:p w14:paraId="1F85515F" w14:textId="1AE00140" w:rsidR="00E36BD5" w:rsidRPr="007928E6" w:rsidRDefault="00E36BD5" w:rsidP="00805120">
            <w:pPr>
              <w:jc w:val="center"/>
            </w:pPr>
            <w:r w:rsidRPr="007928E6">
              <w:t>HIV-</w:t>
            </w:r>
            <w:r w:rsidR="007874EC" w:rsidRPr="007928E6">
              <w:t>negative</w:t>
            </w:r>
          </w:p>
        </w:tc>
        <w:tc>
          <w:tcPr>
            <w:tcW w:w="1701" w:type="dxa"/>
            <w:shd w:val="clear" w:color="auto" w:fill="99CCFF"/>
            <w:vAlign w:val="center"/>
          </w:tcPr>
          <w:p w14:paraId="588F6767" w14:textId="77777777" w:rsidR="00E36BD5" w:rsidRPr="007928E6" w:rsidRDefault="00E36BD5" w:rsidP="00805120">
            <w:pPr>
              <w:jc w:val="center"/>
            </w:pPr>
            <w:r w:rsidRPr="007928E6">
              <w:t>White GBM living with HIV</w:t>
            </w:r>
          </w:p>
        </w:tc>
      </w:tr>
      <w:tr w:rsidR="00E36BD5" w:rsidRPr="007928E6" w14:paraId="62DB2B39" w14:textId="77777777" w:rsidTr="00805120">
        <w:trPr>
          <w:trHeight w:val="680"/>
        </w:trPr>
        <w:tc>
          <w:tcPr>
            <w:tcW w:w="2438" w:type="dxa"/>
            <w:vAlign w:val="center"/>
          </w:tcPr>
          <w:p w14:paraId="6809D752" w14:textId="77777777" w:rsidR="00E36BD5" w:rsidRPr="007928E6" w:rsidRDefault="00E36BD5" w:rsidP="00805120">
            <w:pPr>
              <w:rPr>
                <w:b/>
                <w:bCs/>
              </w:rPr>
            </w:pPr>
            <w:r w:rsidRPr="007928E6">
              <w:rPr>
                <w:b/>
                <w:bCs/>
              </w:rPr>
              <w:t xml:space="preserve">Racism from a majority heterosexual White society &amp; White GBM </w:t>
            </w:r>
          </w:p>
        </w:tc>
        <w:tc>
          <w:tcPr>
            <w:tcW w:w="1701" w:type="dxa"/>
            <w:shd w:val="clear" w:color="auto" w:fill="A8D08D" w:themeFill="accent6" w:themeFillTint="99"/>
            <w:vAlign w:val="center"/>
          </w:tcPr>
          <w:p w14:paraId="5C9640BA" w14:textId="7AC17D67" w:rsidR="00E36BD5" w:rsidRPr="007928E6" w:rsidRDefault="00E36BD5" w:rsidP="00805120">
            <w:r w:rsidRPr="007928E6">
              <w:t>Racialized GBM HIV-</w:t>
            </w:r>
            <w:r w:rsidR="007874EC" w:rsidRPr="007928E6">
              <w:t>negative</w:t>
            </w:r>
          </w:p>
        </w:tc>
        <w:tc>
          <w:tcPr>
            <w:tcW w:w="1701" w:type="dxa"/>
            <w:shd w:val="clear" w:color="auto" w:fill="A8D08D" w:themeFill="accent6" w:themeFillTint="99"/>
            <w:vAlign w:val="center"/>
          </w:tcPr>
          <w:p w14:paraId="0B3DF48B" w14:textId="77777777" w:rsidR="00E36BD5" w:rsidRPr="007928E6" w:rsidRDefault="00E36BD5" w:rsidP="00805120">
            <w:pPr>
              <w:jc w:val="center"/>
            </w:pPr>
            <w:r w:rsidRPr="007928E6">
              <w:t>Racialized GBM living with HIV</w:t>
            </w:r>
          </w:p>
        </w:tc>
      </w:tr>
      <w:tr w:rsidR="00E36BD5" w:rsidRPr="007928E6" w14:paraId="480F7D70" w14:textId="77777777" w:rsidTr="00805120">
        <w:trPr>
          <w:trHeight w:val="680"/>
        </w:trPr>
        <w:tc>
          <w:tcPr>
            <w:tcW w:w="5840" w:type="dxa"/>
            <w:gridSpan w:val="3"/>
            <w:vAlign w:val="center"/>
          </w:tcPr>
          <w:p w14:paraId="0D16026D" w14:textId="77777777" w:rsidR="00E36BD5" w:rsidRPr="007928E6" w:rsidRDefault="00E36BD5" w:rsidP="00805120">
            <w:pPr>
              <w:pStyle w:val="NoSpacing"/>
            </w:pPr>
            <w:r w:rsidRPr="007928E6">
              <w:t xml:space="preserve">GBM may experience different forms of </w:t>
            </w:r>
            <w:proofErr w:type="gramStart"/>
            <w:r w:rsidRPr="007928E6">
              <w:t>discrimination</w:t>
            </w:r>
            <w:proofErr w:type="gramEnd"/>
            <w:r w:rsidRPr="007928E6">
              <w:t xml:space="preserve">          </w:t>
            </w:r>
          </w:p>
          <w:p w14:paraId="2067C579" w14:textId="160C914D" w:rsidR="00E36BD5" w:rsidRPr="007928E6" w:rsidRDefault="00E36BD5" w:rsidP="00805120">
            <w:pPr>
              <w:pStyle w:val="NoSpacing"/>
            </w:pPr>
            <w:r w:rsidRPr="007928E6">
              <w:t>depending on their identit</w:t>
            </w:r>
            <w:r w:rsidR="00C13C7B" w:rsidRPr="007928E6">
              <w:t>y(</w:t>
            </w:r>
            <w:proofErr w:type="spellStart"/>
            <w:r w:rsidR="00C13C7B" w:rsidRPr="007928E6">
              <w:t>ies</w:t>
            </w:r>
            <w:proofErr w:type="spellEnd"/>
            <w:r w:rsidR="00C13C7B" w:rsidRPr="007928E6">
              <w:t>)</w:t>
            </w:r>
            <w:r w:rsidRPr="007928E6">
              <w:t>. Importantly, oppression and privilege may be experienced simultaneously. For example, a racialized GBM may experience oppressing systems of racism and homophobia but may have privileges of HIV-</w:t>
            </w:r>
            <w:r w:rsidR="007874EC" w:rsidRPr="007928E6">
              <w:t>negative</w:t>
            </w:r>
            <w:r w:rsidRPr="007928E6">
              <w:t xml:space="preserve"> GBM.  Whereas a White GBM living with HIV is privileged by not being racialized but may be oppressed systematically by HIV-stigmatization.    </w:t>
            </w:r>
          </w:p>
        </w:tc>
      </w:tr>
    </w:tbl>
    <w:p w14:paraId="744E6BD3" w14:textId="77777777" w:rsidR="00732713" w:rsidRPr="007928E6" w:rsidRDefault="00E36BD5" w:rsidP="00E36BD5">
      <w:pPr>
        <w:pStyle w:val="NoSpacing"/>
        <w:sectPr w:rsidR="00732713" w:rsidRPr="007928E6">
          <w:footerReference w:type="default" r:id="rId7"/>
          <w:pgSz w:w="12240" w:h="15840"/>
          <w:pgMar w:top="1440" w:right="1440" w:bottom="1440" w:left="1440" w:header="708" w:footer="708" w:gutter="0"/>
          <w:cols w:space="708"/>
          <w:docGrid w:linePitch="360"/>
        </w:sectPr>
      </w:pPr>
      <w:r w:rsidRPr="007928E6">
        <w:rPr>
          <w:noProof/>
        </w:rPr>
        <mc:AlternateContent>
          <mc:Choice Requires="wps">
            <w:drawing>
              <wp:anchor distT="45720" distB="45720" distL="114300" distR="114300" simplePos="0" relativeHeight="251661312" behindDoc="0" locked="0" layoutInCell="1" allowOverlap="1" wp14:anchorId="7E1BA880" wp14:editId="70AD4B1A">
                <wp:simplePos x="0" y="0"/>
                <wp:positionH relativeFrom="column">
                  <wp:posOffset>4305300</wp:posOffset>
                </wp:positionH>
                <wp:positionV relativeFrom="paragraph">
                  <wp:posOffset>1990725</wp:posOffset>
                </wp:positionV>
                <wp:extent cx="2264410" cy="1002030"/>
                <wp:effectExtent l="0" t="0" r="254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002030"/>
                        </a:xfrm>
                        <a:prstGeom prst="rect">
                          <a:avLst/>
                        </a:prstGeom>
                        <a:solidFill>
                          <a:srgbClr val="FFFFFF"/>
                        </a:solidFill>
                        <a:ln w="9525">
                          <a:noFill/>
                          <a:miter lim="800000"/>
                          <a:headEnd/>
                          <a:tailEnd/>
                        </a:ln>
                      </wps:spPr>
                      <wps:txbx>
                        <w:txbxContent>
                          <w:p w14:paraId="28CAAA24" w14:textId="63857958" w:rsidR="00E36BD5" w:rsidRDefault="00702F82" w:rsidP="00E36BD5">
                            <w:r>
                              <w:t>Homonegativity</w:t>
                            </w:r>
                            <w:r w:rsidR="00E36BD5">
                              <w:t xml:space="preserve"> from majority White heterosexual society &amp; one’s </w:t>
                            </w:r>
                            <w:r w:rsidR="00C46AB9">
                              <w:t xml:space="preserve">predominantly heterosexual </w:t>
                            </w:r>
                            <w:r w:rsidR="00E36BD5">
                              <w:t xml:space="preserve">racialized </w:t>
                            </w:r>
                            <w:proofErr w:type="gramStart"/>
                            <w:r w:rsidR="00E36BD5">
                              <w:t>community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A880" id="_x0000_t202" coordsize="21600,21600" o:spt="202" path="m,l,21600r21600,l21600,xe">
                <v:stroke joinstyle="miter"/>
                <v:path gradientshapeok="t" o:connecttype="rect"/>
              </v:shapetype>
              <v:shape id="Text Box 2" o:spid="_x0000_s1026" type="#_x0000_t202" style="position:absolute;margin-left:339pt;margin-top:156.75pt;width:178.3pt;height:7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XADQIAAPcDAAAOAAAAZHJzL2Uyb0RvYy54bWysU9tu2zAMfR+wfxD0vtjxkq414hRdugwD&#10;ugvQ7QNkWY6FyaJGKbGzrx8lp2nQvQ3Tg0CK1BF5eLS6HXvDDgq9Blvx+SznTFkJjba7iv/4vn1z&#10;zZkPwjbCgFUVPyrPb9evX60GV6oCOjCNQkYg1peDq3gXgiuzzMtO9cLPwClLwRawF4Fc3GUNioHQ&#10;e5MVeX6VDYCNQ5DKezq9n4J8nfDbVsnwtW29CsxUnGoLace013HP1itR7lC4TstTGeIfquiFtvTo&#10;GepeBMH2qP+C6rVE8NCGmYQ+g7bVUqUeqJt5/qKbx044lXohcrw70+T/H6z8cnh035CF8T2MNMDU&#10;hHcPIH96ZmHTCbtTd4gwdEo09PA8UpYNzpenq5FqX/oIUg+foaEhi32ABDS22EdWqE9G6DSA45l0&#10;NQYm6bAorhaLOYUkxeZ5XuRv01gyUT5dd+jDRwU9i0bFkaaa4MXhwYdYjiifUuJrHoxuttqY5OCu&#10;3hhkB0EK2KaVOniRZiwbKn6zLJYJ2UK8n8TR60AKNbqv+HUe16SZSMcH26SUILSZbKrE2BM/kZKJ&#10;nDDWIyVGnmpojsQUwqRE+jlkdIC/ORtIhRX3v/YCFWfmkyW2b+aLRZRtchbLdwU5eBmpLyPCSoKq&#10;eOBsMjchST3yYOGOptLqxNdzJadaSV2JxtNPiPK99FPW839d/wEAAP//AwBQSwMEFAAGAAgAAAAh&#10;AA81kAngAAAADAEAAA8AAABkcnMvZG93bnJldi54bWxMj0FPg0AUhO8m/ofNM/Fi7IJQqMjSqInG&#10;a2t/wIN9BSL7lrDbQv+925MeJzOZ+abcLmYQZ5pcb1lBvIpAEDdW99wqOHx/PG5AOI+scbBMCi7k&#10;YFvd3pRYaDvzjs5734pQwq5ABZ33YyGlazoy6FZ2JA7e0U4GfZBTK/WEcyg3g3yKokwa7DksdDjS&#10;e0fNz/5kFBy/5of181x/+kO+S7M37PPaXpS6v1teX0B4WvxfGK74AR2qwFTbE2snBgVZvglfvIIk&#10;TtYgrokoSTMQtYI0jxOQVSn/n6h+AQAA//8DAFBLAQItABQABgAIAAAAIQC2gziS/gAAAOEBAAAT&#10;AAAAAAAAAAAAAAAAAAAAAABbQ29udGVudF9UeXBlc10ueG1sUEsBAi0AFAAGAAgAAAAhADj9If/W&#10;AAAAlAEAAAsAAAAAAAAAAAAAAAAALwEAAF9yZWxzLy5yZWxzUEsBAi0AFAAGAAgAAAAhAPcahcAN&#10;AgAA9wMAAA4AAAAAAAAAAAAAAAAALgIAAGRycy9lMm9Eb2MueG1sUEsBAi0AFAAGAAgAAAAhAA81&#10;kAngAAAADAEAAA8AAAAAAAAAAAAAAAAAZwQAAGRycy9kb3ducmV2LnhtbFBLBQYAAAAABAAEAPMA&#10;AAB0BQAAAAA=&#10;" stroked="f">
                <v:textbox>
                  <w:txbxContent>
                    <w:p w14:paraId="28CAAA24" w14:textId="63857958" w:rsidR="00E36BD5" w:rsidRDefault="00702F82" w:rsidP="00E36BD5">
                      <w:r>
                        <w:t>Homonegativity</w:t>
                      </w:r>
                      <w:r w:rsidR="00E36BD5">
                        <w:t xml:space="preserve"> from majority White heterosexual society &amp; one’s </w:t>
                      </w:r>
                      <w:r w:rsidR="00C46AB9">
                        <w:t xml:space="preserve">predominantly heterosexual </w:t>
                      </w:r>
                      <w:r w:rsidR="00E36BD5">
                        <w:t xml:space="preserve">racialized </w:t>
                      </w:r>
                      <w:proofErr w:type="gramStart"/>
                      <w:r w:rsidR="00E36BD5">
                        <w:t>community</w:t>
                      </w:r>
                      <w:proofErr w:type="gramEnd"/>
                    </w:p>
                  </w:txbxContent>
                </v:textbox>
                <w10:wrap type="square"/>
              </v:shape>
            </w:pict>
          </mc:Fallback>
        </mc:AlternateContent>
      </w:r>
      <w:r w:rsidRPr="007928E6">
        <w:rPr>
          <w:noProof/>
        </w:rPr>
        <mc:AlternateContent>
          <mc:Choice Requires="wps">
            <w:drawing>
              <wp:anchor distT="45720" distB="45720" distL="114300" distR="114300" simplePos="0" relativeHeight="251657216" behindDoc="0" locked="0" layoutInCell="1" allowOverlap="1" wp14:anchorId="03266C3F" wp14:editId="741356B2">
                <wp:simplePos x="0" y="0"/>
                <wp:positionH relativeFrom="column">
                  <wp:posOffset>4317365</wp:posOffset>
                </wp:positionH>
                <wp:positionV relativeFrom="paragraph">
                  <wp:posOffset>1400546</wp:posOffset>
                </wp:positionV>
                <wp:extent cx="2264410" cy="5334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533400"/>
                        </a:xfrm>
                        <a:prstGeom prst="rect">
                          <a:avLst/>
                        </a:prstGeom>
                        <a:solidFill>
                          <a:srgbClr val="FFFFFF"/>
                        </a:solidFill>
                        <a:ln w="9525">
                          <a:noFill/>
                          <a:miter lim="800000"/>
                          <a:headEnd/>
                          <a:tailEnd/>
                        </a:ln>
                      </wps:spPr>
                      <wps:txbx>
                        <w:txbxContent>
                          <w:p w14:paraId="1FCEC9C4" w14:textId="60CF8DAB" w:rsidR="00E36BD5" w:rsidRDefault="00E36BD5" w:rsidP="00E36BD5">
                            <w:r>
                              <w:t>Homo</w:t>
                            </w:r>
                            <w:r w:rsidR="00702F82">
                              <w:t xml:space="preserve">negativity </w:t>
                            </w:r>
                            <w:r>
                              <w:t xml:space="preserve">from majority heterosexual society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66C3F" id="_x0000_s1027" type="#_x0000_t202" style="position:absolute;margin-left:339.95pt;margin-top:110.3pt;width:178.3pt;height: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1QDwIAAP0DAAAOAAAAZHJzL2Uyb0RvYy54bWysU21v2yAQ/j5p/wHxfbHjOl1rxam6dJkm&#10;dS9Stx+AAcdomGNAYne/vgd206j7No0P6I47Hu6ee1jfjL0mR+m8AlPT5SKnRBoOQpl9TX/+2L27&#10;osQHZgTTYGRNH6WnN5u3b9aDrWQBHWghHUEQ46vB1rQLwVZZ5nkne+YXYKXBYAuuZwFdt8+EYwOi&#10;9zor8vwyG8AJ64BL7/H0bgrSTcJvW8nDt7b1MhBdU6wtpN2lvYl7tlmzau+Y7RSfy2D/UEXPlMFH&#10;T1B3LDBycOovqF5xBx7asODQZ9C2isvUA3azzF9189AxK1MvSI63J5r8/4PlX48P9rsjYfwAIw4w&#10;NeHtPfBfnhjYdszs5a1zMHSSCXx4GSnLBuur+Wqk2lc+gjTDFxA4ZHYIkIDG1vWRFeyTIDoO4PFE&#10;uhwD4XhYFJdlucQQx9jq4qLM01QyVj3fts6HTxJ6Eo2aOhxqQmfHex9iNax6TomPedBK7JTWyXH7&#10;ZqsdOTIUwC6t1MCrNG3IUNPrVbFKyAbi/aSNXgUUqFZ9Ta/yuCbJRDY+GpFSAlN6srESbWZ6IiMT&#10;N2FsRqLEzF1kqwHxiHw5mPSI/weNDtwfSgbUYk397wNzkhL92SDn18uyjOJNTrl6X6DjziPNeYQZ&#10;jlA1DZRM5jYkwUc6DNzibFqVaHupZC4ZNZbYnP9DFPG5n7Jefu3mCQAA//8DAFBLAwQUAAYACAAA&#10;ACEAe+lFIeAAAAAMAQAADwAAAGRycy9kb3ducmV2LnhtbEyPQU7DMBBF90jcwRokNojapK3TpHEq&#10;QAKxbekBJvE0iYjtKHab9Pa4K1iO/tP/b4rdbHp2odF3zip4WQhgZGunO9soOH5/PG+A+YBWY+8s&#10;KbiSh115f1dgrt1k93Q5hIbFEutzVNCGMOSc+7olg37hBrIxO7nRYIjn2HA94hTLTc8TISQ32Nm4&#10;0OJA7y3VP4ezUXD6mp7W2VR9hmO6X8k37NLKXZV6fJhft8ACzeEPhpt+VIcyOlXubLVnvQKZZllE&#10;FSSJkMBuhFjKNbBKwVKsJPCy4P+fKH8BAAD//wMAUEsBAi0AFAAGAAgAAAAhALaDOJL+AAAA4QEA&#10;ABMAAAAAAAAAAAAAAAAAAAAAAFtDb250ZW50X1R5cGVzXS54bWxQSwECLQAUAAYACAAAACEAOP0h&#10;/9YAAACUAQAACwAAAAAAAAAAAAAAAAAvAQAAX3JlbHMvLnJlbHNQSwECLQAUAAYACAAAACEAl8Zd&#10;UA8CAAD9AwAADgAAAAAAAAAAAAAAAAAuAgAAZHJzL2Uyb0RvYy54bWxQSwECLQAUAAYACAAAACEA&#10;e+lFIeAAAAAMAQAADwAAAAAAAAAAAAAAAABpBAAAZHJzL2Rvd25yZXYueG1sUEsFBgAAAAAEAAQA&#10;8wAAAHYFAAAAAA==&#10;" stroked="f">
                <v:textbox>
                  <w:txbxContent>
                    <w:p w14:paraId="1FCEC9C4" w14:textId="60CF8DAB" w:rsidR="00E36BD5" w:rsidRDefault="00E36BD5" w:rsidP="00E36BD5">
                      <w:r>
                        <w:t>Homo</w:t>
                      </w:r>
                      <w:r w:rsidR="00702F82">
                        <w:t xml:space="preserve">negativity </w:t>
                      </w:r>
                      <w:r>
                        <w:t xml:space="preserve">from majority heterosexual society </w:t>
                      </w:r>
                    </w:p>
                  </w:txbxContent>
                </v:textbox>
                <w10:wrap type="square"/>
              </v:shape>
            </w:pict>
          </mc:Fallback>
        </mc:AlternateContent>
      </w:r>
      <w:r w:rsidRPr="007928E6">
        <w:rPr>
          <w:noProof/>
        </w:rPr>
        <mc:AlternateContent>
          <mc:Choice Requires="wps">
            <w:drawing>
              <wp:anchor distT="0" distB="0" distL="114300" distR="114300" simplePos="0" relativeHeight="251649024" behindDoc="0" locked="0" layoutInCell="1" allowOverlap="1" wp14:anchorId="24F1D225" wp14:editId="6C179A00">
                <wp:simplePos x="0" y="0"/>
                <wp:positionH relativeFrom="column">
                  <wp:posOffset>3898038</wp:posOffset>
                </wp:positionH>
                <wp:positionV relativeFrom="paragraph">
                  <wp:posOffset>1462382</wp:posOffset>
                </wp:positionV>
                <wp:extent cx="393405" cy="244549"/>
                <wp:effectExtent l="0" t="0" r="26035" b="22225"/>
                <wp:wrapNone/>
                <wp:docPr id="16" name="Rectangle 16"/>
                <wp:cNvGraphicFramePr/>
                <a:graphic xmlns:a="http://schemas.openxmlformats.org/drawingml/2006/main">
                  <a:graphicData uri="http://schemas.microsoft.com/office/word/2010/wordprocessingShape">
                    <wps:wsp>
                      <wps:cNvSpPr/>
                      <wps:spPr>
                        <a:xfrm>
                          <a:off x="0" y="0"/>
                          <a:ext cx="393405" cy="244549"/>
                        </a:xfrm>
                        <a:prstGeom prst="rect">
                          <a:avLst/>
                        </a:prstGeom>
                        <a:solidFill>
                          <a:srgbClr val="99CCFF">
                            <a:alpha val="6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3A6D4" id="Rectangle 16" o:spid="_x0000_s1026" style="position:absolute;margin-left:306.95pt;margin-top:115.15pt;width:31pt;height:19.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bpkQIAAKcFAAAOAAAAZHJzL2Uyb0RvYy54bWysVMFu2zAMvQ/YPwi6r3bSpFuCOkWQIsOA&#10;oi3WDj0rshQbkCWNUuJkXz9Ksp2sLXYYloNCieQj+Uzy+ubQKLIX4GqjCzq6yCkRmpuy1tuC/nhe&#10;f/pCifNMl0wZLQp6FI7eLD5+uG7tXIxNZVQpgCCIdvPWFrTy3s6zzPFKNMxdGCs0KqWBhnm8wjYr&#10;gbWI3qhsnOdXWWugtGC4cA5fb5OSLiK+lIL7Bymd8EQVFHPz8YR4bsKZLa7ZfAvMVjXv0mD/kEXD&#10;ao1BB6hb5hnZQf0Gqqk5GGekv+CmyYyUNRexBqxmlL+q5qliVsRakBxnB5rc/4Pl9/sn+whIQ2vd&#10;3KEYqjhIaMI/5kcOkazjQJY4eMLx8XJ2OcmnlHBUjSeT6WQWyMxOzhac/ypMQ4JQUMBvESli+zvn&#10;k2lvEmI5o+pyXSsVL7DdrBSQPcPvNputVut18lW2Yun1KsdfF9Il8xj+Dxyl30KH1hIDuD+MepBT&#10;AlhF8MxOnETJH5UIeEp/F5LUJbIwjmnFdj1hMs6F9qOkqlgpUsbT84z7LGLOETAgS6x/wO4AessE&#10;0mMnAjv74Cpitw/O+d8SS86DR4xstB+cm1obeA9AYVVd5GTfk5SoCSxtTHl8BAImzZqzfF1jA9wx&#10;5x8Z4HDhGOLC8A94SGXagppOoqQy8Ou992CPPY9aSloc1oK6nzsGghL1TeM0zEaTSZjueJlMP4/x&#10;AueazblG75qVwb4a4WqyPIrB3qtelGCaF9wryxAVVUxzjF1Q7qG/rHxaIriZuFguoxlOtGX+Tj9Z&#10;HsADq6HBnw8vDGw3BR7H5970g83mr4Yh2QZPbZY7b2QdJ+XEa8c3boPYON3mCuvm/B6tTvt18RsA&#10;AP//AwBQSwMEFAAGAAgAAAAhAPkVfzrgAAAACwEAAA8AAABkcnMvZG93bnJldi54bWxMj7FOwzAQ&#10;hnck3sG6SmzUaUJDGuJUCNGFAbWhQ0c3Nkna+BzZbhrenmOi4/336b/vivVkejZq5zuLAhbzCJjG&#10;2qoOGwH7r81jBswHiUr2FrWAH+1hXd7fFTJX9oo7PVahYVSCPpcC2hCGnHNft9pIP7eDRtp9W2dk&#10;oNE1XDl5pXLT8ziKUm5kh3ShlYN+a3V9ri5GwHmvxnf8OGwwPmzV8vTpVk+VE+JhNr2+AAt6Cv8w&#10;/OmTOpTkdLQXVJ71AtJFsiJUQJxECTAi0uclJUdK0iwDXhb89ofyFwAA//8DAFBLAQItABQABgAI&#10;AAAAIQC2gziS/gAAAOEBAAATAAAAAAAAAAAAAAAAAAAAAABbQ29udGVudF9UeXBlc10ueG1sUEsB&#10;Ai0AFAAGAAgAAAAhADj9If/WAAAAlAEAAAsAAAAAAAAAAAAAAAAALwEAAF9yZWxzLy5yZWxzUEsB&#10;Ai0AFAAGAAgAAAAhAJ9sdumRAgAApwUAAA4AAAAAAAAAAAAAAAAALgIAAGRycy9lMm9Eb2MueG1s&#10;UEsBAi0AFAAGAAgAAAAhAPkVfzrgAAAACwEAAA8AAAAAAAAAAAAAAAAA6wQAAGRycy9kb3ducmV2&#10;LnhtbFBLBQYAAAAABAAEAPMAAAD4BQAAAAA=&#10;" fillcolor="#9cf" strokecolor="black [3213]" strokeweight="1pt">
                <v:fill opacity="39321f"/>
              </v:rect>
            </w:pict>
          </mc:Fallback>
        </mc:AlternateContent>
      </w:r>
      <w:r w:rsidRPr="007928E6">
        <w:rPr>
          <w:noProof/>
        </w:rPr>
        <mc:AlternateContent>
          <mc:Choice Requires="wps">
            <w:drawing>
              <wp:anchor distT="0" distB="0" distL="114300" distR="114300" simplePos="0" relativeHeight="251653120" behindDoc="0" locked="0" layoutInCell="1" allowOverlap="1" wp14:anchorId="607BD38E" wp14:editId="096FDB9C">
                <wp:simplePos x="0" y="0"/>
                <wp:positionH relativeFrom="column">
                  <wp:posOffset>3897402</wp:posOffset>
                </wp:positionH>
                <wp:positionV relativeFrom="paragraph">
                  <wp:posOffset>2065691</wp:posOffset>
                </wp:positionV>
                <wp:extent cx="393405" cy="255255"/>
                <wp:effectExtent l="0" t="0" r="26035" b="12065"/>
                <wp:wrapNone/>
                <wp:docPr id="17" name="Rectangle 17"/>
                <wp:cNvGraphicFramePr/>
                <a:graphic xmlns:a="http://schemas.openxmlformats.org/drawingml/2006/main">
                  <a:graphicData uri="http://schemas.microsoft.com/office/word/2010/wordprocessingShape">
                    <wps:wsp>
                      <wps:cNvSpPr/>
                      <wps:spPr>
                        <a:xfrm flipV="1">
                          <a:off x="0" y="0"/>
                          <a:ext cx="393405" cy="255255"/>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C068E" id="Rectangle 17" o:spid="_x0000_s1026" style="position:absolute;margin-left:306.9pt;margin-top:162.65pt;width:31pt;height:20.1pt;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YLjQIAAJAFAAAOAAAAZHJzL2Uyb0RvYy54bWysVNtuGjEQfa/Uf7D83uxCoG0QS4SIUlWK&#10;EtSkzbPx2qwlr8e1DQv9+o69F2gS9aEqQpZnZ+Z45sxlfn2oNdkL5xWYgo4uckqE4VAqsy3o96fb&#10;D58p8YGZkmkwoqBH4en14v27eWNnYgwV6FI4giDGzxpb0CoEO8syzytRM38BVhhUSnA1Cyi6bVY6&#10;1iB6rbNxnn/MGnCldcCF9/j1plXSRcKXUvDwIKUXgeiCYmwhnS6dm3hmizmbbR2zleJdGOwfoqiZ&#10;MvjoAHXDAiM7p15B1Yo78CDDBYc6AykVFykHzGaUv8jmsWJWpFyQHG8Hmvz/g+X3+0e7dkhDY/3M&#10;4zVmcZCuJlIr+wNrmvLCSMkh0XYcaBOHQDh+vLy6nORTSjiqxtMp/iOtWQsT4azz4YuAmsRLQR1W&#10;JYGy/Z0PrWlvEs09aFXeKq2T4LablXZkz7CCV+ObfJqKhuh/mGnz2jP2kBh8w2HUhXXmiDDRMzsl&#10;n27hqEXE0+abkESVmOQ4RZz68oTJOBcmtAz5ipWiDXOa469/rI8iMZIAI7LE9AbsDqC3bEF67Jaf&#10;zj66itTWg3P+t8Ba58EjvQwmDM61MuDeAtCYVfdya9+T1FITWdpAeVw74qAdKm/5rcL63jEf1szh&#10;FOG84WYID3hIDU1BobtRUoH79db3aI/NjVpKGpzKgvqfO+YEJfqrwba/Gk0mcYyTMJl+GqPgzjWb&#10;c43Z1SvAthnhDrI8XaN90P1VOqifcYEs46uoYobj2wXlwfXCKrTbAlcQF8tlMsPRtSzcmUfL+/mI&#10;/ft0eGbOdk0ecDruoZ9gNnvR661trIeB5S6AVGkQTrx2fOPYp8bpVlTcK+dysjot0sVvAAAA//8D&#10;AFBLAwQUAAYACAAAACEA3kDVreEAAAALAQAADwAAAGRycy9kb3ducmV2LnhtbEyPy07DMBBF90j8&#10;gzVI7KjzUEwJcaoKgQQSBVpYsHTjIY6I7Sh22vTvGVawvA/dOVOtZtuzA46h805CukiAoWu87lwr&#10;4eP94WoJLETltOq9QwknDLCqz88qVWp/dFs87GLLaMSFUkkwMQ4l56ExaFVY+AEdZV9+tCqSHFuu&#10;R3WkcdvzLEkEt6pzdMGoAe8MNt+7yUrYrKfXR2NOIYlvL88i+xzS+5snKS8v5vUtsIhz/CvDLz6h&#10;Q01Mez85HVgvQaQ5oUcJeVbkwKghrgty9uSIogBeV/z/D/UPAAAA//8DAFBLAQItABQABgAIAAAA&#10;IQC2gziS/gAAAOEBAAATAAAAAAAAAAAAAAAAAAAAAABbQ29udGVudF9UeXBlc10ueG1sUEsBAi0A&#10;FAAGAAgAAAAhADj9If/WAAAAlAEAAAsAAAAAAAAAAAAAAAAALwEAAF9yZWxzLy5yZWxzUEsBAi0A&#10;FAAGAAgAAAAhAEJ7tguNAgAAkAUAAA4AAAAAAAAAAAAAAAAALgIAAGRycy9lMm9Eb2MueG1sUEsB&#10;Ai0AFAAGAAgAAAAhAN5A1a3hAAAACwEAAA8AAAAAAAAAAAAAAAAA5wQAAGRycy9kb3ducmV2Lnht&#10;bFBLBQYAAAAABAAEAPMAAAD1BQAAAAA=&#10;" fillcolor="#92d050" strokecolor="black [3213]" strokeweight="1pt"/>
            </w:pict>
          </mc:Fallback>
        </mc:AlternateContent>
      </w:r>
      <w:r w:rsidRPr="007928E6">
        <w:rPr>
          <w:noProof/>
        </w:rPr>
        <mc:AlternateContent>
          <mc:Choice Requires="wps">
            <w:drawing>
              <wp:anchor distT="45720" distB="45720" distL="114300" distR="114300" simplePos="0" relativeHeight="251665408" behindDoc="0" locked="0" layoutInCell="1" allowOverlap="1" wp14:anchorId="2348AE2A" wp14:editId="364E4777">
                <wp:simplePos x="0" y="0"/>
                <wp:positionH relativeFrom="column">
                  <wp:posOffset>0</wp:posOffset>
                </wp:positionH>
                <wp:positionV relativeFrom="paragraph">
                  <wp:posOffset>2996565</wp:posOffset>
                </wp:positionV>
                <wp:extent cx="3742055" cy="140462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404620"/>
                        </a:xfrm>
                        <a:prstGeom prst="rect">
                          <a:avLst/>
                        </a:prstGeom>
                        <a:solidFill>
                          <a:srgbClr val="FFFFFF"/>
                        </a:solidFill>
                        <a:ln w="9525">
                          <a:noFill/>
                          <a:miter lim="800000"/>
                          <a:headEnd/>
                          <a:tailEnd/>
                        </a:ln>
                      </wps:spPr>
                      <wps:txbx>
                        <w:txbxContent>
                          <w:p w14:paraId="53D0ABE4" w14:textId="77777777" w:rsidR="00E36BD5" w:rsidRDefault="00E36BD5" w:rsidP="00E36BD5">
                            <w:pPr>
                              <w:pStyle w:val="NoSpacing"/>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48AE2A" id="_x0000_s1028" type="#_x0000_t202" style="position:absolute;margin-left:0;margin-top:235.95pt;width:294.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avEwIAAP4DAAAOAAAAZHJzL2Uyb0RvYy54bWysk9uO2yAQhu8r9R0Q940dN9mDFWe1zTZV&#10;pe1B2vYBMMYxKmboQGJvn34HnM1G27uqvkDggZ+Zb35WN2Nv2EGh12ArPp/lnCkrodF2V/GfP7bv&#10;rjjzQdhGGLCq4o/K85v12zerwZWqgA5Mo5CRiPXl4CreheDKLPOyU73wM3DKUrAF7EWgJe6yBsVA&#10;6r3Jijy/yAbAxiFI5T39vZuCfJ3021bJ8K1tvQrMVJxyC2nENNZxzNYrUe5QuE7LYxriH7LohbZ0&#10;6UnqTgTB9qj/kuq1RPDQhpmEPoO21VKlGqiaef6qmodOOJVqITjenTD5/ycrvx4e3HdkYfwAIzUw&#10;FeHdPchfnlnYdMLu1C0iDJ0SDV08j8iywfnyeDSi9qWPIvXwBRpqstgHSEJji32kQnUyUqcGPJ6g&#10;qzEwST/fXy6KfLnkTFJsvsgXF0VqSybK5+MOffikoGdxUnGkriZ5cbj3IaYjyuct8TYPRjdbbUxa&#10;4K7eGGQHQQ7Ypi9V8GqbsWyo+PWyWCZlC/F8MkevAznU6L7iV3n8Js9EHB9tk7YEoc00p0yMPfKJ&#10;SCY4YaxHppuKF/FsxFVD80jAECZD0gOiSQf4h7OBzFhx/3svUHFmPluCfj1fLKJ702KxvCRCDM8j&#10;9XlEWElSFQ+cTdNNSI5PONwtNWerE7aXTI4pk8kSzeODiC4+X6ddL892/QQAAP//AwBQSwMEFAAG&#10;AAgAAAAhAMCMtsLeAAAACAEAAA8AAABkcnMvZG93bnJldi54bWxMjzFPwzAUhHck/oP1kNioE0pD&#10;E+JUCIkFdaCFgfE1fsQhsR1ipw3/nsdUxtOd7r4rN7PtxZHG0HqnIF0kIMjVXreuUfD+9nyzBhEi&#10;Oo29d6TghwJsqsuLEgvtT25Hx31sBJe4UKACE+NQSBlqQxbDwg/k2Pv0o8XIcmykHvHE5baXt0mS&#10;SYut4wWDAz0Zqrv9ZHlkG+pp57+/0m0nP0yX4erVvCh1fTU/PoCINMdzGP7wGR0qZjr4yekgegV8&#10;JCq4u09zEGyv1vkSxEFBli9TkFUp/x+ofgEAAP//AwBQSwECLQAUAAYACAAAACEAtoM4kv4AAADh&#10;AQAAEwAAAAAAAAAAAAAAAAAAAAAAW0NvbnRlbnRfVHlwZXNdLnhtbFBLAQItABQABgAIAAAAIQA4&#10;/SH/1gAAAJQBAAALAAAAAAAAAAAAAAAAAC8BAABfcmVscy8ucmVsc1BLAQItABQABgAIAAAAIQAU&#10;1wavEwIAAP4DAAAOAAAAAAAAAAAAAAAAAC4CAABkcnMvZTJvRG9jLnhtbFBLAQItABQABgAIAAAA&#10;IQDAjLbC3gAAAAgBAAAPAAAAAAAAAAAAAAAAAG0EAABkcnMvZG93bnJldi54bWxQSwUGAAAAAAQA&#10;BADzAAAAeAUAAAAA&#10;" stroked="f">
                <v:textbox style="mso-fit-shape-to-text:t">
                  <w:txbxContent>
                    <w:p w14:paraId="53D0ABE4" w14:textId="77777777" w:rsidR="00E36BD5" w:rsidRDefault="00E36BD5" w:rsidP="00E36BD5">
                      <w:pPr>
                        <w:pStyle w:val="NoSpacing"/>
                      </w:pPr>
                      <w:r>
                        <w:t xml:space="preserve"> </w:t>
                      </w:r>
                    </w:p>
                  </w:txbxContent>
                </v:textbox>
                <w10:wrap type="square"/>
              </v:shape>
            </w:pict>
          </mc:Fallback>
        </mc:AlternateContent>
      </w:r>
      <w:r w:rsidRPr="007928E6">
        <w:br w:type="textWrapping" w:clear="all"/>
      </w:r>
    </w:p>
    <w:p w14:paraId="7F8B692C" w14:textId="77777777" w:rsidR="00732713" w:rsidRPr="007928E6" w:rsidRDefault="00732713" w:rsidP="00732713">
      <w:pPr>
        <w:pStyle w:val="NoSpacing"/>
        <w:jc w:val="center"/>
        <w:rPr>
          <w:b/>
          <w:bCs/>
        </w:rPr>
      </w:pPr>
      <w:r w:rsidRPr="007928E6">
        <w:rPr>
          <w:b/>
          <w:bCs/>
        </w:rPr>
        <w:lastRenderedPageBreak/>
        <w:t>Brief overview of natural effect models for causal mediation analysis</w:t>
      </w:r>
    </w:p>
    <w:p w14:paraId="224EB000" w14:textId="423CBEE4" w:rsidR="00732713" w:rsidRPr="007928E6" w:rsidRDefault="00732713" w:rsidP="00732713">
      <w:pPr>
        <w:pStyle w:val="NoSpacing"/>
        <w:rPr>
          <w:b/>
          <w:bCs/>
        </w:rPr>
      </w:pPr>
    </w:p>
    <w:p w14:paraId="3FC2C2F2" w14:textId="2F740C2B" w:rsidR="00732713" w:rsidRPr="007928E6" w:rsidRDefault="002C171F" w:rsidP="00732713">
      <w:pPr>
        <w:pStyle w:val="NoSpacing"/>
        <w:rPr>
          <w:b/>
          <w:bCs/>
        </w:rPr>
      </w:pPr>
      <w:r w:rsidRPr="007928E6">
        <w:rPr>
          <w:b/>
          <w:bCs/>
          <w:noProof/>
        </w:rPr>
        <w:drawing>
          <wp:anchor distT="0" distB="0" distL="114300" distR="114300" simplePos="0" relativeHeight="251669504" behindDoc="0" locked="0" layoutInCell="1" allowOverlap="1" wp14:anchorId="3DE1DF19" wp14:editId="32BBF28B">
            <wp:simplePos x="0" y="0"/>
            <wp:positionH relativeFrom="column">
              <wp:posOffset>4441825</wp:posOffset>
            </wp:positionH>
            <wp:positionV relativeFrom="paragraph">
              <wp:posOffset>99695</wp:posOffset>
            </wp:positionV>
            <wp:extent cx="1612900" cy="1293495"/>
            <wp:effectExtent l="0" t="0" r="0" b="1905"/>
            <wp:wrapSquare wrapText="bothSides"/>
            <wp:docPr id="1792670324" name="Picture 1" descr="A picture containing black, darkness, black and white, sp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670324" name="Picture 1" descr="A picture containing black, darkness, black and white, space&#10;&#10;Description automatically generated"/>
                    <pic:cNvPicPr/>
                  </pic:nvPicPr>
                  <pic:blipFill rotWithShape="1">
                    <a:blip r:embed="rId8" cstate="print">
                      <a:extLst>
                        <a:ext uri="{28A0092B-C50C-407E-A947-70E740481C1C}">
                          <a14:useLocalDpi xmlns:a14="http://schemas.microsoft.com/office/drawing/2010/main" val="0"/>
                        </a:ext>
                      </a:extLst>
                    </a:blip>
                    <a:srcRect l="7022" t="6240" r="5439" b="8677"/>
                    <a:stretch/>
                  </pic:blipFill>
                  <pic:spPr bwMode="auto">
                    <a:xfrm>
                      <a:off x="0" y="0"/>
                      <a:ext cx="1612900" cy="129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713" w:rsidRPr="007928E6">
        <w:rPr>
          <w:b/>
          <w:bCs/>
        </w:rPr>
        <w:t xml:space="preserve">Causal mediation analysis </w:t>
      </w:r>
    </w:p>
    <w:p w14:paraId="2DBD9AAD" w14:textId="77777777" w:rsidR="00732713" w:rsidRPr="007928E6" w:rsidRDefault="00732713" w:rsidP="00732713">
      <w:pPr>
        <w:pStyle w:val="NoSpacing"/>
        <w:ind w:firstLine="720"/>
        <w:jc w:val="both"/>
        <w:rPr>
          <w:sz w:val="4"/>
          <w:szCs w:val="4"/>
        </w:rPr>
      </w:pPr>
    </w:p>
    <w:p w14:paraId="5DE3B3BD" w14:textId="21C22133" w:rsidR="00732713" w:rsidRPr="007928E6" w:rsidRDefault="00732713" w:rsidP="00732713">
      <w:pPr>
        <w:pStyle w:val="NoSpacing"/>
        <w:ind w:firstLine="720"/>
        <w:jc w:val="both"/>
      </w:pPr>
      <w:r w:rsidRPr="007928E6">
        <w:t xml:space="preserve">Let </w:t>
      </w:r>
      <w:r w:rsidRPr="007928E6">
        <w:rPr>
          <w:i/>
          <w:iCs/>
          <w:sz w:val="24"/>
          <w:szCs w:val="24"/>
        </w:rPr>
        <w:t>A</w:t>
      </w:r>
      <w:r w:rsidRPr="007928E6">
        <w:rPr>
          <w:sz w:val="24"/>
          <w:szCs w:val="24"/>
        </w:rPr>
        <w:t xml:space="preserve"> </w:t>
      </w:r>
      <w:r w:rsidRPr="007928E6">
        <w:t xml:space="preserve">in Fig 1 represent the exposure of interest, </w:t>
      </w:r>
      <m:oMath>
        <m:r>
          <w:rPr>
            <w:rFonts w:ascii="Cambria Math" w:hAnsi="Cambria Math"/>
            <w:sz w:val="24"/>
            <w:szCs w:val="24"/>
          </w:rPr>
          <m:t>M</m:t>
        </m:r>
        <m:r>
          <w:rPr>
            <w:rFonts w:ascii="Cambria Math" w:hAnsi="Cambria Math"/>
          </w:rPr>
          <m:t xml:space="preserve"> </m:t>
        </m:r>
      </m:oMath>
      <w:r w:rsidRPr="007928E6">
        <w:t xml:space="preserve">the mediator, </w:t>
      </w:r>
      <m:oMath>
        <m:r>
          <w:rPr>
            <w:rFonts w:ascii="Cambria Math" w:hAnsi="Cambria Math"/>
            <w:sz w:val="24"/>
            <w:szCs w:val="24"/>
          </w:rPr>
          <m:t>Y</m:t>
        </m:r>
        <m:r>
          <w:rPr>
            <w:rFonts w:ascii="Cambria Math" w:hAnsi="Cambria Math"/>
          </w:rPr>
          <m:t xml:space="preserve"> </m:t>
        </m:r>
      </m:oMath>
      <w:r w:rsidRPr="007928E6">
        <w:t xml:space="preserve">the outcome and </w:t>
      </w:r>
      <m:oMath>
        <m:r>
          <w:rPr>
            <w:rFonts w:ascii="Cambria Math" w:hAnsi="Cambria Math"/>
            <w:sz w:val="24"/>
            <w:szCs w:val="24"/>
          </w:rPr>
          <m:t>C</m:t>
        </m:r>
      </m:oMath>
      <w:r w:rsidRPr="007928E6">
        <w:t xml:space="preserve"> a set of confounders. We assume there is no unmeasured confounding (i.e., set </w:t>
      </w:r>
      <m:oMath>
        <m:r>
          <w:rPr>
            <w:rFonts w:ascii="Cambria Math" w:hAnsi="Cambria Math"/>
          </w:rPr>
          <m:t>C</m:t>
        </m:r>
      </m:oMath>
      <w:r w:rsidRPr="007928E6">
        <w:t xml:space="preserve"> includes all confounders for the exposure-mediator, mediator-outcome, and exposure-outcome relationships). Additionally, we assume that there are no variables </w:t>
      </w:r>
      <m:oMath>
        <m:r>
          <w:rPr>
            <w:rFonts w:ascii="Cambria Math" w:hAnsi="Cambria Math"/>
            <w:sz w:val="24"/>
            <w:szCs w:val="24"/>
          </w:rPr>
          <m:t>L</m:t>
        </m:r>
      </m:oMath>
      <w:r w:rsidRPr="007928E6">
        <w:rPr>
          <w:i/>
          <w:iCs/>
        </w:rPr>
        <w:t xml:space="preserve"> </w:t>
      </w:r>
      <w:r w:rsidRPr="007928E6">
        <w:t xml:space="preserve">in set </w:t>
      </w:r>
      <m:oMath>
        <m:r>
          <w:rPr>
            <w:rFonts w:ascii="Cambria Math" w:hAnsi="Cambria Math"/>
          </w:rPr>
          <m:t xml:space="preserve">C </m:t>
        </m:r>
      </m:oMath>
      <w:r w:rsidRPr="007928E6">
        <w:t xml:space="preserve">that are effects of </w:t>
      </w:r>
      <m:oMath>
        <m:r>
          <w:rPr>
            <w:rFonts w:ascii="Cambria Math" w:hAnsi="Cambria Math"/>
          </w:rPr>
          <m:t>A</m:t>
        </m:r>
      </m:oMath>
      <w:r w:rsidRPr="007928E6">
        <w:rPr>
          <w:i/>
          <w:iCs/>
        </w:rPr>
        <w:t xml:space="preserve"> </w:t>
      </w:r>
      <w:r w:rsidRPr="007928E6">
        <w:t xml:space="preserve">and confounders of the mediator-outcome relationship </w:t>
      </w:r>
      <w:r w:rsidR="00E31F8B">
        <w:rPr>
          <w:noProof/>
        </w:rPr>
        <w:t>(VanderWeele, 2016)</w:t>
      </w:r>
      <w:r w:rsidRPr="007928E6">
        <w:t>.</w:t>
      </w:r>
    </w:p>
    <w:p w14:paraId="03735226" w14:textId="77777777" w:rsidR="00732713" w:rsidRPr="007928E6" w:rsidRDefault="00732713" w:rsidP="00732713">
      <w:pPr>
        <w:pStyle w:val="NoSpacing"/>
        <w:ind w:firstLine="720"/>
        <w:jc w:val="both"/>
        <w:rPr>
          <w:sz w:val="4"/>
          <w:szCs w:val="4"/>
        </w:rPr>
      </w:pPr>
    </w:p>
    <w:p w14:paraId="7A233246" w14:textId="63D30982" w:rsidR="00732713" w:rsidRPr="007928E6" w:rsidRDefault="00732713" w:rsidP="00732713">
      <w:pPr>
        <w:pStyle w:val="NoSpacing"/>
        <w:ind w:firstLine="720"/>
        <w:jc w:val="both"/>
        <w:rPr>
          <w:rFonts w:eastAsiaTheme="minorEastAsia"/>
        </w:rPr>
      </w:pPr>
      <w:r w:rsidRPr="007928E6">
        <w:t xml:space="preserve">Causal mediation utilizes a potential outcomes or counterfactual framework. For each subject, we define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m:t>
            </m:r>
          </m:sub>
        </m:sSub>
      </m:oMath>
      <w:r w:rsidRPr="007928E6">
        <w:rPr>
          <w:rFonts w:eastAsiaTheme="minorEastAsia"/>
        </w:rPr>
        <w:t xml:space="preserve"> as the counterfactual outcome we would have observed, if counter to fact, the exposure </w:t>
      </w:r>
      <m:oMath>
        <m:r>
          <w:rPr>
            <w:rFonts w:ascii="Cambria Math" w:eastAsiaTheme="minorEastAsia" w:hAnsi="Cambria Math"/>
          </w:rPr>
          <m:t>A</m:t>
        </m:r>
      </m:oMath>
      <w:r w:rsidRPr="007928E6">
        <w:rPr>
          <w:rFonts w:eastAsiaTheme="minorEastAsia"/>
        </w:rPr>
        <w:t xml:space="preserve"> were set to </w:t>
      </w:r>
      <w:r w:rsidRPr="007928E6">
        <w:rPr>
          <w:rFonts w:ascii="Cambria Math" w:hAnsi="Cambria Math" w:cs="Cambria Math"/>
        </w:rPr>
        <w:t>𝑎</w:t>
      </w:r>
      <w:r w:rsidRPr="007928E6">
        <w:rPr>
          <w:rFonts w:eastAsiaTheme="minorEastAsia"/>
        </w:rPr>
        <w:t xml:space="preserve"> and mediator </w:t>
      </w:r>
      <m:oMath>
        <m:r>
          <w:rPr>
            <w:rFonts w:ascii="Cambria Math" w:eastAsiaTheme="minorEastAsia" w:hAnsi="Cambria Math"/>
          </w:rPr>
          <m:t>M</m:t>
        </m:r>
      </m:oMath>
      <w:r w:rsidRPr="007928E6">
        <w:rPr>
          <w:rFonts w:eastAsiaTheme="minorEastAsia"/>
        </w:rPr>
        <w:t xml:space="preserve"> set to </w:t>
      </w:r>
      <m:oMath>
        <m:r>
          <w:rPr>
            <w:rFonts w:ascii="Cambria Math" w:eastAsiaTheme="minorEastAsia" w:hAnsi="Cambria Math"/>
          </w:rPr>
          <m:t>m</m:t>
        </m:r>
      </m:oMath>
      <w:r w:rsidRPr="007928E6">
        <w:rPr>
          <w:rFonts w:eastAsiaTheme="minorEastAsia"/>
        </w:rPr>
        <w:t xml:space="preserve">. Similarly,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m:t>
            </m:r>
          </m:sub>
        </m:sSub>
      </m:oMath>
      <w:r w:rsidRPr="007928E6">
        <w:rPr>
          <w:rFonts w:eastAsiaTheme="minorEastAsia"/>
        </w:rPr>
        <w:t xml:space="preserve"> represents the counterfactual value of the mediator, if counter to fact, </w:t>
      </w:r>
      <m:oMath>
        <m:r>
          <w:rPr>
            <w:rFonts w:ascii="Cambria Math" w:eastAsiaTheme="minorEastAsia" w:hAnsi="Cambria Math"/>
          </w:rPr>
          <m:t>A</m:t>
        </m:r>
      </m:oMath>
      <w:r w:rsidRPr="007928E6">
        <w:rPr>
          <w:rFonts w:eastAsiaTheme="minorEastAsia"/>
        </w:rPr>
        <w:t xml:space="preserve"> were set to </w:t>
      </w:r>
      <m:oMath>
        <m:r>
          <w:rPr>
            <w:rFonts w:ascii="Cambria Math" w:eastAsiaTheme="minorEastAsia" w:hAnsi="Cambria Math"/>
          </w:rPr>
          <m:t>a</m:t>
        </m:r>
      </m:oMath>
      <w:r w:rsidRPr="007928E6">
        <w:rPr>
          <w:rFonts w:eastAsiaTheme="minorEastAsia"/>
          <w:i/>
          <w:iCs/>
        </w:rPr>
        <w:t xml:space="preserve"> </w:t>
      </w:r>
      <w:r w:rsidR="00E31F8B">
        <w:rPr>
          <w:rFonts w:eastAsiaTheme="minorEastAsia"/>
          <w:noProof/>
        </w:rPr>
        <w:t>(Lange et al., 2012)</w:t>
      </w:r>
      <w:r w:rsidRPr="007928E6">
        <w:rPr>
          <w:rFonts w:eastAsiaTheme="minorEastAsia"/>
        </w:rPr>
        <w:t xml:space="preserve">. </w:t>
      </w:r>
      <w:r w:rsidRPr="007928E6">
        <w:t xml:space="preserve">Direct (unmediated) and indirect (mediated) effects can then be described in terms of </w:t>
      </w:r>
      <w:r w:rsidRPr="007928E6">
        <w:rPr>
          <w:i/>
          <w:iCs/>
        </w:rPr>
        <w:t xml:space="preserve">nested counterfactuals. </w:t>
      </w:r>
      <w:r w:rsidRPr="007928E6">
        <w:t xml:space="preserve">Thus,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a*,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sub>
        </m:sSub>
      </m:oMath>
      <w:r w:rsidRPr="007928E6">
        <w:rPr>
          <w:rFonts w:eastAsiaTheme="minorEastAsia"/>
        </w:rPr>
        <w:t xml:space="preserve">denotes the outcome that would be observed if </w:t>
      </w:r>
      <m:oMath>
        <m:r>
          <w:rPr>
            <w:rFonts w:ascii="Cambria Math" w:eastAsiaTheme="minorEastAsia" w:hAnsi="Cambria Math"/>
          </w:rPr>
          <m:t>A</m:t>
        </m:r>
      </m:oMath>
      <w:r w:rsidRPr="007928E6">
        <w:rPr>
          <w:rFonts w:eastAsiaTheme="minorEastAsia"/>
        </w:rPr>
        <w:t xml:space="preserve"> were set to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sidRPr="007928E6">
        <w:rPr>
          <w:rFonts w:eastAsiaTheme="minorEastAsia"/>
        </w:rPr>
        <w:t xml:space="preserve">and </w:t>
      </w:r>
      <m:oMath>
        <m:r>
          <w:rPr>
            <w:rFonts w:ascii="Cambria Math" w:eastAsiaTheme="minorEastAsia" w:hAnsi="Cambria Math"/>
          </w:rPr>
          <m:t>M</m:t>
        </m:r>
      </m:oMath>
      <w:r w:rsidRPr="007928E6">
        <w:rPr>
          <w:rFonts w:eastAsiaTheme="minorEastAsia"/>
        </w:rPr>
        <w:t xml:space="preserve"> were set to the value it would have taken if </w:t>
      </w:r>
      <m:oMath>
        <m:r>
          <w:rPr>
            <w:rFonts w:ascii="Cambria Math" w:eastAsiaTheme="minorEastAsia" w:hAnsi="Cambria Math"/>
          </w:rPr>
          <m:t>A</m:t>
        </m:r>
      </m:oMath>
      <w:r w:rsidRPr="007928E6">
        <w:rPr>
          <w:rFonts w:eastAsiaTheme="minorEastAsia"/>
        </w:rPr>
        <w:t xml:space="preserve"> were set to </w:t>
      </w:r>
      <m:oMath>
        <m:r>
          <w:rPr>
            <w:rFonts w:ascii="Cambria Math" w:eastAsiaTheme="minorEastAsia" w:hAnsi="Cambria Math"/>
          </w:rPr>
          <m:t>a.</m:t>
        </m:r>
      </m:oMath>
      <w:r w:rsidRPr="007928E6">
        <w:rPr>
          <w:rFonts w:eastAsiaTheme="minorEastAsia"/>
          <w:i/>
          <w:iCs/>
        </w:rPr>
        <w:t xml:space="preserve"> </w:t>
      </w:r>
      <w:r w:rsidRPr="007928E6">
        <w:rPr>
          <w:rFonts w:eastAsiaTheme="minorEastAsia"/>
        </w:rPr>
        <w:t xml:space="preserve">To estimate the natural direct effect (changing </w:t>
      </w:r>
      <m:oMath>
        <m:r>
          <w:rPr>
            <w:rFonts w:ascii="Cambria Math" w:eastAsiaTheme="minorEastAsia" w:hAnsi="Cambria Math"/>
          </w:rPr>
          <m:t>a</m:t>
        </m:r>
      </m:oMath>
      <w:r w:rsidRPr="007928E6">
        <w:rPr>
          <w:rFonts w:eastAsiaTheme="minorEastAsia"/>
        </w:rPr>
        <w:t xml:space="preserve"> to </w:t>
      </w:r>
      <m:oMath>
        <m:sSup>
          <m:sSupPr>
            <m:ctrlPr>
              <w:rPr>
                <w:rFonts w:ascii="Cambria Math" w:eastAsiaTheme="minorEastAsia" w:hAnsi="Cambria Math"/>
                <w:i/>
                <w:iCs/>
              </w:rPr>
            </m:ctrlPr>
          </m:sSupPr>
          <m:e>
            <m:r>
              <w:rPr>
                <w:rFonts w:ascii="Cambria Math" w:eastAsiaTheme="minorEastAsia" w:hAnsi="Cambria Math"/>
              </w:rPr>
              <m:t>a</m:t>
            </m:r>
          </m:e>
          <m:sup>
            <m:r>
              <w:rPr>
                <w:rFonts w:ascii="Cambria Math" w:eastAsiaTheme="minorEastAsia" w:hAnsi="Cambria Math"/>
              </w:rPr>
              <m:t>*</m:t>
            </m:r>
          </m:sup>
        </m:sSup>
      </m:oMath>
      <w:r w:rsidRPr="007928E6">
        <w:rPr>
          <w:rFonts w:eastAsiaTheme="minorEastAsia"/>
          <w:i/>
          <w:iCs/>
        </w:rPr>
        <w:t>)</w:t>
      </w:r>
      <w:r w:rsidRPr="007928E6">
        <w:rPr>
          <w:rFonts w:eastAsiaTheme="minorEastAsia"/>
        </w:rPr>
        <w:t>,</w:t>
      </w:r>
      <w:r w:rsidRPr="007928E6">
        <w:rPr>
          <w:rFonts w:eastAsiaTheme="minorEastAsia"/>
          <w:i/>
          <w:iCs/>
        </w:rPr>
        <w:t xml:space="preserve"> </w:t>
      </w:r>
      <w:r w:rsidRPr="007928E6">
        <w:rPr>
          <w:rFonts w:eastAsiaTheme="minorEastAsia"/>
        </w:rPr>
        <w:t xml:space="preserve">we compare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a,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sub>
        </m:sSub>
      </m:oMath>
      <w:r w:rsidRPr="007928E6">
        <w:rPr>
          <w:rFonts w:eastAsiaTheme="minorEastAsia"/>
          <w:sz w:val="28"/>
          <w:szCs w:val="28"/>
        </w:rPr>
        <w:t xml:space="preserve"> </w:t>
      </w:r>
      <w:r w:rsidRPr="007928E6">
        <w:rPr>
          <w:rFonts w:eastAsiaTheme="minorEastAsia"/>
        </w:rPr>
        <w:t xml:space="preserve">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a*,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sub>
        </m:sSub>
      </m:oMath>
      <w:r w:rsidRPr="007928E6">
        <w:rPr>
          <w:rFonts w:eastAsiaTheme="minorEastAsia"/>
          <w:sz w:val="28"/>
          <w:szCs w:val="28"/>
        </w:rPr>
        <w:t xml:space="preserve">. </w:t>
      </w:r>
      <w:r w:rsidRPr="007928E6">
        <w:rPr>
          <w:rFonts w:eastAsiaTheme="minorEastAsia"/>
        </w:rPr>
        <w:t xml:space="preserve">Similarly, to estimate the natural indirect effect, we compare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a*,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sub>
        </m:sSub>
      </m:oMath>
      <w:r w:rsidRPr="007928E6">
        <w:rPr>
          <w:rFonts w:eastAsiaTheme="minorEastAsia"/>
          <w:sz w:val="28"/>
          <w:szCs w:val="28"/>
        </w:rPr>
        <w:t xml:space="preserve"> </w:t>
      </w:r>
      <w:r w:rsidRPr="007928E6">
        <w:rPr>
          <w:rFonts w:eastAsiaTheme="minorEastAsia"/>
        </w:rPr>
        <w:t xml:space="preserve">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a*,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sub>
        </m:sSub>
      </m:oMath>
      <w:r w:rsidRPr="007928E6">
        <w:rPr>
          <w:rFonts w:eastAsiaTheme="minorEastAsia"/>
          <w:sz w:val="28"/>
          <w:szCs w:val="28"/>
        </w:rPr>
        <w:t xml:space="preserve">. </w:t>
      </w:r>
      <w:r w:rsidRPr="007928E6">
        <w:rPr>
          <w:rFonts w:eastAsiaTheme="minorEastAsia"/>
        </w:rPr>
        <w:t xml:space="preserve">The word “natural” refers to the fact that we let the mediator take the value it would take naturally when the exposure is set to </w:t>
      </w:r>
      <m:oMath>
        <m:r>
          <w:rPr>
            <w:rFonts w:ascii="Cambria Math" w:eastAsiaTheme="minorEastAsia" w:hAnsi="Cambria Math"/>
          </w:rPr>
          <m:t>a</m:t>
        </m:r>
      </m:oMath>
      <w:r w:rsidRPr="007928E6">
        <w:rPr>
          <w:rFonts w:eastAsiaTheme="minorEastAsia"/>
        </w:rPr>
        <w:t xml:space="preserve">. Natural direct and indirect effects can be estimated conditionally (i.e., within levels of covariates) or marginally. They can be expressed as mean difference or ratios (risk ratio, odds ratio) </w:t>
      </w:r>
      <w:r w:rsidR="00E31F8B">
        <w:rPr>
          <w:rFonts w:eastAsiaTheme="minorEastAsia"/>
          <w:noProof/>
        </w:rPr>
        <w:t>(Lange et al., 2012; Vansteelandt et al., 2012)</w:t>
      </w:r>
      <w:r w:rsidRPr="007928E6">
        <w:rPr>
          <w:rFonts w:eastAsiaTheme="minorEastAsia"/>
        </w:rPr>
        <w:t>.</w:t>
      </w:r>
    </w:p>
    <w:p w14:paraId="334CA9A8" w14:textId="77777777" w:rsidR="00732713" w:rsidRPr="007928E6" w:rsidRDefault="00732713" w:rsidP="00732713">
      <w:pPr>
        <w:pStyle w:val="NoSpacing"/>
        <w:jc w:val="both"/>
        <w:rPr>
          <w:sz w:val="4"/>
          <w:szCs w:val="4"/>
        </w:rPr>
      </w:pPr>
    </w:p>
    <w:p w14:paraId="1F15602F" w14:textId="13112DA9" w:rsidR="00732713" w:rsidRPr="007928E6" w:rsidRDefault="00732713" w:rsidP="00732713">
      <w:pPr>
        <w:pStyle w:val="NoSpacing"/>
        <w:ind w:firstLine="720"/>
        <w:jc w:val="both"/>
      </w:pPr>
      <w:r w:rsidRPr="007928E6">
        <w:t xml:space="preserve">Total effect can be represented as the sum (for linear models) or product (for risk and odds ratios) of the natural direct and indirect effects. The natural direct effect is also called the pure direct effect and the natural indirect effect is also called the total indirect effect </w:t>
      </w:r>
      <w:r w:rsidR="00E31F8B">
        <w:rPr>
          <w:noProof/>
        </w:rPr>
        <w:t>(VanderWeele, 2013)</w:t>
      </w:r>
      <w:r w:rsidRPr="007928E6">
        <w:t>.</w:t>
      </w:r>
    </w:p>
    <w:p w14:paraId="1217AFDD" w14:textId="77777777" w:rsidR="00732713" w:rsidRPr="007928E6" w:rsidRDefault="00732713" w:rsidP="00732713">
      <w:pPr>
        <w:pStyle w:val="NoSpacing"/>
      </w:pPr>
    </w:p>
    <w:p w14:paraId="31C25B05" w14:textId="77777777" w:rsidR="00732713" w:rsidRPr="007928E6" w:rsidRDefault="00732713" w:rsidP="00732713">
      <w:pPr>
        <w:pStyle w:val="NoSpacing"/>
        <w:rPr>
          <w:b/>
          <w:bCs/>
        </w:rPr>
      </w:pPr>
      <w:r w:rsidRPr="007928E6">
        <w:rPr>
          <w:b/>
          <w:bCs/>
        </w:rPr>
        <w:t xml:space="preserve">Traditional approach for causal mediation analysis  </w:t>
      </w:r>
    </w:p>
    <w:p w14:paraId="082AAF54" w14:textId="77777777" w:rsidR="00732713" w:rsidRPr="007928E6" w:rsidRDefault="00732713" w:rsidP="00732713">
      <w:pPr>
        <w:pStyle w:val="NoSpacing"/>
        <w:ind w:firstLine="720"/>
        <w:jc w:val="both"/>
        <w:rPr>
          <w:sz w:val="4"/>
          <w:szCs w:val="4"/>
        </w:rPr>
      </w:pPr>
    </w:p>
    <w:p w14:paraId="6894DB31" w14:textId="191E6802" w:rsidR="00732713" w:rsidRPr="007928E6" w:rsidRDefault="00732713" w:rsidP="00732713">
      <w:pPr>
        <w:pStyle w:val="NoSpacing"/>
        <w:ind w:firstLine="720"/>
        <w:jc w:val="both"/>
        <w:rPr>
          <w:rFonts w:cstheme="minorHAnsi"/>
          <w:i/>
          <w:iCs/>
        </w:rPr>
      </w:pPr>
      <w:r w:rsidRPr="007928E6">
        <w:t xml:space="preserve">Conventionally, the mediation formula is used to estimate natural direct and indirect effects, by first specifying separate models for the outcome and the mediator. The formula corresponds to a form of standardization, estimating the mean value of the outcome in each stratum defined by the mediator and confounders among the individuals with treatment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7928E6">
        <w:rPr>
          <w:rFonts w:ascii="Cambria Math" w:hAnsi="Cambria Math" w:cs="Cambria Math"/>
        </w:rPr>
        <w:t xml:space="preserve"> </w:t>
      </w:r>
      <w:r w:rsidRPr="007928E6">
        <w:t xml:space="preserve"> but weighting these by the likelihood of each mediator value among individuals with treatment </w:t>
      </w:r>
      <w:r w:rsidRPr="007928E6">
        <w:rPr>
          <w:rFonts w:ascii="Cambria Math" w:hAnsi="Cambria Math" w:cs="Cambria Math"/>
        </w:rPr>
        <w:t xml:space="preserve">𝑎 </w:t>
      </w:r>
      <w:r w:rsidR="00E31F8B">
        <w:rPr>
          <w:rFonts w:cstheme="minorHAnsi"/>
          <w:noProof/>
        </w:rPr>
        <w:t>(Lange et al., 2012; Loeys et al., 2013; Vansteelandt et al., 2012)</w:t>
      </w:r>
      <w:r w:rsidRPr="007928E6">
        <w:rPr>
          <w:rFonts w:cstheme="minorHAnsi"/>
        </w:rPr>
        <w:t>.</w:t>
      </w:r>
    </w:p>
    <w:p w14:paraId="31A9D10D" w14:textId="77777777" w:rsidR="00732713" w:rsidRPr="007928E6" w:rsidRDefault="00732713" w:rsidP="00732713">
      <w:pPr>
        <w:pStyle w:val="NoSpacing"/>
        <w:jc w:val="both"/>
      </w:pPr>
      <w:r w:rsidRPr="007928E6">
        <w:t xml:space="preserve">For instance, </w:t>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sub>
            </m:sSub>
          </m:e>
          <m:e>
            <m:r>
              <w:rPr>
                <w:rFonts w:ascii="Cambria Math" w:hAnsi="Cambria Math"/>
                <w:sz w:val="24"/>
                <w:szCs w:val="24"/>
              </w:rPr>
              <m:t>C=c</m:t>
            </m:r>
          </m:e>
        </m:d>
      </m:oMath>
      <w:r w:rsidRPr="007928E6">
        <w:t xml:space="preserve"> is estimated using Equation 1. </w:t>
      </w:r>
    </w:p>
    <w:p w14:paraId="5AC5A8ED" w14:textId="77777777" w:rsidR="00732713" w:rsidRPr="007928E6" w:rsidRDefault="00732713" w:rsidP="00732713">
      <w:pPr>
        <w:pStyle w:val="NoSpacing"/>
        <w:ind w:firstLine="720"/>
        <w:jc w:val="both"/>
        <w:rPr>
          <w:rFonts w:eastAsiaTheme="minorEastAsia"/>
          <w:sz w:val="4"/>
          <w:szCs w:val="4"/>
        </w:rPr>
      </w:pPr>
    </w:p>
    <w:p w14:paraId="6BEE77B1" w14:textId="77777777" w:rsidR="00732713" w:rsidRPr="007928E6" w:rsidRDefault="000A3F05" w:rsidP="00732713">
      <w:pPr>
        <w:pStyle w:val="NoSpacing"/>
        <w:jc w:val="both"/>
        <w:rPr>
          <w:sz w:val="24"/>
          <w:szCs w:val="24"/>
        </w:rPr>
      </w:pPr>
      <m:oMath>
        <m:nary>
          <m:naryPr>
            <m:chr m:val="∑"/>
            <m:limLoc m:val="undOvr"/>
            <m:supHide m:val="1"/>
            <m:ctrlPr>
              <w:rPr>
                <w:rFonts w:ascii="Cambria Math" w:hAnsi="Cambria Math"/>
                <w:i/>
                <w:sz w:val="24"/>
                <w:szCs w:val="24"/>
              </w:rPr>
            </m:ctrlPr>
          </m:naryPr>
          <m:sub>
            <m:r>
              <w:rPr>
                <w:rFonts w:ascii="Cambria Math" w:hAnsi="Cambria Math"/>
                <w:sz w:val="24"/>
                <w:szCs w:val="24"/>
              </w:rPr>
              <m:t>m</m:t>
            </m:r>
          </m:sub>
          <m:sup/>
          <m:e>
            <m:r>
              <w:rPr>
                <w:rFonts w:ascii="Cambria Math" w:hAnsi="Cambria Math"/>
                <w:sz w:val="24"/>
                <w:szCs w:val="24"/>
              </w:rPr>
              <m:t>E</m:t>
            </m:r>
            <m:d>
              <m:dPr>
                <m:begChr m:val="["/>
                <m:endChr m:val="]"/>
                <m:ctrlPr>
                  <w:rPr>
                    <w:rFonts w:ascii="Cambria Math" w:hAnsi="Cambria Math"/>
                    <w:i/>
                    <w:sz w:val="24"/>
                    <w:szCs w:val="24"/>
                  </w:rPr>
                </m:ctrlPr>
              </m:dPr>
              <m:e>
                <m:r>
                  <w:rPr>
                    <w:rFonts w:ascii="Cambria Math" w:hAnsi="Cambria Math"/>
                    <w:sz w:val="24"/>
                    <w:szCs w:val="24"/>
                  </w:rPr>
                  <m:t>Y</m:t>
                </m:r>
              </m:e>
              <m:e>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r>
                  <w:rPr>
                    <w:rFonts w:ascii="Cambria Math" w:hAnsi="Cambria Math"/>
                    <w:sz w:val="24"/>
                    <w:szCs w:val="24"/>
                  </w:rPr>
                  <m:t>, M=m, C=c</m:t>
                </m:r>
              </m:e>
            </m:d>
            <m:r>
              <w:rPr>
                <w:rFonts w:ascii="Cambria Math" w:hAnsi="Cambria Math"/>
                <w:sz w:val="24"/>
                <w:szCs w:val="24"/>
              </w:rPr>
              <m:t>P(M=m|A=a, C=c)</m:t>
            </m:r>
          </m:e>
        </m:nary>
      </m:oMath>
      <w:r w:rsidR="00732713" w:rsidRPr="007928E6">
        <w:rPr>
          <w:rFonts w:eastAsiaTheme="minorEastAsia"/>
          <w:sz w:val="24"/>
          <w:szCs w:val="24"/>
        </w:rPr>
        <w:t xml:space="preserve"> ……………………………………………</w:t>
      </w:r>
      <w:r w:rsidR="00732713" w:rsidRPr="007928E6">
        <w:rPr>
          <w:rFonts w:eastAsiaTheme="minorEastAsia"/>
        </w:rPr>
        <w:t>Equation 1</w:t>
      </w:r>
    </w:p>
    <w:p w14:paraId="3672BB36" w14:textId="77777777" w:rsidR="00732713" w:rsidRPr="007928E6" w:rsidRDefault="00732713" w:rsidP="00732713">
      <w:pPr>
        <w:pStyle w:val="NoSpacing"/>
        <w:jc w:val="both"/>
        <w:rPr>
          <w:sz w:val="4"/>
          <w:szCs w:val="4"/>
        </w:rPr>
      </w:pPr>
    </w:p>
    <w:p w14:paraId="6A84CE79" w14:textId="422461DA" w:rsidR="00732713" w:rsidRPr="007928E6" w:rsidRDefault="00732713" w:rsidP="00732713">
      <w:pPr>
        <w:pStyle w:val="NoSpacing"/>
        <w:jc w:val="both"/>
        <w:rPr>
          <w:rFonts w:eastAsiaTheme="minorEastAsia"/>
        </w:rPr>
      </w:pPr>
      <w:r w:rsidRPr="007928E6">
        <w:t xml:space="preserve">When the outcome and the mediator follow linear models, i.e., </w:t>
      </w:r>
      <m:oMath>
        <m:r>
          <w:rPr>
            <w:rFonts w:ascii="Cambria Math" w:hAnsi="Cambria Math"/>
          </w:rPr>
          <m:t>E</m:t>
        </m:r>
        <m:d>
          <m:dPr>
            <m:begChr m:val="["/>
            <m:endChr m:val="]"/>
            <m:ctrlPr>
              <w:rPr>
                <w:rFonts w:ascii="Cambria Math" w:hAnsi="Cambria Math"/>
                <w:i/>
              </w:rPr>
            </m:ctrlPr>
          </m:dPr>
          <m:e>
            <m:r>
              <w:rPr>
                <w:rFonts w:ascii="Cambria Math" w:hAnsi="Cambria Math"/>
              </w:rPr>
              <m:t>Y</m:t>
            </m:r>
          </m:e>
          <m:e>
            <m:r>
              <w:rPr>
                <w:rFonts w:ascii="Cambria Math" w:hAnsi="Cambria Math"/>
              </w:rPr>
              <m:t>A=a, M=m, C=c</m:t>
            </m:r>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a+ </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 xml:space="preserve">m+ </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c</m:t>
        </m:r>
      </m:oMath>
      <w:r w:rsidRPr="007928E6">
        <w:rPr>
          <w:rFonts w:eastAsiaTheme="minorEastAsia"/>
        </w:rPr>
        <w:t xml:space="preserve"> and </w:t>
      </w:r>
      <m:oMath>
        <m:r>
          <w:rPr>
            <w:rFonts w:ascii="Cambria Math" w:eastAsiaTheme="minorEastAsia" w:hAnsi="Cambria Math"/>
          </w:rPr>
          <m:t>E</m:t>
        </m:r>
        <m:d>
          <m:dPr>
            <m:begChr m:val="["/>
            <m:endChr m:val="]"/>
            <m:ctrlPr>
              <w:rPr>
                <w:rFonts w:ascii="Cambria Math" w:eastAsiaTheme="minorEastAsia" w:hAnsi="Cambria Math"/>
                <w:i/>
              </w:rPr>
            </m:ctrlPr>
          </m:dPr>
          <m:e>
            <m:r>
              <w:rPr>
                <w:rFonts w:ascii="Cambria Math" w:eastAsiaTheme="minorEastAsia" w:hAnsi="Cambria Math"/>
              </w:rPr>
              <m:t>M</m:t>
            </m:r>
          </m:e>
          <m:e>
            <m:r>
              <w:rPr>
                <w:rFonts w:ascii="Cambria Math" w:eastAsiaTheme="minorEastAsia" w:hAnsi="Cambria Math"/>
              </w:rPr>
              <m:t>A=a, C=c</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c</m:t>
        </m:r>
      </m:oMath>
      <w:r w:rsidRPr="007928E6">
        <w:rPr>
          <w:rFonts w:eastAsiaTheme="minorEastAsia"/>
        </w:rPr>
        <w:t xml:space="preserve"> then equations for natural direct, i.e., </w:t>
      </w:r>
      <m:oMath>
        <m:r>
          <w:rPr>
            <w:rFonts w:ascii="Cambria Math" w:eastAsiaTheme="minorEastAsia" w:hAnsi="Cambria Math"/>
          </w:rPr>
          <m:t>E</m:t>
        </m:r>
        <m:d>
          <m:dPr>
            <m:beg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 xml:space="preserve">a,  </m:t>
                </m:r>
                <m:sSub>
                  <m:sSubPr>
                    <m:ctrlPr>
                      <w:rPr>
                        <w:rFonts w:ascii="Cambria Math" w:hAnsi="Cambria Math"/>
                        <w:i/>
                      </w:rPr>
                    </m:ctrlPr>
                  </m:sSubPr>
                  <m:e>
                    <m:r>
                      <w:rPr>
                        <w:rFonts w:ascii="Cambria Math" w:hAnsi="Cambria Math"/>
                      </w:rPr>
                      <m:t>M</m:t>
                    </m:r>
                  </m:e>
                  <m:sub>
                    <m:r>
                      <w:rPr>
                        <w:rFonts w:ascii="Cambria Math" w:hAnsi="Cambria Math"/>
                      </w:rPr>
                      <m:t>a</m:t>
                    </m:r>
                  </m:sub>
                </m:sSub>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 xml:space="preserve">a*,  </m:t>
                </m:r>
                <m:sSub>
                  <m:sSubPr>
                    <m:ctrlPr>
                      <w:rPr>
                        <w:rFonts w:ascii="Cambria Math" w:hAnsi="Cambria Math"/>
                        <w:i/>
                      </w:rPr>
                    </m:ctrlPr>
                  </m:sSubPr>
                  <m:e>
                    <m:r>
                      <w:rPr>
                        <w:rFonts w:ascii="Cambria Math" w:hAnsi="Cambria Math"/>
                      </w:rPr>
                      <m:t>M</m:t>
                    </m:r>
                  </m:e>
                  <m:sub>
                    <m:r>
                      <w:rPr>
                        <w:rFonts w:ascii="Cambria Math" w:hAnsi="Cambria Math"/>
                      </w:rPr>
                      <m:t>a</m:t>
                    </m:r>
                  </m:sub>
                </m:sSub>
              </m:sub>
            </m:sSub>
            <m:ctrlPr>
              <w:rPr>
                <w:rFonts w:ascii="Cambria Math" w:hAnsi="Cambria Math"/>
                <w:i/>
              </w:rPr>
            </m:ctrlPr>
          </m:e>
        </m:d>
        <m:d>
          <m:dPr>
            <m:begChr m:val="|"/>
            <m:endChr m:val="]"/>
            <m:ctrlPr>
              <w:rPr>
                <w:rFonts w:ascii="Cambria Math" w:hAnsi="Cambria Math"/>
                <w:i/>
              </w:rPr>
            </m:ctrlPr>
          </m:dPr>
          <m:e>
            <m:r>
              <w:rPr>
                <w:rFonts w:ascii="Cambria Math" w:hAnsi="Cambria Math"/>
              </w:rPr>
              <m:t>C</m:t>
            </m:r>
          </m:e>
        </m:d>
      </m:oMath>
      <w:r w:rsidRPr="007928E6">
        <w:rPr>
          <w:rFonts w:eastAsiaTheme="minorEastAsia"/>
        </w:rPr>
        <w:t xml:space="preserve"> and indirect effects, i.e., </w:t>
      </w:r>
      <m:oMath>
        <m:r>
          <w:rPr>
            <w:rFonts w:ascii="Cambria Math" w:eastAsiaTheme="minorEastAsia" w:hAnsi="Cambria Math"/>
          </w:rPr>
          <m:t>E[(</m:t>
        </m:r>
        <m:sSub>
          <m:sSubPr>
            <m:ctrlPr>
              <w:rPr>
                <w:rFonts w:ascii="Cambria Math" w:hAnsi="Cambria Math"/>
                <w:i/>
              </w:rPr>
            </m:ctrlPr>
          </m:sSubPr>
          <m:e>
            <m:r>
              <w:rPr>
                <w:rFonts w:ascii="Cambria Math" w:hAnsi="Cambria Math"/>
              </w:rPr>
              <m:t>Y</m:t>
            </m:r>
          </m:e>
          <m: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a</m:t>
                </m:r>
              </m:sub>
            </m:sSub>
          </m:sub>
        </m:sSub>
        <m:r>
          <w:rPr>
            <w:rFonts w:ascii="Cambria Math" w:hAnsi="Cambria Math"/>
          </w:rPr>
          <m:t xml:space="preserve">- </m:t>
        </m:r>
        <m:sSub>
          <m:sSubPr>
            <m:ctrlPr>
              <w:rPr>
                <w:rFonts w:ascii="Cambria Math" w:hAnsi="Cambria Math"/>
                <w:i/>
              </w:rPr>
            </m:ctrlPr>
          </m:sSubPr>
          <m:e>
            <m:r>
              <w:rPr>
                <w:rFonts w:ascii="Cambria Math" w:hAnsi="Cambria Math"/>
              </w:rPr>
              <m:t>Y</m:t>
            </m:r>
          </m:e>
          <m: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sub>
        </m:sSub>
        <m:r>
          <w:rPr>
            <w:rFonts w:ascii="Cambria Math" w:hAnsi="Cambria Math"/>
          </w:rPr>
          <m:t>)|C</m:t>
        </m:r>
      </m:oMath>
      <w:r w:rsidRPr="007928E6">
        <w:rPr>
          <w:rFonts w:eastAsiaTheme="minorEastAsia"/>
          <w:sz w:val="28"/>
          <w:szCs w:val="28"/>
        </w:rPr>
        <w:t xml:space="preserve">] </w:t>
      </w:r>
      <w:r w:rsidRPr="007928E6">
        <w:rPr>
          <w:rFonts w:eastAsiaTheme="minorEastAsia"/>
        </w:rPr>
        <w:t xml:space="preserve">can be simplified to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oMath>
      <w:r w:rsidRPr="007928E6">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e>
        </m:d>
      </m:oMath>
      <w:r w:rsidRPr="007928E6">
        <w:rPr>
          <w:rFonts w:eastAsiaTheme="minorEastAsia"/>
        </w:rPr>
        <w:t xml:space="preserve">, respectively </w:t>
      </w:r>
      <w:r w:rsidR="00E31F8B">
        <w:rPr>
          <w:rFonts w:eastAsiaTheme="minorEastAsia"/>
          <w:noProof/>
        </w:rPr>
        <w:t>(Lange et al., 2012)</w:t>
      </w:r>
      <w:r w:rsidRPr="007928E6">
        <w:rPr>
          <w:rFonts w:eastAsiaTheme="minorEastAsia"/>
        </w:rPr>
        <w:t>.</w:t>
      </w:r>
    </w:p>
    <w:p w14:paraId="03F1D938" w14:textId="77777777" w:rsidR="00732713" w:rsidRPr="007928E6" w:rsidRDefault="00732713" w:rsidP="00732713">
      <w:pPr>
        <w:pStyle w:val="NoSpacing"/>
        <w:jc w:val="both"/>
        <w:rPr>
          <w:sz w:val="4"/>
          <w:szCs w:val="4"/>
        </w:rPr>
      </w:pPr>
    </w:p>
    <w:p w14:paraId="7026E3FA" w14:textId="77777777" w:rsidR="00732713" w:rsidRPr="007928E6" w:rsidRDefault="00732713" w:rsidP="00732713">
      <w:pPr>
        <w:pStyle w:val="NoSpacing"/>
        <w:jc w:val="both"/>
        <w:rPr>
          <w:rFonts w:eastAsiaTheme="minorEastAsia"/>
          <w:sz w:val="4"/>
          <w:szCs w:val="4"/>
        </w:rPr>
      </w:pPr>
    </w:p>
    <w:p w14:paraId="1F04D539" w14:textId="1D21CCAF" w:rsidR="00732713" w:rsidRPr="007928E6" w:rsidRDefault="00732713" w:rsidP="00732713">
      <w:pPr>
        <w:pStyle w:val="NoSpacing"/>
        <w:ind w:firstLine="720"/>
        <w:jc w:val="both"/>
        <w:rPr>
          <w:rFonts w:eastAsiaTheme="minorEastAsia"/>
        </w:rPr>
      </w:pPr>
      <w:r w:rsidRPr="007928E6">
        <w:rPr>
          <w:rFonts w:eastAsiaTheme="minorEastAsia"/>
        </w:rPr>
        <w:t xml:space="preserve">However, when the outcome or mediator are less suited to be modeled using a linear model (e.g., binary outcomes or non-normally distributed mediator), unless additional simplifying assumptions are made, the resulting expressions for natural direct and indirect effects depend on values of exposures </w:t>
      </w:r>
      <m:oMath>
        <m:r>
          <w:rPr>
            <w:rFonts w:ascii="Cambria Math" w:eastAsiaTheme="minorEastAsia" w:hAnsi="Cambria Math"/>
          </w:rPr>
          <m:t xml:space="preserve">a </m:t>
        </m:r>
      </m:oMath>
      <w:r w:rsidRPr="007928E6">
        <w:rPr>
          <w:rFonts w:eastAsiaTheme="minorEastAsia"/>
          <w:i/>
          <w:iCs/>
        </w:rPr>
        <w:t>a</w:t>
      </w:r>
      <w:proofErr w:type="spellStart"/>
      <w:r w:rsidRPr="007928E6">
        <w:rPr>
          <w:rFonts w:eastAsiaTheme="minorEastAsia"/>
        </w:rPr>
        <w:t>nd</w:t>
      </w:r>
      <w:proofErr w:type="spellEnd"/>
      <w:r w:rsidRPr="007928E6">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sidRPr="007928E6">
        <w:rPr>
          <w:rFonts w:eastAsiaTheme="minorEastAsia"/>
        </w:rPr>
        <w:t xml:space="preserve"> and confounders in a complicated way </w:t>
      </w:r>
      <w:r w:rsidR="00E31F8B">
        <w:rPr>
          <w:rFonts w:eastAsiaTheme="minorEastAsia"/>
          <w:noProof/>
        </w:rPr>
        <w:t xml:space="preserve">(Lange et al., 2012; Tchetgen Tchetgen, 2014; </w:t>
      </w:r>
      <w:r w:rsidR="00E31F8B">
        <w:rPr>
          <w:rFonts w:eastAsiaTheme="minorEastAsia"/>
          <w:noProof/>
        </w:rPr>
        <w:lastRenderedPageBreak/>
        <w:t>VanderWeele, 2016; Vansteelandt et al., 2012)</w:t>
      </w:r>
      <w:r w:rsidRPr="007928E6">
        <w:rPr>
          <w:rFonts w:eastAsiaTheme="minorEastAsia"/>
        </w:rPr>
        <w:t xml:space="preserve">. This makes results challenging to report as separate findings at each exposure or confounder value would require reporting </w:t>
      </w:r>
      <w:r w:rsidR="00E31F8B">
        <w:rPr>
          <w:rFonts w:eastAsiaTheme="minorEastAsia"/>
          <w:noProof/>
        </w:rPr>
        <w:t>(Vansteelandt et al., 2012)</w:t>
      </w:r>
      <w:r w:rsidRPr="007928E6">
        <w:rPr>
          <w:rFonts w:eastAsiaTheme="minorEastAsia"/>
        </w:rPr>
        <w:t>.</w:t>
      </w:r>
    </w:p>
    <w:p w14:paraId="1774B8A9" w14:textId="77777777" w:rsidR="00732713" w:rsidRPr="007928E6" w:rsidRDefault="00732713" w:rsidP="00732713">
      <w:pPr>
        <w:pStyle w:val="NoSpacing"/>
        <w:ind w:firstLine="720"/>
        <w:jc w:val="both"/>
        <w:rPr>
          <w:rFonts w:eastAsiaTheme="minorEastAsia"/>
          <w:sz w:val="4"/>
          <w:szCs w:val="4"/>
        </w:rPr>
      </w:pPr>
    </w:p>
    <w:p w14:paraId="73DCF3C6" w14:textId="77777777" w:rsidR="00732713" w:rsidRPr="007928E6" w:rsidRDefault="00732713" w:rsidP="00732713">
      <w:pPr>
        <w:pStyle w:val="NoSpacing"/>
        <w:jc w:val="both"/>
        <w:rPr>
          <w:rFonts w:eastAsiaTheme="minorEastAsia"/>
          <w:b/>
          <w:bCs/>
        </w:rPr>
      </w:pPr>
    </w:p>
    <w:p w14:paraId="7E80DE99" w14:textId="77777777" w:rsidR="00732713" w:rsidRPr="007928E6" w:rsidRDefault="00732713" w:rsidP="00732713">
      <w:pPr>
        <w:pStyle w:val="NoSpacing"/>
        <w:jc w:val="both"/>
        <w:rPr>
          <w:rFonts w:eastAsiaTheme="minorEastAsia"/>
          <w:b/>
          <w:bCs/>
        </w:rPr>
      </w:pPr>
      <w:r w:rsidRPr="007928E6">
        <w:rPr>
          <w:rFonts w:eastAsiaTheme="minorEastAsia"/>
          <w:b/>
          <w:bCs/>
        </w:rPr>
        <w:t xml:space="preserve">Natural effect models </w:t>
      </w:r>
    </w:p>
    <w:p w14:paraId="30E89489" w14:textId="77777777" w:rsidR="00732713" w:rsidRPr="007928E6" w:rsidRDefault="00732713" w:rsidP="00732713">
      <w:pPr>
        <w:pStyle w:val="NoSpacing"/>
        <w:ind w:left="720"/>
        <w:jc w:val="both"/>
        <w:rPr>
          <w:b/>
          <w:bCs/>
          <w:sz w:val="4"/>
          <w:szCs w:val="4"/>
        </w:rPr>
      </w:pPr>
    </w:p>
    <w:p w14:paraId="65971679" w14:textId="7580DD0E" w:rsidR="00732713" w:rsidRPr="007928E6" w:rsidRDefault="00732713" w:rsidP="00732713">
      <w:pPr>
        <w:pStyle w:val="NoSpacing"/>
        <w:jc w:val="both"/>
        <w:rPr>
          <w:rFonts w:eastAsiaTheme="minorEastAsia"/>
        </w:rPr>
      </w:pPr>
      <w:r w:rsidRPr="007928E6">
        <w:t xml:space="preserve">Natural effect models simultaneously estimate natural direct and indirect effects in the same model, without depending on complex formulae of the exposure or confounder(s) </w:t>
      </w:r>
      <w:r w:rsidR="00E31F8B">
        <w:rPr>
          <w:noProof/>
        </w:rPr>
        <w:t>(Lange et al., 2012; Loeys et al., 2013; Vansteelandt et al., 2012)</w:t>
      </w:r>
      <w:r w:rsidRPr="007928E6">
        <w:t xml:space="preserve">. For example, for the model </w:t>
      </w:r>
      <m:oMath>
        <m:r>
          <w:rPr>
            <w:rFonts w:ascii="Cambria Math" w:hAnsi="Cambria Math"/>
          </w:rPr>
          <m:t>E[</m:t>
        </m:r>
        <m:sSub>
          <m:sSubPr>
            <m:ctrlPr>
              <w:rPr>
                <w:rFonts w:ascii="Cambria Math" w:hAnsi="Cambria Math"/>
                <w:i/>
              </w:rPr>
            </m:ctrlPr>
          </m:sSubPr>
          <m:e>
            <m:r>
              <w:rPr>
                <w:rFonts w:ascii="Cambria Math" w:hAnsi="Cambria Math"/>
              </w:rPr>
              <m:t>Y</m:t>
            </m:r>
          </m:e>
          <m:sub>
            <m:r>
              <w:rPr>
                <w:rFonts w:ascii="Cambria Math" w:hAnsi="Cambria Math"/>
              </w:rPr>
              <m:t>a,</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sub>
        </m:sSub>
        <m:r>
          <w:rPr>
            <w:rFonts w:ascii="Cambria Math" w:hAnsi="Cambria Math"/>
          </w:rPr>
          <m:t>|C]</m:t>
        </m:r>
      </m:oMath>
      <w:r w:rsidRPr="007928E6">
        <w:t xml:space="preserve"> = </w:t>
      </w: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a+ </m:t>
        </m:r>
        <m:sSub>
          <m:sSubPr>
            <m:ctrlPr>
              <w:rPr>
                <w:rFonts w:ascii="Cambria Math" w:hAnsi="Cambria Math"/>
                <w:i/>
              </w:rPr>
            </m:ctrlPr>
          </m:sSubPr>
          <m:e>
            <m:r>
              <w:rPr>
                <w:rFonts w:ascii="Cambria Math" w:hAnsi="Cambria Math"/>
              </w:rPr>
              <m:t>β</m:t>
            </m:r>
          </m:e>
          <m:sub>
            <m:r>
              <w:rPr>
                <w:rFonts w:ascii="Cambria Math" w:hAnsi="Cambria Math"/>
              </w:rPr>
              <m:t>2</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C</m:t>
        </m:r>
      </m:oMath>
      <w:r w:rsidRPr="007928E6">
        <w:rPr>
          <w:rFonts w:eastAsiaTheme="minorEastAsia"/>
        </w:rPr>
        <w:t xml:space="preserve">, the natural direct effect is estimated by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oMath>
      <w:r w:rsidRPr="007928E6">
        <w:rPr>
          <w:rFonts w:eastAsiaTheme="minorEastAsia"/>
        </w:rPr>
        <w:t xml:space="preserve"> and the natural indirect effect by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oMath>
      <w:r w:rsidRPr="007928E6">
        <w:rPr>
          <w:rFonts w:eastAsiaTheme="minorEastAsia"/>
        </w:rPr>
        <w:t xml:space="preserve">. </w:t>
      </w:r>
    </w:p>
    <w:p w14:paraId="7045FD77" w14:textId="77777777" w:rsidR="00732713" w:rsidRPr="007928E6" w:rsidRDefault="00732713" w:rsidP="00732713">
      <w:pPr>
        <w:pStyle w:val="NoSpacing"/>
        <w:jc w:val="both"/>
        <w:rPr>
          <w:rFonts w:eastAsiaTheme="minorEastAsia"/>
          <w:sz w:val="4"/>
          <w:szCs w:val="4"/>
        </w:rPr>
      </w:pPr>
    </w:p>
    <w:p w14:paraId="4819B272" w14:textId="77777777" w:rsidR="00732713" w:rsidRPr="007928E6" w:rsidRDefault="00732713" w:rsidP="00732713">
      <w:pPr>
        <w:pStyle w:val="NoSpacing"/>
        <w:jc w:val="both"/>
        <w:rPr>
          <w:rFonts w:eastAsiaTheme="minorEastAsia"/>
        </w:rPr>
      </w:pPr>
      <w:r w:rsidRPr="007928E6">
        <w:rPr>
          <w:rFonts w:eastAsiaTheme="minorEastAsia"/>
        </w:rPr>
        <w:t xml:space="preserve">For the model </w:t>
      </w:r>
    </w:p>
    <w:p w14:paraId="1CDF8EC4" w14:textId="56A7C444" w:rsidR="00732713" w:rsidRPr="007928E6" w:rsidRDefault="00732713" w:rsidP="00732713">
      <w:pPr>
        <w:pStyle w:val="NoSpacing"/>
        <w:jc w:val="both"/>
        <w:rPr>
          <w:rFonts w:eastAsiaTheme="minorEastAsia"/>
        </w:rPr>
      </w:pPr>
      <m:oMath>
        <m:r>
          <w:rPr>
            <w:rFonts w:ascii="Cambria Math" w:eastAsiaTheme="minorEastAsia" w:hAnsi="Cambria Math"/>
          </w:rPr>
          <m:t>logit</m:t>
        </m:r>
        <m:d>
          <m:dPr>
            <m:begChr m:val="["/>
            <m:endChr m:val="]"/>
            <m:ctrlPr>
              <w:rPr>
                <w:rFonts w:ascii="Cambria Math" w:eastAsiaTheme="minorEastAsia" w:hAnsi="Cambria Math"/>
                <w:i/>
              </w:rPr>
            </m:ctrlPr>
          </m:dPr>
          <m:e>
            <m:r>
              <w:rPr>
                <w:rFonts w:ascii="Cambria Math" w:eastAsiaTheme="minorEastAsia" w:hAnsi="Cambria Math"/>
              </w:rPr>
              <m:t>Pr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 xml:space="preserve">a, </m:t>
                    </m:r>
                    <m:sSub>
                      <m:sSubPr>
                        <m:ctrlPr>
                          <w:rPr>
                            <w:rFonts w:ascii="Cambria Math" w:eastAsiaTheme="minorEastAsia" w:hAnsi="Cambria Math"/>
                            <w:i/>
                          </w:rPr>
                        </m:ctrlPr>
                      </m:sSubPr>
                      <m:e>
                        <m:r>
                          <w:rPr>
                            <w:rFonts w:ascii="Cambria Math" w:eastAsiaTheme="minorEastAsia" w:hAnsi="Cambria Math"/>
                          </w:rPr>
                          <m:t>M</m:t>
                        </m:r>
                      </m:e>
                      <m: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sub>
                    </m:sSub>
                  </m:sub>
                </m:sSub>
              </m:e>
            </m:d>
          </m:e>
          <m:e>
            <m:r>
              <w:rPr>
                <w:rFonts w:ascii="Cambria Math" w:eastAsiaTheme="minorEastAsia" w:hAnsi="Cambria Math"/>
              </w:rPr>
              <m:t>C</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r>
          <w:rPr>
            <w:rFonts w:ascii="Cambria Math" w:eastAsiaTheme="minorEastAsia" w:hAnsi="Cambria Math"/>
          </w:rPr>
          <m:t>C</m:t>
        </m:r>
      </m:oMath>
      <w:r w:rsidRPr="007928E6">
        <w:rPr>
          <w:rFonts w:eastAsiaTheme="minorEastAsia"/>
        </w:rPr>
        <w:t>………………………</w:t>
      </w:r>
      <w:r w:rsidR="00342DF0" w:rsidRPr="007928E6">
        <w:rPr>
          <w:rFonts w:eastAsiaTheme="minorEastAsia"/>
        </w:rPr>
        <w:t>…………………</w:t>
      </w:r>
      <w:proofErr w:type="gramStart"/>
      <w:r w:rsidR="00342DF0" w:rsidRPr="007928E6">
        <w:rPr>
          <w:rFonts w:eastAsiaTheme="minorEastAsia"/>
        </w:rPr>
        <w:t>…..</w:t>
      </w:r>
      <w:proofErr w:type="gramEnd"/>
      <w:r w:rsidRPr="007928E6">
        <w:rPr>
          <w:rFonts w:eastAsiaTheme="minorEastAsia"/>
        </w:rPr>
        <w:t>….…..Equation 2</w:t>
      </w:r>
    </w:p>
    <w:p w14:paraId="4774B664" w14:textId="4ECC798B" w:rsidR="00732713" w:rsidRPr="007928E6" w:rsidRDefault="00732713" w:rsidP="00732713">
      <w:pPr>
        <w:pStyle w:val="NoSpacing"/>
        <w:jc w:val="both"/>
        <w:rPr>
          <w:rFonts w:eastAsiaTheme="minorEastAsia"/>
        </w:rPr>
      </w:pPr>
      <w:r w:rsidRPr="007928E6">
        <w:rPr>
          <w:rFonts w:eastAsiaTheme="minorEastAsia"/>
        </w:rPr>
        <w:t xml:space="preserve">the natural direct effect odds ratio can be estimated by </w:t>
      </w:r>
      <m:oMath>
        <m:r>
          <w:rPr>
            <w:rFonts w:ascii="Cambria Math" w:eastAsiaTheme="minorEastAsia" w:hAnsi="Cambria Math"/>
          </w:rPr>
          <m:t>exp</m:t>
        </m:r>
        <m:r>
          <m:rPr>
            <m:sty m:val="p"/>
          </m:rPr>
          <w:rPr>
            <w:rFonts w:ascii="Cambria Math" w:eastAsiaTheme="minorEastAsia" w:hAnsi="Cambria Math"/>
          </w:rPr>
          <m:t xml:space="preserve"> [</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oMath>
      <w:r w:rsidRPr="007928E6">
        <w:rPr>
          <w:rFonts w:eastAsiaTheme="minorEastAsia"/>
        </w:rPr>
        <w:t xml:space="preserve"> and the natural indirect effect odds ratio by </w:t>
      </w:r>
      <m:oMath>
        <m:r>
          <w:rPr>
            <w:rFonts w:ascii="Cambria Math" w:eastAsiaTheme="minorEastAsia" w:hAnsi="Cambria Math"/>
          </w:rPr>
          <m:t>exp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a)(a-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oMath>
      <w:r w:rsidRPr="007928E6">
        <w:rPr>
          <w:rFonts w:eastAsiaTheme="minorEastAsia"/>
        </w:rPr>
        <w:t xml:space="preserve"> </w:t>
      </w:r>
      <w:r w:rsidR="00E31F8B">
        <w:rPr>
          <w:rFonts w:eastAsiaTheme="minorEastAsia"/>
          <w:noProof/>
        </w:rPr>
        <w:t>(Lange et al., 2012)</w:t>
      </w:r>
      <w:r w:rsidRPr="007928E6">
        <w:rPr>
          <w:rFonts w:eastAsiaTheme="minorEastAsia"/>
        </w:rPr>
        <w:t xml:space="preserve">. Equation 2 allows for interaction between </w:t>
      </w:r>
      <w:r w:rsidRPr="007928E6">
        <w:rPr>
          <w:rFonts w:ascii="Cambria Math" w:hAnsi="Cambria Math" w:cs="Cambria Math"/>
        </w:rPr>
        <w:t>𝑎 and</w:t>
      </w:r>
      <w:r w:rsidRPr="007928E6">
        <w:rPr>
          <w:rFonts w:eastAsiaTheme="minorEastAsia"/>
        </w:rPr>
        <w:t xml:space="preserve">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7928E6">
        <w:rPr>
          <w:rFonts w:eastAsiaTheme="minorEastAsia"/>
        </w:rPr>
        <w:t xml:space="preserve">. If this relationship is not of interest to researchers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sidRPr="007928E6">
        <w:rPr>
          <w:rFonts w:eastAsiaTheme="minorEastAsia"/>
        </w:rPr>
        <w:t xml:space="preserve"> can be set to zero. </w:t>
      </w:r>
    </w:p>
    <w:p w14:paraId="6385F537" w14:textId="77777777" w:rsidR="00732713" w:rsidRPr="007928E6" w:rsidRDefault="00732713" w:rsidP="00732713">
      <w:pPr>
        <w:pStyle w:val="NoSpacing"/>
        <w:jc w:val="both"/>
        <w:rPr>
          <w:rFonts w:ascii="Cambria Math" w:hAnsi="Cambria Math" w:cs="Cambria Math"/>
          <w:sz w:val="4"/>
          <w:szCs w:val="4"/>
        </w:rPr>
      </w:pPr>
    </w:p>
    <w:p w14:paraId="251D257C" w14:textId="17B8E2D4" w:rsidR="00732713" w:rsidRPr="007928E6" w:rsidRDefault="00732713" w:rsidP="00732713">
      <w:pPr>
        <w:pStyle w:val="NoSpacing"/>
        <w:ind w:firstLine="720"/>
        <w:jc w:val="both"/>
        <w:rPr>
          <w:rFonts w:eastAsiaTheme="minorEastAsia"/>
        </w:rPr>
      </w:pPr>
      <w:r w:rsidRPr="007928E6">
        <w:rPr>
          <w:rFonts w:eastAsiaTheme="minorEastAsia"/>
        </w:rPr>
        <w:t xml:space="preserve">Another major advantage of natural effect models as opposed to the traditional mediation analysis approach is that it yields effects that can be interpreted on the scale of the observed </w:t>
      </w:r>
      <w:proofErr w:type="gramStart"/>
      <w:r w:rsidRPr="007928E6">
        <w:rPr>
          <w:rFonts w:eastAsiaTheme="minorEastAsia"/>
        </w:rPr>
        <w:t>data, and</w:t>
      </w:r>
      <w:proofErr w:type="gramEnd"/>
      <w:r w:rsidRPr="007928E6">
        <w:rPr>
          <w:rFonts w:eastAsiaTheme="minorEastAsia"/>
        </w:rPr>
        <w:t xml:space="preserve"> can validly be used for any type of exposure, mediator, or outcome </w:t>
      </w:r>
      <w:r w:rsidR="00E31F8B">
        <w:rPr>
          <w:rFonts w:eastAsiaTheme="minorEastAsia"/>
          <w:noProof/>
        </w:rPr>
        <w:t>(Vansteelandt et al., 2012)</w:t>
      </w:r>
      <w:r w:rsidRPr="007928E6">
        <w:rPr>
          <w:rFonts w:eastAsiaTheme="minorEastAsia"/>
        </w:rPr>
        <w:t>.</w:t>
      </w:r>
    </w:p>
    <w:p w14:paraId="6A33CC1A" w14:textId="77777777" w:rsidR="00732713" w:rsidRPr="007928E6" w:rsidRDefault="00732713" w:rsidP="00732713">
      <w:pPr>
        <w:pStyle w:val="NoSpacing"/>
        <w:ind w:firstLine="720"/>
        <w:jc w:val="both"/>
        <w:rPr>
          <w:sz w:val="4"/>
          <w:szCs w:val="4"/>
        </w:rPr>
      </w:pPr>
    </w:p>
    <w:p w14:paraId="6029FB47" w14:textId="1FD52321" w:rsidR="00732713" w:rsidRPr="007928E6" w:rsidRDefault="00732713" w:rsidP="00732713">
      <w:pPr>
        <w:pStyle w:val="NoSpacing"/>
        <w:ind w:firstLine="720"/>
        <w:jc w:val="both"/>
      </w:pPr>
      <w:r w:rsidRPr="007928E6">
        <w:t xml:space="preserve">Natural effect models can be fitted in practice using a weighting-based approach or an imputation-based approach. The weighting-based approach yields consistent natural effect estimates if both the natural effect model and the conditional distribution of the mediator are correctly specified. When dealing with continuous mediators, correct modeling not only demands adequate specification of the mediator's expectation, but also requires additional parametric assumptions on the mediator's conditional density (i.e., the distribution of the error terms) </w:t>
      </w:r>
      <w:r w:rsidR="00E31F8B">
        <w:rPr>
          <w:noProof/>
        </w:rPr>
        <w:t>(Steen et al., 2017)</w:t>
      </w:r>
      <w:r w:rsidRPr="007928E6">
        <w:t xml:space="preserve">. Hence, the routine application of the imputation-based approach has been recommended, especially when dealing with continuous mediators, since it avoids reliance on a model for the mediator </w:t>
      </w:r>
      <w:r w:rsidR="00E31F8B">
        <w:rPr>
          <w:noProof/>
        </w:rPr>
        <w:t>(Vansteelandt et al., 2012)</w:t>
      </w:r>
      <w:r w:rsidRPr="007928E6">
        <w:t>.</w:t>
      </w:r>
    </w:p>
    <w:p w14:paraId="4599B9F8" w14:textId="77777777" w:rsidR="00732713" w:rsidRPr="007928E6" w:rsidRDefault="00732713" w:rsidP="00732713">
      <w:pPr>
        <w:pStyle w:val="NoSpacing"/>
        <w:ind w:firstLine="720"/>
        <w:jc w:val="both"/>
        <w:rPr>
          <w:sz w:val="2"/>
          <w:szCs w:val="2"/>
        </w:rPr>
      </w:pPr>
    </w:p>
    <w:p w14:paraId="35803D81" w14:textId="77777777" w:rsidR="00732713" w:rsidRPr="007928E6" w:rsidRDefault="00732713" w:rsidP="00732713">
      <w:pPr>
        <w:pStyle w:val="NoSpacing"/>
        <w:jc w:val="both"/>
      </w:pPr>
    </w:p>
    <w:p w14:paraId="13C4529C" w14:textId="77777777" w:rsidR="00732713" w:rsidRPr="007928E6" w:rsidRDefault="00732713" w:rsidP="00732713">
      <w:pPr>
        <w:pStyle w:val="NoSpacing"/>
        <w:jc w:val="both"/>
        <w:rPr>
          <w:b/>
          <w:bCs/>
        </w:rPr>
      </w:pPr>
      <w:r w:rsidRPr="007928E6">
        <w:rPr>
          <w:b/>
          <w:bCs/>
        </w:rPr>
        <w:t>Imputation-based approach for natural effect models</w:t>
      </w:r>
    </w:p>
    <w:p w14:paraId="6DA1EEDB" w14:textId="77777777" w:rsidR="00732713" w:rsidRPr="007928E6" w:rsidRDefault="00732713" w:rsidP="00732713">
      <w:pPr>
        <w:pStyle w:val="NoSpacing"/>
        <w:jc w:val="both"/>
        <w:rPr>
          <w:b/>
          <w:bCs/>
          <w:sz w:val="4"/>
          <w:szCs w:val="4"/>
        </w:rPr>
      </w:pPr>
    </w:p>
    <w:p w14:paraId="78552CA2" w14:textId="2AB8E0BA" w:rsidR="00732713" w:rsidRPr="007928E6" w:rsidRDefault="000A3F05" w:rsidP="00732713">
      <w:pPr>
        <w:pStyle w:val="NoSpacing"/>
        <w:ind w:firstLine="720"/>
        <w:jc w:val="both"/>
      </w:pPr>
      <m:oMath>
        <m:sSub>
          <m:sSubPr>
            <m:ctrlPr>
              <w:rPr>
                <w:rFonts w:ascii="Cambria Math" w:hAnsi="Cambria Math"/>
                <w:i/>
              </w:rPr>
            </m:ctrlPr>
          </m:sSubPr>
          <m:e>
            <m:r>
              <w:rPr>
                <w:rFonts w:ascii="Cambria Math" w:hAnsi="Cambria Math"/>
              </w:rPr>
              <m:t>Y</m:t>
            </m:r>
          </m:e>
          <m:sub>
            <m:r>
              <w:rPr>
                <w:rFonts w:ascii="Cambria Math" w:hAnsi="Cambria Math"/>
              </w:rPr>
              <m:t xml:space="preserve">a, </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sub>
        </m:sSub>
      </m:oMath>
      <w:r w:rsidR="00732713" w:rsidRPr="007928E6">
        <w:rPr>
          <w:rFonts w:eastAsiaTheme="minorEastAsia"/>
        </w:rPr>
        <w:t xml:space="preserve"> is</w:t>
      </w:r>
      <w:r w:rsidR="00732713" w:rsidRPr="007928E6">
        <w:rPr>
          <w:rFonts w:eastAsiaTheme="minorEastAsia"/>
          <w:b/>
          <w:bCs/>
        </w:rPr>
        <w:t xml:space="preserve"> </w:t>
      </w:r>
      <w:r w:rsidR="00732713" w:rsidRPr="007928E6">
        <w:t xml:space="preserve">only observable when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732713" w:rsidRPr="007928E6">
        <w:rPr>
          <w:rFonts w:ascii="Cambria Math" w:hAnsi="Cambria Math" w:cs="Cambria Math"/>
        </w:rPr>
        <w:t xml:space="preserve"> </w:t>
      </w:r>
      <w:r w:rsidR="00732713" w:rsidRPr="007928E6">
        <w:t xml:space="preserve">equals </w:t>
      </w:r>
      <w:r w:rsidR="00732713" w:rsidRPr="007928E6">
        <w:rPr>
          <w:rFonts w:ascii="Cambria Math" w:hAnsi="Cambria Math" w:cs="Cambria Math"/>
        </w:rPr>
        <w:t xml:space="preserve">𝑎 </w:t>
      </w:r>
      <w:r w:rsidR="00732713" w:rsidRPr="007928E6">
        <w:t xml:space="preserve">and, in addition, </w:t>
      </w:r>
      <w:r w:rsidR="00732713" w:rsidRPr="007928E6">
        <w:rPr>
          <w:rFonts w:ascii="Cambria Math" w:hAnsi="Cambria Math" w:cs="Cambria Math"/>
        </w:rPr>
        <w:t xml:space="preserve">𝑎 </w:t>
      </w:r>
      <w:r w:rsidR="00732713" w:rsidRPr="007928E6">
        <w:t xml:space="preserve">corresponds to the observed exposure level </w:t>
      </w:r>
      <w:r w:rsidR="00732713" w:rsidRPr="007928E6">
        <w:rPr>
          <w:i/>
          <w:iCs/>
        </w:rPr>
        <w:t xml:space="preserve">A. </w:t>
      </w:r>
      <w:r w:rsidR="00732713" w:rsidRPr="007928E6">
        <w:t xml:space="preserve">When,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732713" w:rsidRPr="007928E6">
        <w:t xml:space="preserve"> differs from </w:t>
      </w:r>
      <w:r w:rsidR="00732713" w:rsidRPr="007928E6">
        <w:rPr>
          <w:rFonts w:ascii="Cambria Math" w:hAnsi="Cambria Math" w:cs="Cambria Math"/>
        </w:rPr>
        <w:t xml:space="preserve">𝑎, </w:t>
      </w:r>
      <w:r w:rsidR="00732713" w:rsidRPr="007928E6">
        <w:rPr>
          <w:rFonts w:cstheme="minorHAnsi"/>
        </w:rPr>
        <w:t xml:space="preserve">then </w:t>
      </w:r>
      <m:oMath>
        <m:sSub>
          <m:sSubPr>
            <m:ctrlPr>
              <w:rPr>
                <w:rFonts w:ascii="Cambria Math" w:hAnsi="Cambria Math"/>
                <w:i/>
              </w:rPr>
            </m:ctrlPr>
          </m:sSubPr>
          <m:e>
            <m:r>
              <w:rPr>
                <w:rFonts w:ascii="Cambria Math" w:hAnsi="Cambria Math"/>
              </w:rPr>
              <m:t>Y</m:t>
            </m:r>
          </m:e>
          <m:sub>
            <m:r>
              <w:rPr>
                <w:rFonts w:ascii="Cambria Math" w:hAnsi="Cambria Math"/>
              </w:rPr>
              <m:t xml:space="preserve">a, </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sub>
        </m:sSub>
      </m:oMath>
      <w:r w:rsidR="00732713" w:rsidRPr="007928E6">
        <w:rPr>
          <w:rFonts w:cstheme="minorHAnsi"/>
        </w:rPr>
        <w:t xml:space="preserve"> can be predicted as </w:t>
      </w:r>
      <m:oMath>
        <m:r>
          <w:rPr>
            <w:rFonts w:ascii="Cambria Math" w:hAnsi="Cambria Math" w:cstheme="minorHAnsi"/>
          </w:rPr>
          <m:t>E(Y|A=a, M,C)</m:t>
        </m:r>
      </m:oMath>
      <w:r w:rsidR="00732713" w:rsidRPr="007928E6">
        <w:rPr>
          <w:rFonts w:eastAsiaTheme="minorEastAsia" w:cstheme="minorHAnsi"/>
        </w:rPr>
        <w:t xml:space="preserve"> for </w:t>
      </w:r>
      <m:oMath>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m:t>
            </m:r>
          </m:sup>
        </m:sSup>
      </m:oMath>
      <w:r w:rsidR="00732713" w:rsidRPr="007928E6">
        <w:rPr>
          <w:rFonts w:eastAsiaTheme="minorEastAsia" w:cstheme="minorHAnsi"/>
        </w:rPr>
        <w:t xml:space="preserve"> </w:t>
      </w:r>
      <w:r w:rsidR="00732713" w:rsidRPr="007928E6">
        <w:t xml:space="preserve">equalling the observed exposure level, and </w:t>
      </w:r>
      <m:oMath>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oMath>
      <w:r w:rsidR="00732713" w:rsidRPr="007928E6">
        <w:rPr>
          <w:rFonts w:eastAsiaTheme="minorEastAsia"/>
        </w:rPr>
        <w:t xml:space="preserve"> equalling </w:t>
      </w:r>
      <m:oMath>
        <m:r>
          <w:rPr>
            <w:rFonts w:ascii="Cambria Math" w:eastAsiaTheme="minorEastAsia" w:hAnsi="Cambria Math"/>
          </w:rPr>
          <m:t>M</m:t>
        </m:r>
      </m:oMath>
      <w:r w:rsidR="00732713" w:rsidRPr="007928E6">
        <w:rPr>
          <w:rFonts w:eastAsiaTheme="minorEastAsia"/>
        </w:rPr>
        <w:t xml:space="preserve"> among subjects with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sidR="00732713" w:rsidRPr="007928E6">
        <w:rPr>
          <w:rFonts w:eastAsiaTheme="minorEastAsia"/>
        </w:rPr>
        <w:t xml:space="preserve"> </w:t>
      </w:r>
      <w:r w:rsidR="00732713" w:rsidRPr="007928E6">
        <w:t xml:space="preserve">under a suitable model for the outcome. Applying this rationale, imputed datasets can complement the observed dataset, in which the same individuals are evaluated at different exposure levels but corresponding to the observed level of the mediator </w:t>
      </w:r>
      <w:r w:rsidR="00E31F8B">
        <w:rPr>
          <w:noProof/>
        </w:rPr>
        <w:t>(Vansteelandt et al., 2012)</w:t>
      </w:r>
      <w:r w:rsidR="00732713" w:rsidRPr="007928E6">
        <w:t>.</w:t>
      </w:r>
    </w:p>
    <w:p w14:paraId="769E4466" w14:textId="77777777" w:rsidR="00732713" w:rsidRPr="007928E6" w:rsidRDefault="00732713" w:rsidP="00732713">
      <w:pPr>
        <w:pStyle w:val="NoSpacing"/>
        <w:ind w:firstLine="720"/>
        <w:jc w:val="both"/>
      </w:pPr>
    </w:p>
    <w:p w14:paraId="30B2FF82" w14:textId="77777777" w:rsidR="00732713" w:rsidRPr="007928E6" w:rsidRDefault="00732713" w:rsidP="00732713">
      <w:pPr>
        <w:pStyle w:val="NoSpacing"/>
        <w:rPr>
          <w:b/>
          <w:bCs/>
        </w:rPr>
      </w:pPr>
      <w:r w:rsidRPr="007928E6">
        <w:rPr>
          <w:b/>
          <w:bCs/>
        </w:rPr>
        <w:t xml:space="preserve">Quantitative intersectionality using three-way decomposition of mediation </w:t>
      </w:r>
      <w:proofErr w:type="gramStart"/>
      <w:r w:rsidRPr="007928E6">
        <w:rPr>
          <w:b/>
          <w:bCs/>
        </w:rPr>
        <w:t>effects</w:t>
      </w:r>
      <w:proofErr w:type="gramEnd"/>
    </w:p>
    <w:p w14:paraId="5E00DAD8" w14:textId="77777777" w:rsidR="00732713" w:rsidRPr="007928E6" w:rsidRDefault="00732713" w:rsidP="00732713">
      <w:pPr>
        <w:pStyle w:val="NoSpacing"/>
        <w:rPr>
          <w:b/>
          <w:bCs/>
          <w:sz w:val="4"/>
          <w:szCs w:val="4"/>
        </w:rPr>
      </w:pPr>
    </w:p>
    <w:p w14:paraId="61D86848" w14:textId="266B55FD" w:rsidR="00732713" w:rsidRPr="007928E6" w:rsidRDefault="00732713" w:rsidP="00732713">
      <w:pPr>
        <w:pStyle w:val="NoSpacing"/>
        <w:jc w:val="both"/>
        <w:rPr>
          <w:sz w:val="20"/>
          <w:szCs w:val="20"/>
        </w:rPr>
      </w:pPr>
      <w:r w:rsidRPr="007928E6">
        <w:rPr>
          <w:b/>
          <w:bCs/>
        </w:rPr>
        <w:tab/>
      </w:r>
      <w:r w:rsidRPr="007928E6">
        <w:t xml:space="preserve">In the three-way decomposition of mediated effects, the total indirect effect (natural indirect effect) can be further be separated into a pure indirect effect and a mediated interaction effect </w:t>
      </w:r>
      <w:r w:rsidR="00E31F8B">
        <w:rPr>
          <w:noProof/>
        </w:rPr>
        <w:t>(VanderWeele, 2013)</w:t>
      </w:r>
      <w:r w:rsidRPr="007928E6">
        <w:t xml:space="preserve">. This decomposition lends itself to quantitative intersectionality by allowing the effects of the mediator to be evaluated at different levels, while also permitting heterogeneity of mediator effects </w:t>
      </w:r>
      <w:r w:rsidR="00E31F8B">
        <w:rPr>
          <w:noProof/>
        </w:rPr>
        <w:t>(Bauer and Scheim, 2019)</w:t>
      </w:r>
      <w:r w:rsidRPr="007928E6">
        <w:t xml:space="preserve">. </w:t>
      </w:r>
    </w:p>
    <w:p w14:paraId="46258DDD" w14:textId="604F4095" w:rsidR="00732713" w:rsidRPr="007928E6" w:rsidRDefault="00732713" w:rsidP="00732713">
      <w:pPr>
        <w:pStyle w:val="NoSpacing"/>
        <w:jc w:val="both"/>
      </w:pPr>
      <w:r w:rsidRPr="007928E6">
        <w:tab/>
        <w:t xml:space="preserve">To obtain the pure direct, pure indirect, and mediated interaction effects using a traditional (formula-based) three-way decomposition requires using expressions that are confounder(s) or mediator dependent </w:t>
      </w:r>
      <w:r w:rsidR="00E31F8B">
        <w:rPr>
          <w:noProof/>
        </w:rPr>
        <w:t>(Bauer and Scheim, 2019; Steen et al., 2017; VanderWeele, 2013)</w:t>
      </w:r>
      <w:r w:rsidRPr="007928E6">
        <w:t xml:space="preserve">. Natural effect models, which (as in Equation 2) model the impact of both confounders and all levels of treatment on the outcome simultaneously, can simplify the application of three-way decomposition methods. </w:t>
      </w:r>
    </w:p>
    <w:p w14:paraId="29C02CDB" w14:textId="1E556C10" w:rsidR="00732713" w:rsidRPr="007928E6" w:rsidRDefault="00732713" w:rsidP="00732713">
      <w:pPr>
        <w:pStyle w:val="NoSpacing"/>
        <w:ind w:firstLine="720"/>
        <w:jc w:val="both"/>
        <w:rPr>
          <w:rFonts w:cstheme="minorHAnsi"/>
        </w:rPr>
      </w:pPr>
      <w:r w:rsidRPr="007928E6">
        <w:t xml:space="preserve">For example, using Equation 2, for a binary outcome, </w:t>
      </w:r>
      <w:r w:rsidRPr="007928E6">
        <w:rPr>
          <w:rFonts w:cstheme="minorHAnsi"/>
        </w:rPr>
        <w:t xml:space="preserve">three-way decomposition can be easily approached, such that pure direct effect odds ratio is captured by </w:t>
      </w:r>
      <m:oMath>
        <m:r>
          <w:rPr>
            <w:rFonts w:ascii="Cambria Math" w:eastAsiaTheme="minorEastAsia" w:hAnsi="Cambria Math"/>
          </w:rPr>
          <m:t>exp</m:t>
        </m:r>
        <m:r>
          <m:rPr>
            <m:sty m:val="p"/>
          </m:rPr>
          <w:rPr>
            <w:rFonts w:ascii="Cambria Math" w:eastAsiaTheme="minorEastAsia" w:hAnsi="Cambria Math"/>
          </w:rPr>
          <m:t xml:space="preserve"> [</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oMath>
      <w:r w:rsidRPr="007928E6">
        <w:rPr>
          <w:rFonts w:cstheme="minorHAnsi"/>
        </w:rPr>
        <w:t xml:space="preserve">, pure </w:t>
      </w:r>
      <w:r w:rsidRPr="007928E6">
        <w:rPr>
          <w:rFonts w:cstheme="minorHAnsi"/>
        </w:rPr>
        <w:lastRenderedPageBreak/>
        <w:t xml:space="preserve">indirect effect odds ratio by </w:t>
      </w:r>
      <m:oMath>
        <m:r>
          <w:rPr>
            <w:rFonts w:ascii="Cambria Math" w:hAnsi="Cambria Math" w:cstheme="minorHAnsi"/>
          </w:rPr>
          <m:t>exp</m:t>
        </m:r>
        <m:r>
          <m:rPr>
            <m:sty m:val="p"/>
          </m:rPr>
          <w:rPr>
            <w:rFonts w:ascii="Cambria Math" w:hAnsi="Cambria Math" w:cstheme="minorHAnsi"/>
          </w:rPr>
          <m:t>⁡</m:t>
        </m:r>
        <m:r>
          <w:rPr>
            <w:rFonts w:ascii="Cambria Math" w:hAnsi="Cambria Math" w:cstheme="minorHAnsi"/>
          </w:rPr>
          <m:t>[</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t>
                </m:r>
              </m:sup>
            </m:sSup>
          </m:e>
        </m:d>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t>
                </m:r>
              </m:sup>
            </m:sSup>
          </m:e>
        </m:d>
        <m:r>
          <w:rPr>
            <w:rFonts w:ascii="Cambria Math" w:hAnsi="Cambria Math" w:cstheme="minorHAnsi"/>
          </w:rPr>
          <m:t>]</m:t>
        </m:r>
      </m:oMath>
      <w:r w:rsidRPr="007928E6">
        <w:rPr>
          <w:rFonts w:eastAsiaTheme="minorEastAsia" w:cstheme="minorHAnsi"/>
        </w:rPr>
        <w:t>,</w:t>
      </w:r>
      <w:r w:rsidRPr="007928E6">
        <w:rPr>
          <w:rFonts w:ascii="Cambria Math" w:hAnsi="Cambria Math" w:cs="Cambria Math"/>
        </w:rPr>
        <w:t xml:space="preserve"> </w:t>
      </w:r>
      <w:r w:rsidRPr="007928E6">
        <w:rPr>
          <w:rFonts w:cstheme="minorHAnsi"/>
        </w:rPr>
        <w:t xml:space="preserve">and mediated interacted effect odds ratio by </w:t>
      </w:r>
      <m:oMath>
        <m:r>
          <m:rPr>
            <m:sty m:val="p"/>
          </m:rPr>
          <w:rPr>
            <w:rFonts w:ascii="Cambria Math" w:hAnsi="Cambria Math" w:cstheme="minorHAnsi"/>
          </w:rPr>
          <m:t>exp⁡</m:t>
        </m:r>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t>
                </m:r>
              </m:sup>
            </m:sSup>
          </m:e>
        </m:d>
        <m:r>
          <w:rPr>
            <w:rFonts w:ascii="Cambria Math" w:hAnsi="Cambria Math" w:cstheme="minorHAnsi"/>
          </w:rPr>
          <m:t>]</m:t>
        </m:r>
      </m:oMath>
      <w:r w:rsidRPr="007928E6">
        <w:rPr>
          <w:rFonts w:eastAsiaTheme="minorEastAsia" w:cstheme="minorHAnsi"/>
        </w:rPr>
        <w:t xml:space="preserve"> </w:t>
      </w:r>
      <w:r w:rsidR="00E31F8B">
        <w:rPr>
          <w:rFonts w:eastAsiaTheme="minorEastAsia" w:cstheme="minorHAnsi"/>
          <w:noProof/>
        </w:rPr>
        <w:t>(Lange et al., 2012)</w:t>
      </w:r>
    </w:p>
    <w:p w14:paraId="4C8591AB" w14:textId="77777777" w:rsidR="00732713" w:rsidRPr="007928E6" w:rsidRDefault="00732713" w:rsidP="00732713">
      <w:pPr>
        <w:pStyle w:val="NoSpacing"/>
        <w:ind w:firstLine="720"/>
        <w:rPr>
          <w:rFonts w:cstheme="minorHAnsi"/>
        </w:rPr>
      </w:pPr>
    </w:p>
    <w:p w14:paraId="3B322B3B" w14:textId="77777777" w:rsidR="00732713" w:rsidRPr="007928E6" w:rsidRDefault="00732713" w:rsidP="00732713">
      <w:pPr>
        <w:pStyle w:val="NoSpacing"/>
        <w:rPr>
          <w:rFonts w:cstheme="minorHAnsi"/>
          <w:b/>
          <w:bCs/>
        </w:rPr>
      </w:pPr>
      <w:r w:rsidRPr="007928E6">
        <w:rPr>
          <w:rFonts w:cstheme="minorHAnsi"/>
          <w:b/>
          <w:bCs/>
        </w:rPr>
        <w:t>Practical application of imputation-based approach of natural effect models</w:t>
      </w:r>
    </w:p>
    <w:p w14:paraId="0EB155AC" w14:textId="77777777" w:rsidR="00732713" w:rsidRPr="007928E6" w:rsidRDefault="00732713" w:rsidP="00732713">
      <w:pPr>
        <w:pStyle w:val="NoSpacing"/>
        <w:rPr>
          <w:rFonts w:cstheme="minorHAnsi"/>
          <w:sz w:val="4"/>
          <w:szCs w:val="4"/>
        </w:rPr>
      </w:pPr>
    </w:p>
    <w:p w14:paraId="443055CA" w14:textId="39624E74" w:rsidR="00732713" w:rsidRPr="007928E6" w:rsidRDefault="00732713" w:rsidP="00732713">
      <w:pPr>
        <w:pStyle w:val="NoSpacing"/>
        <w:jc w:val="both"/>
      </w:pPr>
      <w:r w:rsidRPr="007928E6">
        <w:rPr>
          <w:rFonts w:cstheme="minorHAnsi"/>
        </w:rPr>
        <w:t xml:space="preserve">In our analysis, the exposure is multi-categorical, (i.e., intersectional groups </w:t>
      </w:r>
      <w:r w:rsidRPr="007928E6">
        <w:rPr>
          <w:b/>
          <w:bCs/>
        </w:rPr>
        <w:t>Group 1</w:t>
      </w:r>
      <w:r w:rsidRPr="007928E6">
        <w:t>: White HIV-</w:t>
      </w:r>
      <w:r w:rsidR="007874EC" w:rsidRPr="007928E6">
        <w:t>negative</w:t>
      </w:r>
      <w:r w:rsidRPr="007928E6">
        <w:t xml:space="preserve">, </w:t>
      </w:r>
      <w:r w:rsidRPr="007928E6">
        <w:rPr>
          <w:b/>
          <w:bCs/>
        </w:rPr>
        <w:t>Group 2</w:t>
      </w:r>
      <w:r w:rsidRPr="007928E6">
        <w:t xml:space="preserve">: White living with HIV, </w:t>
      </w:r>
      <w:r w:rsidRPr="007928E6">
        <w:rPr>
          <w:b/>
          <w:bCs/>
        </w:rPr>
        <w:t>Group 3</w:t>
      </w:r>
      <w:r w:rsidRPr="007928E6">
        <w:t>: Racialized HIV-</w:t>
      </w:r>
      <w:r w:rsidR="007874EC" w:rsidRPr="007928E6">
        <w:t>negative</w:t>
      </w:r>
      <w:r w:rsidRPr="007928E6">
        <w:t xml:space="preserve">, </w:t>
      </w:r>
      <w:r w:rsidRPr="007928E6">
        <w:rPr>
          <w:b/>
          <w:bCs/>
        </w:rPr>
        <w:t>Group 4</w:t>
      </w:r>
      <w:r w:rsidRPr="007928E6">
        <w:t xml:space="preserve">: Racialized living with HIV). The mediator is continuous but not distributed normally, i.e., perceived discrimination scores measured on the Everyday Discrimination Scale </w:t>
      </w:r>
      <w:r w:rsidR="00E31F8B">
        <w:rPr>
          <w:noProof/>
        </w:rPr>
        <w:t>(Hyman et al., 2019)</w:t>
      </w:r>
      <w:r w:rsidRPr="007928E6">
        <w:t xml:space="preserve">. The </w:t>
      </w:r>
      <w:r w:rsidR="00D02AE4" w:rsidRPr="007928E6">
        <w:t>outcome</w:t>
      </w:r>
      <w:r w:rsidRPr="007928E6">
        <w:t xml:space="preserve"> is binary, i.e., MHS use in the past 6 months (yes/no). Confounders were age (continuous), having a lifetime chronic mental health condition diagnosed &gt; 6 months ago (yes/no), Canad</w:t>
      </w:r>
      <w:r w:rsidR="001264D0" w:rsidRPr="007928E6">
        <w:t>ian citizenship</w:t>
      </w:r>
      <w:r w:rsidRPr="007928E6">
        <w:t xml:space="preserve"> (yes/no), being cisgender (yes/no), and city of enrollment (Montreal, Toronto, or Vancouver).</w:t>
      </w:r>
    </w:p>
    <w:p w14:paraId="0D5809F7" w14:textId="77777777" w:rsidR="00732713" w:rsidRPr="007928E6" w:rsidRDefault="00732713" w:rsidP="00732713">
      <w:pPr>
        <w:pStyle w:val="NoSpacing"/>
        <w:jc w:val="both"/>
        <w:rPr>
          <w:sz w:val="4"/>
          <w:szCs w:val="4"/>
        </w:rPr>
      </w:pPr>
    </w:p>
    <w:p w14:paraId="05830B92" w14:textId="1AD18361" w:rsidR="00732713" w:rsidRPr="007928E6" w:rsidRDefault="00732713" w:rsidP="00732713">
      <w:pPr>
        <w:pStyle w:val="NoSpacing"/>
        <w:ind w:firstLine="720"/>
        <w:jc w:val="both"/>
      </w:pPr>
      <w:r w:rsidRPr="007928E6">
        <w:t xml:space="preserve">We conducted our analysis using the </w:t>
      </w:r>
      <w:proofErr w:type="spellStart"/>
      <w:r w:rsidRPr="007928E6">
        <w:rPr>
          <w:i/>
          <w:iCs/>
        </w:rPr>
        <w:t>medflex</w:t>
      </w:r>
      <w:proofErr w:type="spellEnd"/>
      <w:r w:rsidRPr="007928E6">
        <w:rPr>
          <w:i/>
          <w:iCs/>
        </w:rPr>
        <w:t xml:space="preserve"> </w:t>
      </w:r>
      <w:r w:rsidRPr="007928E6">
        <w:t xml:space="preserve">package in R </w:t>
      </w:r>
      <w:r w:rsidR="00E31F8B">
        <w:rPr>
          <w:noProof/>
        </w:rPr>
        <w:t>(Steen et al., 2017)</w:t>
      </w:r>
      <w:r w:rsidRPr="007928E6">
        <w:t xml:space="preserve">.  However, we also manually coded for the imputation-based natural effect model </w:t>
      </w:r>
      <w:r w:rsidR="00E31F8B">
        <w:rPr>
          <w:noProof/>
        </w:rPr>
        <w:t>(Vansteelandt et al., 2012)</w:t>
      </w:r>
      <w:r w:rsidRPr="007928E6">
        <w:t xml:space="preserve">. We describe this in brief below. </w:t>
      </w:r>
    </w:p>
    <w:p w14:paraId="0F5F946B" w14:textId="77777777" w:rsidR="00732713" w:rsidRPr="007928E6" w:rsidRDefault="00732713" w:rsidP="00732713">
      <w:pPr>
        <w:pStyle w:val="NoSpacing"/>
        <w:ind w:firstLine="720"/>
        <w:jc w:val="both"/>
        <w:rPr>
          <w:sz w:val="4"/>
          <w:szCs w:val="4"/>
        </w:rPr>
      </w:pPr>
    </w:p>
    <w:p w14:paraId="60CD7F12" w14:textId="77777777" w:rsidR="00732713" w:rsidRPr="007928E6" w:rsidRDefault="00732713" w:rsidP="00732713">
      <w:pPr>
        <w:pStyle w:val="NoSpacing"/>
        <w:jc w:val="both"/>
        <w:rPr>
          <w:b/>
          <w:bCs/>
        </w:rPr>
      </w:pPr>
      <w:r w:rsidRPr="007928E6">
        <w:rPr>
          <w:b/>
          <w:bCs/>
        </w:rPr>
        <w:t xml:space="preserve">Imputation step - creating an imputed dataset using simple </w:t>
      </w:r>
      <w:proofErr w:type="gramStart"/>
      <w:r w:rsidRPr="007928E6">
        <w:rPr>
          <w:b/>
          <w:bCs/>
        </w:rPr>
        <w:t>imputation</w:t>
      </w:r>
      <w:proofErr w:type="gramEnd"/>
    </w:p>
    <w:p w14:paraId="4690CA34" w14:textId="77777777" w:rsidR="00732713" w:rsidRPr="007928E6" w:rsidRDefault="00732713" w:rsidP="00732713">
      <w:pPr>
        <w:pStyle w:val="NoSpacing"/>
        <w:jc w:val="both"/>
        <w:rPr>
          <w:b/>
          <w:bCs/>
          <w:sz w:val="4"/>
          <w:szCs w:val="4"/>
        </w:rPr>
      </w:pPr>
    </w:p>
    <w:p w14:paraId="3BA9FF9D" w14:textId="77777777" w:rsidR="00732713" w:rsidRPr="007928E6" w:rsidRDefault="00732713" w:rsidP="00732713">
      <w:pPr>
        <w:pStyle w:val="NoSpacing"/>
        <w:jc w:val="both"/>
      </w:pPr>
      <w:r w:rsidRPr="007928E6">
        <w:t>1. A logit model for MHS use conditional on the exposure, mediator, and confounders using the original dataset was fit.</w:t>
      </w:r>
    </w:p>
    <w:p w14:paraId="03BFF1E5" w14:textId="77777777" w:rsidR="00732713" w:rsidRPr="007928E6" w:rsidRDefault="00732713" w:rsidP="00732713">
      <w:pPr>
        <w:pStyle w:val="NoSpacing"/>
        <w:jc w:val="both"/>
      </w:pPr>
      <w:r w:rsidRPr="007928E6">
        <w:t xml:space="preserve">2. A new dataset was created by repeating each observation in the original dataset four times, including two additional variables: </w:t>
      </w:r>
      <m:oMath>
        <m:r>
          <w:rPr>
            <w:rFonts w:ascii="Cambria Math" w:hAnsi="Cambria Math"/>
          </w:rPr>
          <m:t>a</m:t>
        </m:r>
      </m:oMath>
      <w:r w:rsidRPr="007928E6">
        <w:t xml:space="preserve"> which was equal to the observed exposure (intersectional group) for the first replication and the three other exposure categories for the next three replications, and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7928E6">
        <w:t xml:space="preserve"> which was equal to the observed exposure for all replications.</w:t>
      </w:r>
    </w:p>
    <w:p w14:paraId="75AF9915" w14:textId="77777777" w:rsidR="00732713" w:rsidRPr="007928E6" w:rsidRDefault="00732713" w:rsidP="00732713">
      <w:pPr>
        <w:pStyle w:val="NoSpacing"/>
        <w:jc w:val="both"/>
        <w:rPr>
          <w:rFonts w:eastAsiaTheme="minorEastAsia"/>
        </w:rPr>
      </w:pPr>
      <w:r w:rsidRPr="007928E6">
        <w:t xml:space="preserve">3. </w:t>
      </w:r>
      <m:oMath>
        <m:sSub>
          <m:sSubPr>
            <m:ctrlPr>
              <w:rPr>
                <w:rFonts w:ascii="Cambria Math" w:hAnsi="Cambria Math"/>
                <w:i/>
              </w:rPr>
            </m:ctrlPr>
          </m:sSubPr>
          <m:e>
            <m:r>
              <w:rPr>
                <w:rFonts w:ascii="Cambria Math" w:hAnsi="Cambria Math"/>
              </w:rPr>
              <m:t>Y</m:t>
            </m:r>
          </m:e>
          <m:sub>
            <m:r>
              <w:rPr>
                <w:rFonts w:ascii="Cambria Math" w:hAnsi="Cambria Math"/>
              </w:rPr>
              <m:t xml:space="preserve">a, </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sub>
        </m:sSub>
      </m:oMath>
      <w:r w:rsidRPr="007928E6">
        <w:rPr>
          <w:rFonts w:eastAsiaTheme="minorEastAsia"/>
        </w:rPr>
        <w:t xml:space="preserve"> was imputed as </w:t>
      </w:r>
      <m:oMath>
        <m:r>
          <w:rPr>
            <w:rFonts w:ascii="Cambria Math" w:eastAsiaTheme="minorEastAsia" w:hAnsi="Cambria Math"/>
          </w:rPr>
          <m:t xml:space="preserve">Y </m:t>
        </m:r>
      </m:oMath>
      <w:r w:rsidRPr="007928E6">
        <w:rPr>
          <w:rFonts w:eastAsiaTheme="minorEastAsia"/>
        </w:rPr>
        <w:t xml:space="preserve">for the rows in which </w:t>
      </w:r>
      <m:oMath>
        <m:r>
          <w:rPr>
            <w:rFonts w:ascii="Cambria Math" w:eastAsiaTheme="minorEastAsia" w:hAnsi="Cambria Math"/>
          </w:rPr>
          <m:t>a</m:t>
        </m:r>
      </m:oMath>
      <w:r w:rsidRPr="007928E6">
        <w:rPr>
          <w:rFonts w:eastAsiaTheme="minorEastAsia"/>
        </w:rPr>
        <w:t xml:space="preserve"> was equal to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sidRPr="007928E6">
        <w:rPr>
          <w:rFonts w:eastAsiaTheme="minorEastAsia"/>
        </w:rPr>
        <w:t xml:space="preserve"> and as the expected probability </w:t>
      </w:r>
      <m:oMath>
        <m:r>
          <w:rPr>
            <w:rFonts w:ascii="Cambria Math" w:eastAsiaTheme="minorEastAsia" w:hAnsi="Cambria Math"/>
          </w:rPr>
          <m:t>P(Y|A=a, M=</m:t>
        </m:r>
        <m:sSub>
          <m:sSubPr>
            <m:ctrlPr>
              <w:rPr>
                <w:rFonts w:ascii="Cambria Math" w:eastAsiaTheme="minorEastAsia" w:hAnsi="Cambria Math"/>
                <w:i/>
              </w:rPr>
            </m:ctrlPr>
          </m:sSubPr>
          <m:e>
            <m:r>
              <w:rPr>
                <w:rFonts w:ascii="Cambria Math" w:eastAsiaTheme="minorEastAsia" w:hAnsi="Cambria Math"/>
              </w:rPr>
              <m:t>M</m:t>
            </m:r>
          </m:e>
          <m: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sub>
        </m:sSub>
        <m:r>
          <w:rPr>
            <w:rFonts w:ascii="Cambria Math" w:eastAsiaTheme="minorEastAsia" w:hAnsi="Cambria Math"/>
          </w:rPr>
          <m:t>,C)</m:t>
        </m:r>
      </m:oMath>
      <w:r w:rsidRPr="007928E6">
        <w:rPr>
          <w:rFonts w:eastAsiaTheme="minorEastAsia"/>
        </w:rPr>
        <w:t xml:space="preserve"> for the remaining rows.</w:t>
      </w:r>
    </w:p>
    <w:p w14:paraId="6C90B1FD" w14:textId="77777777" w:rsidR="00732713" w:rsidRPr="007928E6" w:rsidRDefault="00732713" w:rsidP="00732713">
      <w:pPr>
        <w:pStyle w:val="NoSpacing"/>
        <w:jc w:val="both"/>
        <w:rPr>
          <w:rFonts w:eastAsiaTheme="minorEastAsia"/>
          <w:sz w:val="4"/>
          <w:szCs w:val="4"/>
        </w:rPr>
      </w:pPr>
    </w:p>
    <w:p w14:paraId="06091E64" w14:textId="77777777" w:rsidR="00732713" w:rsidRPr="007928E6" w:rsidRDefault="00732713" w:rsidP="00732713">
      <w:pPr>
        <w:pStyle w:val="NoSpacing"/>
        <w:jc w:val="both"/>
        <w:rPr>
          <w:rFonts w:eastAsiaTheme="minorEastAsia"/>
          <w:b/>
          <w:bCs/>
        </w:rPr>
      </w:pPr>
      <w:r w:rsidRPr="007928E6">
        <w:rPr>
          <w:rFonts w:eastAsiaTheme="minorEastAsia"/>
          <w:b/>
          <w:bCs/>
        </w:rPr>
        <w:t xml:space="preserve">Natural effect model step </w:t>
      </w:r>
    </w:p>
    <w:p w14:paraId="26DF8FF6" w14:textId="77777777" w:rsidR="00732713" w:rsidRPr="007928E6" w:rsidRDefault="00732713" w:rsidP="00732713">
      <w:pPr>
        <w:pStyle w:val="NoSpacing"/>
        <w:jc w:val="both"/>
      </w:pPr>
      <w:r w:rsidRPr="007928E6">
        <w:rPr>
          <w:rFonts w:eastAsiaTheme="minorEastAsia"/>
        </w:rPr>
        <w:t xml:space="preserve">4. A natural effect model of the form specified in Equation 2 was then fitted on the expanded imputed dataset, regressing the imputed outcome on </w:t>
      </w:r>
      <w:r w:rsidRPr="007928E6">
        <w:rPr>
          <w:rFonts w:ascii="Cambria Math" w:eastAsiaTheme="minorEastAsia" w:hAnsi="Cambria Math" w:cs="Cambria Math"/>
        </w:rPr>
        <w:t>𝑎</w:t>
      </w:r>
      <w:r w:rsidRPr="007928E6">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sidRPr="007928E6">
        <w:rPr>
          <w:rFonts w:eastAsiaTheme="minorEastAsia"/>
        </w:rPr>
        <w:t>, and</w:t>
      </w:r>
      <w:r w:rsidRPr="007928E6">
        <w:rPr>
          <w:rFonts w:ascii="Cambria Math" w:eastAsiaTheme="minorEastAsia" w:hAnsi="Cambria Math" w:cs="Cambria Math"/>
        </w:rPr>
        <w:t xml:space="preserve"> 𝑐</w:t>
      </w:r>
      <w:r w:rsidRPr="007928E6">
        <w:rPr>
          <w:rFonts w:eastAsiaTheme="minorEastAsia"/>
        </w:rPr>
        <w:t xml:space="preserve">. Standard errors and confidence intervals were obtained using bootstrap. </w:t>
      </w:r>
    </w:p>
    <w:p w14:paraId="69A29B98" w14:textId="77777777" w:rsidR="00732713" w:rsidRPr="007928E6" w:rsidRDefault="00732713" w:rsidP="00732713">
      <w:pPr>
        <w:pStyle w:val="NoSpacing"/>
        <w:ind w:firstLine="720"/>
        <w:rPr>
          <w:rFonts w:cstheme="minorHAnsi"/>
          <w:sz w:val="4"/>
          <w:szCs w:val="4"/>
        </w:rPr>
      </w:pPr>
      <w:r w:rsidRPr="007928E6">
        <w:rPr>
          <w:rFonts w:cstheme="minorHAnsi"/>
        </w:rPr>
        <w:t xml:space="preserve"> </w:t>
      </w:r>
    </w:p>
    <w:p w14:paraId="14B60BCC" w14:textId="54C015FD" w:rsidR="007E3B79" w:rsidRPr="007928E6" w:rsidRDefault="00732713" w:rsidP="00732713">
      <w:pPr>
        <w:pStyle w:val="NoSpacing"/>
        <w:ind w:firstLine="720"/>
        <w:jc w:val="both"/>
        <w:rPr>
          <w:rFonts w:cstheme="minorHAnsi"/>
        </w:rPr>
      </w:pPr>
      <w:r w:rsidRPr="007928E6">
        <w:rPr>
          <w:rFonts w:cstheme="minorHAnsi"/>
        </w:rPr>
        <w:t xml:space="preserve">The imputation-based approach for a natural effect model requires that the imputation model be sufficiently rich to prevent incoherence (uncongeniality) with the natural effect model </w:t>
      </w:r>
      <w:r w:rsidR="00E31F8B">
        <w:rPr>
          <w:rFonts w:cstheme="minorHAnsi"/>
          <w:noProof/>
        </w:rPr>
        <w:t>(Vansteelandt et al., 2012)</w:t>
      </w:r>
      <w:r w:rsidRPr="007928E6">
        <w:rPr>
          <w:rFonts w:cstheme="minorHAnsi"/>
        </w:rPr>
        <w:t xml:space="preserve">. In our analysis, the same set of variables were used for both the imputation and natural effect models. The additional inclusion of education, income and employment in the imputation model did not change effect estimates of the natural effect model. </w:t>
      </w:r>
    </w:p>
    <w:p w14:paraId="7778B95C" w14:textId="77777777" w:rsidR="009B68CE" w:rsidRPr="007928E6" w:rsidRDefault="009B68CE" w:rsidP="00732713">
      <w:pPr>
        <w:pStyle w:val="NoSpacing"/>
        <w:ind w:firstLine="720"/>
        <w:jc w:val="both"/>
        <w:rPr>
          <w:rFonts w:cstheme="minorHAnsi"/>
          <w:sz w:val="8"/>
          <w:szCs w:val="8"/>
        </w:rPr>
      </w:pPr>
    </w:p>
    <w:p w14:paraId="4E69E5DB" w14:textId="6C216199" w:rsidR="007E7711" w:rsidRPr="007928E6" w:rsidRDefault="00816FDC" w:rsidP="00732713">
      <w:pPr>
        <w:pStyle w:val="NoSpacing"/>
        <w:ind w:firstLine="720"/>
        <w:jc w:val="both"/>
        <w:rPr>
          <w:rFonts w:cstheme="minorHAnsi"/>
        </w:rPr>
        <w:sectPr w:rsidR="007E7711" w:rsidRPr="007928E6">
          <w:pgSz w:w="12240" w:h="15840"/>
          <w:pgMar w:top="1440" w:right="1440" w:bottom="1440" w:left="1440" w:header="708" w:footer="708" w:gutter="0"/>
          <w:cols w:space="708"/>
          <w:docGrid w:linePitch="360"/>
        </w:sectPr>
      </w:pPr>
      <w:r w:rsidRPr="007928E6">
        <w:rPr>
          <w:rFonts w:cstheme="minorHAnsi"/>
        </w:rPr>
        <w:t>N</w:t>
      </w:r>
      <w:r w:rsidR="00976133" w:rsidRPr="007928E6">
        <w:rPr>
          <w:rFonts w:cstheme="minorHAnsi"/>
        </w:rPr>
        <w:t xml:space="preserve">ote that while </w:t>
      </w:r>
      <w:r w:rsidR="009B68CE" w:rsidRPr="007928E6">
        <w:rPr>
          <w:rFonts w:cstheme="minorHAnsi"/>
        </w:rPr>
        <w:t xml:space="preserve">the imputation-based approach </w:t>
      </w:r>
      <w:r w:rsidR="00815F4D" w:rsidRPr="007928E6">
        <w:rPr>
          <w:rFonts w:cstheme="minorHAnsi"/>
        </w:rPr>
        <w:t xml:space="preserve">generates potential outcomes </w:t>
      </w:r>
      <w:r w:rsidR="0030738A" w:rsidRPr="007928E6">
        <w:rPr>
          <w:rFonts w:cstheme="minorHAnsi"/>
        </w:rPr>
        <w:t>assuming</w:t>
      </w:r>
      <w:r w:rsidR="00FE2801" w:rsidRPr="007928E6">
        <w:rPr>
          <w:rFonts w:cstheme="minorHAnsi"/>
        </w:rPr>
        <w:t xml:space="preserve"> counterfactual </w:t>
      </w:r>
      <w:r w:rsidR="0076284D" w:rsidRPr="007928E6">
        <w:rPr>
          <w:rFonts w:cstheme="minorHAnsi"/>
        </w:rPr>
        <w:t>exposure</w:t>
      </w:r>
      <w:r w:rsidR="0030738A" w:rsidRPr="007928E6">
        <w:rPr>
          <w:rFonts w:cstheme="minorHAnsi"/>
        </w:rPr>
        <w:t>s</w:t>
      </w:r>
      <w:r w:rsidR="0076284D" w:rsidRPr="007928E6">
        <w:rPr>
          <w:rFonts w:cstheme="minorHAnsi"/>
        </w:rPr>
        <w:t>,</w:t>
      </w:r>
      <w:r w:rsidR="00C6486F" w:rsidRPr="007928E6">
        <w:rPr>
          <w:rFonts w:cstheme="minorHAnsi"/>
        </w:rPr>
        <w:t xml:space="preserve"> our results are interpreted </w:t>
      </w:r>
      <w:r w:rsidR="0004364B" w:rsidRPr="007928E6">
        <w:rPr>
          <w:rFonts w:cstheme="minorHAnsi"/>
        </w:rPr>
        <w:t>through the perspective of interven</w:t>
      </w:r>
      <w:r w:rsidR="001F3188" w:rsidRPr="007928E6">
        <w:rPr>
          <w:rFonts w:cstheme="minorHAnsi"/>
        </w:rPr>
        <w:t>ing</w:t>
      </w:r>
      <w:r w:rsidR="0004364B" w:rsidRPr="007928E6">
        <w:rPr>
          <w:rFonts w:cstheme="minorHAnsi"/>
        </w:rPr>
        <w:t xml:space="preserve"> on the mediator</w:t>
      </w:r>
      <w:r w:rsidR="00EE4EA1" w:rsidRPr="007928E6">
        <w:rPr>
          <w:rFonts w:cstheme="minorHAnsi"/>
        </w:rPr>
        <w:t>. This is done because</w:t>
      </w:r>
      <w:proofErr w:type="gramStart"/>
      <w:r w:rsidR="005B0039" w:rsidRPr="007928E6">
        <w:rPr>
          <w:rFonts w:cstheme="minorHAnsi"/>
        </w:rPr>
        <w:t>,</w:t>
      </w:r>
      <w:r w:rsidR="00EE4EA1" w:rsidRPr="007928E6">
        <w:rPr>
          <w:rFonts w:cstheme="minorHAnsi"/>
        </w:rPr>
        <w:t xml:space="preserve"> in actuality</w:t>
      </w:r>
      <w:r w:rsidR="005B0039" w:rsidRPr="007928E6">
        <w:rPr>
          <w:rFonts w:cstheme="minorHAnsi"/>
        </w:rPr>
        <w:t>,</w:t>
      </w:r>
      <w:r w:rsidR="00EE4EA1" w:rsidRPr="007928E6">
        <w:rPr>
          <w:rFonts w:cstheme="minorHAnsi"/>
        </w:rPr>
        <w:t xml:space="preserve"> racial</w:t>
      </w:r>
      <w:proofErr w:type="gramEnd"/>
      <w:r w:rsidR="00EE4EA1" w:rsidRPr="007928E6">
        <w:rPr>
          <w:rFonts w:cstheme="minorHAnsi"/>
        </w:rPr>
        <w:t xml:space="preserve"> identity and </w:t>
      </w:r>
      <w:r w:rsidR="0026556A" w:rsidRPr="007928E6">
        <w:rPr>
          <w:rFonts w:cstheme="minorHAnsi"/>
        </w:rPr>
        <w:t>HIV s</w:t>
      </w:r>
      <w:r w:rsidR="00821243" w:rsidRPr="007928E6">
        <w:rPr>
          <w:rFonts w:cstheme="minorHAnsi"/>
        </w:rPr>
        <w:t>eropositivity</w:t>
      </w:r>
      <w:r w:rsidR="0026556A" w:rsidRPr="007928E6">
        <w:rPr>
          <w:rFonts w:cstheme="minorHAnsi"/>
        </w:rPr>
        <w:t xml:space="preserve"> are not modifiable</w:t>
      </w:r>
      <w:r w:rsidR="0076284D" w:rsidRPr="007928E6">
        <w:rPr>
          <w:rFonts w:cstheme="minorHAnsi"/>
        </w:rPr>
        <w:t xml:space="preserve"> </w:t>
      </w:r>
      <w:r w:rsidR="00E31F8B">
        <w:rPr>
          <w:rFonts w:cstheme="minorHAnsi"/>
          <w:noProof/>
        </w:rPr>
        <w:t>(VanderWeele and Robinson, 2014)</w:t>
      </w:r>
      <w:r w:rsidR="0004364B" w:rsidRPr="007928E6">
        <w:rPr>
          <w:rFonts w:cstheme="minorHAnsi"/>
        </w:rPr>
        <w:t>.</w:t>
      </w:r>
      <w:r w:rsidR="009B68CE" w:rsidRPr="007928E6">
        <w:rPr>
          <w:rFonts w:cstheme="minorHAnsi"/>
        </w:rPr>
        <w:t xml:space="preserve"> </w:t>
      </w:r>
      <w:r w:rsidR="00976133" w:rsidRPr="007928E6">
        <w:rPr>
          <w:rFonts w:cstheme="minorHAnsi"/>
        </w:rPr>
        <w:t xml:space="preserve"> </w:t>
      </w:r>
    </w:p>
    <w:p w14:paraId="6C21BD0C" w14:textId="44621F82" w:rsidR="007E7711" w:rsidRPr="007928E6" w:rsidRDefault="007E7711" w:rsidP="007E7711">
      <w:pPr>
        <w:pStyle w:val="Caption"/>
        <w:keepNext/>
        <w:rPr>
          <w:b/>
          <w:bCs/>
          <w:i w:val="0"/>
          <w:iCs w:val="0"/>
          <w:color w:val="auto"/>
          <w:sz w:val="20"/>
          <w:szCs w:val="20"/>
        </w:rPr>
      </w:pPr>
      <w:r w:rsidRPr="007928E6">
        <w:rPr>
          <w:b/>
          <w:bCs/>
          <w:color w:val="auto"/>
          <w:sz w:val="20"/>
          <w:szCs w:val="20"/>
        </w:rPr>
        <w:lastRenderedPageBreak/>
        <w:t xml:space="preserve">                  </w:t>
      </w:r>
      <w:r w:rsidRPr="007928E6">
        <w:rPr>
          <w:b/>
          <w:bCs/>
          <w:i w:val="0"/>
          <w:iCs w:val="0"/>
          <w:color w:val="auto"/>
          <w:sz w:val="20"/>
          <w:szCs w:val="20"/>
        </w:rPr>
        <w:t>Supplementary Figure 2: Timeline for the exposure, mediator, outcome, and confounders</w:t>
      </w:r>
    </w:p>
    <w:p w14:paraId="4DDFBFB1" w14:textId="77777777" w:rsidR="00380615" w:rsidRPr="007928E6" w:rsidRDefault="00380615" w:rsidP="00380615">
      <w:pPr>
        <w:jc w:val="center"/>
        <w:rPr>
          <w:b/>
          <w:bCs/>
        </w:rPr>
      </w:pPr>
      <w:r w:rsidRPr="007928E6">
        <w:rPr>
          <w:noProof/>
        </w:rPr>
        <w:drawing>
          <wp:inline distT="0" distB="0" distL="0" distR="0" wp14:anchorId="05DA8086" wp14:editId="2A81478F">
            <wp:extent cx="8051524" cy="3415665"/>
            <wp:effectExtent l="19050" t="19050" r="26035" b="13335"/>
            <wp:docPr id="1689793027" name="Picture 2" descr="A black screen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793027" name="Picture 2" descr="A black screen with colorful lines&#10;&#10;Description automatically generated"/>
                    <pic:cNvPicPr/>
                  </pic:nvPicPr>
                  <pic:blipFill rotWithShape="1">
                    <a:blip r:embed="rId9" cstate="print">
                      <a:extLst>
                        <a:ext uri="{28A0092B-C50C-407E-A947-70E740481C1C}">
                          <a14:useLocalDpi xmlns:a14="http://schemas.microsoft.com/office/drawing/2010/main" val="0"/>
                        </a:ext>
                      </a:extLst>
                    </a:blip>
                    <a:srcRect l="1121" t="3187" r="1076" b="3041"/>
                    <a:stretch/>
                  </pic:blipFill>
                  <pic:spPr bwMode="auto">
                    <a:xfrm>
                      <a:off x="0" y="0"/>
                      <a:ext cx="8083050" cy="342903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page" w:tblpX="1203" w:tblpY="-31"/>
        <w:tblW w:w="13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3"/>
      </w:tblGrid>
      <w:tr w:rsidR="00380615" w:rsidRPr="007928E6" w14:paraId="32587FE2" w14:textId="77777777" w:rsidTr="00CF49B4">
        <w:trPr>
          <w:trHeight w:val="3231"/>
        </w:trPr>
        <w:tc>
          <w:tcPr>
            <w:tcW w:w="13483" w:type="dxa"/>
          </w:tcPr>
          <w:p w14:paraId="1BC9D187" w14:textId="77777777" w:rsidR="00380615" w:rsidRPr="007928E6" w:rsidRDefault="00380615" w:rsidP="00CF49B4">
            <w:pPr>
              <w:tabs>
                <w:tab w:val="left" w:pos="8855"/>
              </w:tabs>
              <w:jc w:val="both"/>
              <w:rPr>
                <w:sz w:val="20"/>
                <w:szCs w:val="20"/>
              </w:rPr>
            </w:pPr>
            <w:r w:rsidRPr="007928E6">
              <w:rPr>
                <w:sz w:val="20"/>
                <w:szCs w:val="20"/>
              </w:rPr>
              <w:t>GBM: Gay, bisexual and other men who have sex with men; MHS: Mental Health Services; IQR: 25</w:t>
            </w:r>
            <w:r w:rsidRPr="007928E6">
              <w:rPr>
                <w:sz w:val="20"/>
                <w:szCs w:val="20"/>
                <w:vertAlign w:val="superscript"/>
              </w:rPr>
              <w:t>th</w:t>
            </w:r>
            <w:r w:rsidRPr="007928E6">
              <w:rPr>
                <w:sz w:val="20"/>
                <w:szCs w:val="20"/>
              </w:rPr>
              <w:t xml:space="preserve"> to 75</w:t>
            </w:r>
            <w:r w:rsidRPr="007928E6">
              <w:rPr>
                <w:sz w:val="20"/>
                <w:szCs w:val="20"/>
                <w:vertAlign w:val="superscript"/>
              </w:rPr>
              <w:t>th</w:t>
            </w:r>
            <w:r w:rsidRPr="007928E6">
              <w:rPr>
                <w:sz w:val="20"/>
                <w:szCs w:val="20"/>
              </w:rPr>
              <w:t xml:space="preserve"> percentiles interquartile </w:t>
            </w:r>
            <w:proofErr w:type="gramStart"/>
            <w:r w:rsidRPr="007928E6">
              <w:rPr>
                <w:sz w:val="20"/>
                <w:szCs w:val="20"/>
              </w:rPr>
              <w:t>range</w:t>
            </w:r>
            <w:proofErr w:type="gramEnd"/>
          </w:p>
          <w:p w14:paraId="2877F4EC" w14:textId="77777777" w:rsidR="00380615" w:rsidRPr="007928E6" w:rsidRDefault="00380615" w:rsidP="00CF49B4">
            <w:pPr>
              <w:tabs>
                <w:tab w:val="left" w:pos="8855"/>
              </w:tabs>
              <w:jc w:val="both"/>
              <w:rPr>
                <w:sz w:val="4"/>
                <w:szCs w:val="4"/>
              </w:rPr>
            </w:pPr>
          </w:p>
          <w:p w14:paraId="1CFBC326" w14:textId="77777777" w:rsidR="00380615" w:rsidRPr="007928E6" w:rsidRDefault="00380615" w:rsidP="00CF49B4">
            <w:pPr>
              <w:tabs>
                <w:tab w:val="left" w:pos="8855"/>
              </w:tabs>
              <w:jc w:val="both"/>
              <w:rPr>
                <w:sz w:val="20"/>
                <w:szCs w:val="20"/>
              </w:rPr>
            </w:pPr>
            <w:r w:rsidRPr="007928E6">
              <w:rPr>
                <w:sz w:val="20"/>
                <w:szCs w:val="20"/>
              </w:rPr>
              <w:t>We describe confounders of the mediator-outcome relationship and not confounders in general, given that our findings are interpreted based on potential interventions on the mediator and not on the exposure (mentioned in the main manuscript) (VanderWeele and Robinson, 2014). Other confounders not included in the figure are age and city – these were measured at study enrollment.</w:t>
            </w:r>
          </w:p>
          <w:p w14:paraId="017A523D" w14:textId="77777777" w:rsidR="00380615" w:rsidRPr="007928E6" w:rsidRDefault="00380615" w:rsidP="00CF49B4">
            <w:pPr>
              <w:tabs>
                <w:tab w:val="left" w:pos="8855"/>
              </w:tabs>
              <w:jc w:val="both"/>
              <w:rPr>
                <w:sz w:val="20"/>
                <w:szCs w:val="20"/>
              </w:rPr>
            </w:pPr>
            <w:r w:rsidRPr="007928E6">
              <w:rPr>
                <w:sz w:val="20"/>
                <w:szCs w:val="20"/>
              </w:rPr>
              <w:t xml:space="preserve">Dashed lines (of any color) indicate that the time duration for events is not definitively defined with respect to birth and study enrollment. For example, in our study population, the confounder - living with a chronic mental health condition is defined as those diagnosed with a condition&gt; 6 months ago. The median age of those diagnosed is 34 years (IQR: 28 -49), and previous research indicates that 75% of most mental health conditions occur by an individual’s mid-20s (Kessler et al., 2007). Thus, while different GBM in our cohort may be living with mental health condition(s) for different durations, we assume many would be living with condition(s) for durations prior to the time frames of the mediator or outcome assessment.  </w:t>
            </w:r>
          </w:p>
          <w:p w14:paraId="4CB1A1EF" w14:textId="77777777" w:rsidR="00380615" w:rsidRPr="007928E6" w:rsidRDefault="00380615" w:rsidP="00CF49B4">
            <w:pPr>
              <w:tabs>
                <w:tab w:val="left" w:pos="8855"/>
              </w:tabs>
              <w:jc w:val="both"/>
              <w:rPr>
                <w:sz w:val="4"/>
                <w:szCs w:val="4"/>
              </w:rPr>
            </w:pPr>
          </w:p>
          <w:p w14:paraId="559E3B5F" w14:textId="43063431" w:rsidR="00380615" w:rsidRPr="007928E6" w:rsidRDefault="00380615" w:rsidP="00CF49B4">
            <w:pPr>
              <w:jc w:val="both"/>
              <w:rPr>
                <w:sz w:val="16"/>
                <w:szCs w:val="16"/>
              </w:rPr>
            </w:pPr>
          </w:p>
        </w:tc>
      </w:tr>
    </w:tbl>
    <w:p w14:paraId="082EC8D0" w14:textId="77777777" w:rsidR="00380615" w:rsidRPr="007928E6" w:rsidRDefault="00380615" w:rsidP="00380615"/>
    <w:p w14:paraId="1F8907F7" w14:textId="4DACFA80" w:rsidR="00976133" w:rsidRPr="007928E6" w:rsidRDefault="00976133" w:rsidP="00732713">
      <w:pPr>
        <w:pStyle w:val="NoSpacing"/>
        <w:ind w:firstLine="720"/>
        <w:jc w:val="both"/>
        <w:rPr>
          <w:rFonts w:cstheme="minorHAnsi"/>
        </w:rPr>
        <w:sectPr w:rsidR="00976133" w:rsidRPr="007928E6" w:rsidSect="007E7711">
          <w:pgSz w:w="15840" w:h="12240" w:orient="landscape"/>
          <w:pgMar w:top="720" w:right="720" w:bottom="720" w:left="720" w:header="708" w:footer="708" w:gutter="0"/>
          <w:cols w:space="708"/>
          <w:docGrid w:linePitch="360"/>
        </w:sectPr>
      </w:pPr>
    </w:p>
    <w:tbl>
      <w:tblPr>
        <w:tblStyle w:val="TableGrid"/>
        <w:tblpPr w:leftFromText="180" w:rightFromText="180" w:vertAnchor="page" w:horzAnchor="margin" w:tblpXSpec="center" w:tblpY="1954"/>
        <w:tblW w:w="9497" w:type="dxa"/>
        <w:tblLook w:val="04A0" w:firstRow="1" w:lastRow="0" w:firstColumn="1" w:lastColumn="0" w:noHBand="0" w:noVBand="1"/>
      </w:tblPr>
      <w:tblGrid>
        <w:gridCol w:w="4111"/>
        <w:gridCol w:w="1995"/>
        <w:gridCol w:w="3391"/>
      </w:tblGrid>
      <w:tr w:rsidR="00C83E0A" w:rsidRPr="007928E6" w14:paraId="150BB555" w14:textId="77777777" w:rsidTr="00C83E0A">
        <w:trPr>
          <w:trHeight w:val="283"/>
        </w:trPr>
        <w:tc>
          <w:tcPr>
            <w:tcW w:w="9497" w:type="dxa"/>
            <w:gridSpan w:val="3"/>
          </w:tcPr>
          <w:p w14:paraId="76256E77" w14:textId="77777777" w:rsidR="00C83E0A" w:rsidRPr="007928E6" w:rsidRDefault="00C83E0A" w:rsidP="00C83E0A">
            <w:pPr>
              <w:rPr>
                <w:b/>
                <w:bCs/>
                <w:sz w:val="20"/>
                <w:szCs w:val="20"/>
              </w:rPr>
            </w:pPr>
            <w:r w:rsidRPr="007928E6">
              <w:rPr>
                <w:b/>
                <w:bCs/>
                <w:sz w:val="20"/>
                <w:szCs w:val="20"/>
              </w:rPr>
              <w:lastRenderedPageBreak/>
              <w:t>Supplementary Table 1: Log odds estimates for the entire natural effect model including confounders</w:t>
            </w:r>
          </w:p>
        </w:tc>
      </w:tr>
      <w:tr w:rsidR="00C83E0A" w:rsidRPr="007928E6" w14:paraId="70F53447" w14:textId="77777777" w:rsidTr="00C83E0A">
        <w:trPr>
          <w:trHeight w:val="283"/>
        </w:trPr>
        <w:tc>
          <w:tcPr>
            <w:tcW w:w="9497" w:type="dxa"/>
            <w:gridSpan w:val="3"/>
          </w:tcPr>
          <w:p w14:paraId="7D383925" w14:textId="77777777" w:rsidR="00C83E0A" w:rsidRPr="007928E6" w:rsidRDefault="00C83E0A" w:rsidP="00C83E0A">
            <w:pPr>
              <w:rPr>
                <w:sz w:val="20"/>
                <w:szCs w:val="20"/>
              </w:rPr>
            </w:pPr>
            <w:r w:rsidRPr="007928E6">
              <w:rPr>
                <w:b/>
                <w:bCs/>
                <w:sz w:val="20"/>
                <w:szCs w:val="20"/>
              </w:rPr>
              <w:t>Comparator exposure group</w:t>
            </w:r>
            <w:r w:rsidRPr="007928E6">
              <w:rPr>
                <w:sz w:val="20"/>
                <w:szCs w:val="20"/>
              </w:rPr>
              <w:t xml:space="preserve">: Group 1 (White HIV-negative GBM) </w:t>
            </w:r>
          </w:p>
        </w:tc>
      </w:tr>
      <w:tr w:rsidR="00C83E0A" w:rsidRPr="007928E6" w14:paraId="77DC9F47" w14:textId="77777777" w:rsidTr="00C83E0A">
        <w:trPr>
          <w:trHeight w:val="283"/>
        </w:trPr>
        <w:tc>
          <w:tcPr>
            <w:tcW w:w="9497" w:type="dxa"/>
            <w:gridSpan w:val="3"/>
          </w:tcPr>
          <w:p w14:paraId="09E3811B" w14:textId="77777777" w:rsidR="00C83E0A" w:rsidRPr="007928E6" w:rsidRDefault="00C83E0A" w:rsidP="00C83E0A">
            <w:pPr>
              <w:rPr>
                <w:sz w:val="20"/>
                <w:szCs w:val="20"/>
              </w:rPr>
            </w:pPr>
            <w:r w:rsidRPr="007928E6">
              <w:rPr>
                <w:b/>
                <w:bCs/>
                <w:sz w:val="20"/>
                <w:szCs w:val="20"/>
              </w:rPr>
              <w:t>Mediator:</w:t>
            </w:r>
            <w:r w:rsidRPr="007928E6">
              <w:rPr>
                <w:sz w:val="20"/>
                <w:szCs w:val="20"/>
              </w:rPr>
              <w:t xml:space="preserve"> Standardized Everyday Discrimination Scale scores</w:t>
            </w:r>
          </w:p>
        </w:tc>
      </w:tr>
      <w:tr w:rsidR="00C83E0A" w:rsidRPr="007928E6" w14:paraId="299FBFD7" w14:textId="77777777" w:rsidTr="00C83E0A">
        <w:tc>
          <w:tcPr>
            <w:tcW w:w="4111" w:type="dxa"/>
          </w:tcPr>
          <w:p w14:paraId="65D76904" w14:textId="77777777" w:rsidR="00C83E0A" w:rsidRPr="007928E6" w:rsidRDefault="00C83E0A" w:rsidP="00C83E0A">
            <w:pPr>
              <w:rPr>
                <w:sz w:val="20"/>
                <w:szCs w:val="20"/>
              </w:rPr>
            </w:pPr>
          </w:p>
        </w:tc>
        <w:tc>
          <w:tcPr>
            <w:tcW w:w="1995" w:type="dxa"/>
            <w:vAlign w:val="center"/>
          </w:tcPr>
          <w:p w14:paraId="13E4B2F8" w14:textId="77777777" w:rsidR="00C83E0A" w:rsidRPr="007928E6" w:rsidRDefault="00C83E0A" w:rsidP="00C83E0A">
            <w:pPr>
              <w:jc w:val="center"/>
              <w:rPr>
                <w:b/>
                <w:bCs/>
                <w:sz w:val="20"/>
                <w:szCs w:val="20"/>
              </w:rPr>
            </w:pPr>
            <w:r w:rsidRPr="007928E6">
              <w:rPr>
                <w:b/>
                <w:bCs/>
                <w:sz w:val="20"/>
                <w:szCs w:val="20"/>
              </w:rPr>
              <w:t>Log odds</w:t>
            </w:r>
          </w:p>
        </w:tc>
        <w:tc>
          <w:tcPr>
            <w:tcW w:w="3391" w:type="dxa"/>
            <w:vAlign w:val="center"/>
          </w:tcPr>
          <w:p w14:paraId="47B298E1" w14:textId="77777777" w:rsidR="00C83E0A" w:rsidRPr="007928E6" w:rsidRDefault="00C83E0A" w:rsidP="00C83E0A">
            <w:pPr>
              <w:jc w:val="center"/>
              <w:rPr>
                <w:b/>
                <w:bCs/>
                <w:sz w:val="20"/>
                <w:szCs w:val="20"/>
              </w:rPr>
            </w:pPr>
            <w:r w:rsidRPr="007928E6">
              <w:rPr>
                <w:b/>
                <w:bCs/>
                <w:sz w:val="20"/>
                <w:szCs w:val="20"/>
              </w:rPr>
              <w:t xml:space="preserve">95% Confidence </w:t>
            </w:r>
            <w:proofErr w:type="spellStart"/>
            <w:r w:rsidRPr="007928E6">
              <w:rPr>
                <w:b/>
                <w:bCs/>
                <w:sz w:val="20"/>
                <w:szCs w:val="20"/>
              </w:rPr>
              <w:t>Interval</w:t>
            </w:r>
            <w:r w:rsidRPr="007928E6">
              <w:rPr>
                <w:b/>
                <w:bCs/>
                <w:sz w:val="20"/>
                <w:szCs w:val="20"/>
                <w:vertAlign w:val="superscript"/>
              </w:rPr>
              <w:t>a</w:t>
            </w:r>
            <w:proofErr w:type="spellEnd"/>
          </w:p>
        </w:tc>
      </w:tr>
      <w:tr w:rsidR="00C83E0A" w:rsidRPr="007928E6" w14:paraId="64B7EE6D" w14:textId="77777777" w:rsidTr="00C83E0A">
        <w:trPr>
          <w:trHeight w:val="283"/>
        </w:trPr>
        <w:tc>
          <w:tcPr>
            <w:tcW w:w="4111" w:type="dxa"/>
          </w:tcPr>
          <w:p w14:paraId="708F553F" w14:textId="77777777" w:rsidR="00C83E0A" w:rsidRPr="007928E6" w:rsidRDefault="00C83E0A" w:rsidP="00C83E0A">
            <w:pPr>
              <w:rPr>
                <w:sz w:val="20"/>
                <w:szCs w:val="20"/>
              </w:rPr>
            </w:pPr>
            <w:r w:rsidRPr="007928E6">
              <w:rPr>
                <w:sz w:val="20"/>
                <w:szCs w:val="20"/>
              </w:rPr>
              <w:t>Intercept</w:t>
            </w:r>
          </w:p>
        </w:tc>
        <w:tc>
          <w:tcPr>
            <w:tcW w:w="1995" w:type="dxa"/>
            <w:vAlign w:val="center"/>
          </w:tcPr>
          <w:p w14:paraId="45C6504A" w14:textId="77777777" w:rsidR="00C83E0A" w:rsidRPr="007928E6" w:rsidRDefault="00C83E0A" w:rsidP="00C83E0A">
            <w:pPr>
              <w:jc w:val="center"/>
              <w:rPr>
                <w:sz w:val="20"/>
                <w:szCs w:val="20"/>
              </w:rPr>
            </w:pPr>
            <w:r w:rsidRPr="007928E6">
              <w:rPr>
                <w:sz w:val="20"/>
                <w:szCs w:val="20"/>
              </w:rPr>
              <w:t>-0.0016</w:t>
            </w:r>
          </w:p>
        </w:tc>
        <w:tc>
          <w:tcPr>
            <w:tcW w:w="3391" w:type="dxa"/>
            <w:vAlign w:val="center"/>
          </w:tcPr>
          <w:p w14:paraId="64031134" w14:textId="77777777" w:rsidR="00C83E0A" w:rsidRPr="007928E6" w:rsidRDefault="00C83E0A" w:rsidP="00C83E0A">
            <w:pPr>
              <w:jc w:val="center"/>
              <w:rPr>
                <w:sz w:val="20"/>
                <w:szCs w:val="20"/>
              </w:rPr>
            </w:pPr>
            <w:r w:rsidRPr="007928E6">
              <w:rPr>
                <w:sz w:val="20"/>
                <w:szCs w:val="20"/>
              </w:rPr>
              <w:t>-0.4713, 0.4693</w:t>
            </w:r>
          </w:p>
        </w:tc>
      </w:tr>
      <w:tr w:rsidR="00C83E0A" w:rsidRPr="007928E6" w14:paraId="574AFBB1" w14:textId="77777777" w:rsidTr="00C83E0A">
        <w:trPr>
          <w:trHeight w:val="283"/>
        </w:trPr>
        <w:tc>
          <w:tcPr>
            <w:tcW w:w="4111" w:type="dxa"/>
          </w:tcPr>
          <w:p w14:paraId="7F42B312" w14:textId="77777777" w:rsidR="00C83E0A" w:rsidRPr="007928E6" w:rsidRDefault="00C83E0A" w:rsidP="00C83E0A">
            <w:pPr>
              <w:rPr>
                <w:sz w:val="20"/>
                <w:szCs w:val="20"/>
              </w:rPr>
            </w:pPr>
            <w:r w:rsidRPr="007928E6">
              <w:rPr>
                <w:sz w:val="20"/>
                <w:szCs w:val="20"/>
              </w:rPr>
              <w:t>PDE Group 2</w:t>
            </w:r>
          </w:p>
        </w:tc>
        <w:tc>
          <w:tcPr>
            <w:tcW w:w="1995" w:type="dxa"/>
            <w:vAlign w:val="center"/>
          </w:tcPr>
          <w:p w14:paraId="3CDCB3D3" w14:textId="77777777" w:rsidR="00C83E0A" w:rsidRPr="007928E6" w:rsidRDefault="00C83E0A" w:rsidP="00C83E0A">
            <w:pPr>
              <w:jc w:val="center"/>
              <w:rPr>
                <w:sz w:val="20"/>
                <w:szCs w:val="20"/>
              </w:rPr>
            </w:pPr>
            <w:r w:rsidRPr="007928E6">
              <w:rPr>
                <w:sz w:val="20"/>
                <w:szCs w:val="20"/>
              </w:rPr>
              <w:t>0.5216</w:t>
            </w:r>
          </w:p>
        </w:tc>
        <w:tc>
          <w:tcPr>
            <w:tcW w:w="3391" w:type="dxa"/>
            <w:vAlign w:val="center"/>
          </w:tcPr>
          <w:p w14:paraId="79EB69E9" w14:textId="77777777" w:rsidR="00C83E0A" w:rsidRPr="007928E6" w:rsidRDefault="00C83E0A" w:rsidP="00C83E0A">
            <w:pPr>
              <w:jc w:val="center"/>
              <w:rPr>
                <w:sz w:val="20"/>
                <w:szCs w:val="20"/>
              </w:rPr>
            </w:pPr>
            <w:r w:rsidRPr="007928E6">
              <w:rPr>
                <w:sz w:val="20"/>
                <w:szCs w:val="20"/>
              </w:rPr>
              <w:t xml:space="preserve">  0.2363, 0.8063</w:t>
            </w:r>
          </w:p>
        </w:tc>
      </w:tr>
      <w:tr w:rsidR="00C83E0A" w:rsidRPr="007928E6" w14:paraId="67389FD1" w14:textId="77777777" w:rsidTr="00C83E0A">
        <w:trPr>
          <w:trHeight w:val="283"/>
        </w:trPr>
        <w:tc>
          <w:tcPr>
            <w:tcW w:w="4111" w:type="dxa"/>
          </w:tcPr>
          <w:p w14:paraId="72A68C71" w14:textId="77777777" w:rsidR="00C83E0A" w:rsidRPr="007928E6" w:rsidRDefault="00C83E0A" w:rsidP="00C83E0A">
            <w:pPr>
              <w:rPr>
                <w:sz w:val="20"/>
                <w:szCs w:val="20"/>
              </w:rPr>
            </w:pPr>
            <w:r w:rsidRPr="007928E6">
              <w:rPr>
                <w:sz w:val="20"/>
                <w:szCs w:val="20"/>
              </w:rPr>
              <w:t>PIE Group 2</w:t>
            </w:r>
          </w:p>
        </w:tc>
        <w:tc>
          <w:tcPr>
            <w:tcW w:w="1995" w:type="dxa"/>
            <w:vAlign w:val="center"/>
          </w:tcPr>
          <w:p w14:paraId="7A66AE67" w14:textId="77777777" w:rsidR="00C83E0A" w:rsidRPr="007928E6" w:rsidRDefault="00C83E0A" w:rsidP="00C83E0A">
            <w:pPr>
              <w:jc w:val="center"/>
              <w:rPr>
                <w:sz w:val="20"/>
                <w:szCs w:val="20"/>
              </w:rPr>
            </w:pPr>
            <w:r w:rsidRPr="007928E6">
              <w:rPr>
                <w:sz w:val="20"/>
                <w:szCs w:val="20"/>
              </w:rPr>
              <w:t>0.0159</w:t>
            </w:r>
          </w:p>
        </w:tc>
        <w:tc>
          <w:tcPr>
            <w:tcW w:w="3391" w:type="dxa"/>
            <w:vAlign w:val="center"/>
          </w:tcPr>
          <w:p w14:paraId="503DA03A" w14:textId="77777777" w:rsidR="00C83E0A" w:rsidRPr="007928E6" w:rsidRDefault="00C83E0A" w:rsidP="00C83E0A">
            <w:pPr>
              <w:jc w:val="center"/>
              <w:rPr>
                <w:sz w:val="20"/>
                <w:szCs w:val="20"/>
              </w:rPr>
            </w:pPr>
            <w:r w:rsidRPr="007928E6">
              <w:rPr>
                <w:sz w:val="20"/>
                <w:szCs w:val="20"/>
              </w:rPr>
              <w:t>-0.0164, 0.0469</w:t>
            </w:r>
          </w:p>
        </w:tc>
      </w:tr>
      <w:tr w:rsidR="00C83E0A" w:rsidRPr="007928E6" w14:paraId="06FF2A4E" w14:textId="77777777" w:rsidTr="00C83E0A">
        <w:trPr>
          <w:trHeight w:val="283"/>
        </w:trPr>
        <w:tc>
          <w:tcPr>
            <w:tcW w:w="4111" w:type="dxa"/>
          </w:tcPr>
          <w:p w14:paraId="02581176" w14:textId="77777777" w:rsidR="00C83E0A" w:rsidRPr="007928E6" w:rsidRDefault="00C83E0A" w:rsidP="00C83E0A">
            <w:pPr>
              <w:rPr>
                <w:sz w:val="20"/>
                <w:szCs w:val="20"/>
              </w:rPr>
            </w:pPr>
            <w:r w:rsidRPr="007928E6">
              <w:rPr>
                <w:sz w:val="20"/>
                <w:szCs w:val="20"/>
              </w:rPr>
              <w:t>MIE Group 2</w:t>
            </w:r>
          </w:p>
        </w:tc>
        <w:tc>
          <w:tcPr>
            <w:tcW w:w="1995" w:type="dxa"/>
            <w:vAlign w:val="center"/>
          </w:tcPr>
          <w:p w14:paraId="07A28B00" w14:textId="77777777" w:rsidR="00C83E0A" w:rsidRPr="007928E6" w:rsidRDefault="00C83E0A" w:rsidP="00C83E0A">
            <w:pPr>
              <w:jc w:val="center"/>
              <w:rPr>
                <w:sz w:val="20"/>
                <w:szCs w:val="20"/>
              </w:rPr>
            </w:pPr>
            <w:r w:rsidRPr="007928E6">
              <w:rPr>
                <w:sz w:val="20"/>
                <w:szCs w:val="20"/>
              </w:rPr>
              <w:t>-0.0008</w:t>
            </w:r>
          </w:p>
        </w:tc>
        <w:tc>
          <w:tcPr>
            <w:tcW w:w="3391" w:type="dxa"/>
            <w:vAlign w:val="center"/>
          </w:tcPr>
          <w:p w14:paraId="01BB3C26" w14:textId="77777777" w:rsidR="00C83E0A" w:rsidRPr="007928E6" w:rsidRDefault="00C83E0A" w:rsidP="00C83E0A">
            <w:pPr>
              <w:jc w:val="center"/>
              <w:rPr>
                <w:sz w:val="20"/>
                <w:szCs w:val="20"/>
              </w:rPr>
            </w:pPr>
            <w:r w:rsidRPr="007928E6">
              <w:rPr>
                <w:sz w:val="20"/>
                <w:szCs w:val="20"/>
              </w:rPr>
              <w:t>-0.0188, 0.0191</w:t>
            </w:r>
          </w:p>
        </w:tc>
      </w:tr>
      <w:tr w:rsidR="00C83E0A" w:rsidRPr="007928E6" w14:paraId="77E55974" w14:textId="77777777" w:rsidTr="00C83E0A">
        <w:trPr>
          <w:trHeight w:val="283"/>
        </w:trPr>
        <w:tc>
          <w:tcPr>
            <w:tcW w:w="4111" w:type="dxa"/>
          </w:tcPr>
          <w:p w14:paraId="0606B8E1" w14:textId="77777777" w:rsidR="00C83E0A" w:rsidRPr="007928E6" w:rsidRDefault="00C83E0A" w:rsidP="00C83E0A">
            <w:pPr>
              <w:rPr>
                <w:sz w:val="20"/>
                <w:szCs w:val="20"/>
              </w:rPr>
            </w:pPr>
            <w:r w:rsidRPr="007928E6">
              <w:rPr>
                <w:sz w:val="20"/>
                <w:szCs w:val="20"/>
              </w:rPr>
              <w:t xml:space="preserve">TIE Group 2 </w:t>
            </w:r>
          </w:p>
        </w:tc>
        <w:tc>
          <w:tcPr>
            <w:tcW w:w="1995" w:type="dxa"/>
            <w:vAlign w:val="center"/>
          </w:tcPr>
          <w:p w14:paraId="4AEF3855" w14:textId="77777777" w:rsidR="00C83E0A" w:rsidRPr="007928E6" w:rsidRDefault="00C83E0A" w:rsidP="00C83E0A">
            <w:pPr>
              <w:jc w:val="center"/>
              <w:rPr>
                <w:sz w:val="20"/>
                <w:szCs w:val="20"/>
              </w:rPr>
            </w:pPr>
            <w:r w:rsidRPr="007928E6">
              <w:rPr>
                <w:sz w:val="20"/>
                <w:szCs w:val="20"/>
              </w:rPr>
              <w:t>0.0151</w:t>
            </w:r>
          </w:p>
        </w:tc>
        <w:tc>
          <w:tcPr>
            <w:tcW w:w="3391" w:type="dxa"/>
            <w:vAlign w:val="center"/>
          </w:tcPr>
          <w:p w14:paraId="5650E170" w14:textId="77777777" w:rsidR="00C83E0A" w:rsidRPr="007928E6" w:rsidRDefault="00C83E0A" w:rsidP="00C83E0A">
            <w:pPr>
              <w:jc w:val="center"/>
              <w:rPr>
                <w:sz w:val="20"/>
                <w:szCs w:val="20"/>
              </w:rPr>
            </w:pPr>
            <w:r w:rsidRPr="007928E6">
              <w:rPr>
                <w:sz w:val="20"/>
                <w:szCs w:val="20"/>
              </w:rPr>
              <w:t>-0.0180, 0.0483</w:t>
            </w:r>
          </w:p>
        </w:tc>
      </w:tr>
      <w:tr w:rsidR="00C83E0A" w:rsidRPr="007928E6" w14:paraId="7DC8E1E9" w14:textId="77777777" w:rsidTr="00C83E0A">
        <w:trPr>
          <w:trHeight w:val="283"/>
        </w:trPr>
        <w:tc>
          <w:tcPr>
            <w:tcW w:w="4111" w:type="dxa"/>
          </w:tcPr>
          <w:p w14:paraId="34A5BA31" w14:textId="77777777" w:rsidR="00C83E0A" w:rsidRPr="007928E6" w:rsidRDefault="00C83E0A" w:rsidP="00C83E0A">
            <w:pPr>
              <w:rPr>
                <w:sz w:val="20"/>
                <w:szCs w:val="20"/>
              </w:rPr>
            </w:pPr>
            <w:r w:rsidRPr="007928E6">
              <w:rPr>
                <w:sz w:val="20"/>
                <w:szCs w:val="20"/>
              </w:rPr>
              <w:t>PDE Group 3</w:t>
            </w:r>
          </w:p>
        </w:tc>
        <w:tc>
          <w:tcPr>
            <w:tcW w:w="1995" w:type="dxa"/>
            <w:vAlign w:val="center"/>
          </w:tcPr>
          <w:p w14:paraId="54E4B7CD" w14:textId="77777777" w:rsidR="00C83E0A" w:rsidRPr="007928E6" w:rsidRDefault="00C83E0A" w:rsidP="00C83E0A">
            <w:pPr>
              <w:jc w:val="center"/>
              <w:rPr>
                <w:sz w:val="20"/>
                <w:szCs w:val="20"/>
              </w:rPr>
            </w:pPr>
            <w:r w:rsidRPr="007928E6">
              <w:rPr>
                <w:sz w:val="20"/>
                <w:szCs w:val="20"/>
              </w:rPr>
              <w:t>-0.1754</w:t>
            </w:r>
          </w:p>
        </w:tc>
        <w:tc>
          <w:tcPr>
            <w:tcW w:w="3391" w:type="dxa"/>
            <w:vAlign w:val="center"/>
          </w:tcPr>
          <w:p w14:paraId="656C10AE" w14:textId="77777777" w:rsidR="00C83E0A" w:rsidRPr="007928E6" w:rsidRDefault="00C83E0A" w:rsidP="00C83E0A">
            <w:pPr>
              <w:jc w:val="center"/>
              <w:rPr>
                <w:sz w:val="20"/>
                <w:szCs w:val="20"/>
              </w:rPr>
            </w:pPr>
            <w:r w:rsidRPr="007928E6">
              <w:rPr>
                <w:sz w:val="20"/>
                <w:szCs w:val="20"/>
              </w:rPr>
              <w:t>-0.4227, 0.0885</w:t>
            </w:r>
          </w:p>
        </w:tc>
      </w:tr>
      <w:tr w:rsidR="00C83E0A" w:rsidRPr="007928E6" w14:paraId="0F119EA4" w14:textId="77777777" w:rsidTr="00C83E0A">
        <w:trPr>
          <w:trHeight w:val="283"/>
        </w:trPr>
        <w:tc>
          <w:tcPr>
            <w:tcW w:w="4111" w:type="dxa"/>
          </w:tcPr>
          <w:p w14:paraId="1E8FADC5" w14:textId="77777777" w:rsidR="00C83E0A" w:rsidRPr="007928E6" w:rsidRDefault="00C83E0A" w:rsidP="00C83E0A">
            <w:pPr>
              <w:rPr>
                <w:sz w:val="20"/>
                <w:szCs w:val="20"/>
              </w:rPr>
            </w:pPr>
            <w:r w:rsidRPr="007928E6">
              <w:rPr>
                <w:sz w:val="20"/>
                <w:szCs w:val="20"/>
              </w:rPr>
              <w:t>PIE Group 3</w:t>
            </w:r>
          </w:p>
        </w:tc>
        <w:tc>
          <w:tcPr>
            <w:tcW w:w="1995" w:type="dxa"/>
            <w:vAlign w:val="center"/>
          </w:tcPr>
          <w:p w14:paraId="090A1771" w14:textId="77777777" w:rsidR="00C83E0A" w:rsidRPr="007928E6" w:rsidRDefault="00C83E0A" w:rsidP="00C83E0A">
            <w:pPr>
              <w:jc w:val="center"/>
              <w:rPr>
                <w:sz w:val="20"/>
                <w:szCs w:val="20"/>
              </w:rPr>
            </w:pPr>
            <w:r w:rsidRPr="007928E6">
              <w:rPr>
                <w:sz w:val="20"/>
                <w:szCs w:val="20"/>
              </w:rPr>
              <w:t>0.0901</w:t>
            </w:r>
          </w:p>
        </w:tc>
        <w:tc>
          <w:tcPr>
            <w:tcW w:w="3391" w:type="dxa"/>
            <w:vAlign w:val="center"/>
          </w:tcPr>
          <w:p w14:paraId="6331F85B" w14:textId="77777777" w:rsidR="00C83E0A" w:rsidRPr="007928E6" w:rsidRDefault="00C83E0A" w:rsidP="00C83E0A">
            <w:pPr>
              <w:jc w:val="center"/>
              <w:rPr>
                <w:sz w:val="20"/>
                <w:szCs w:val="20"/>
              </w:rPr>
            </w:pPr>
            <w:r w:rsidRPr="007928E6">
              <w:rPr>
                <w:sz w:val="20"/>
                <w:szCs w:val="20"/>
              </w:rPr>
              <w:t>0.0190, 0.1585</w:t>
            </w:r>
          </w:p>
        </w:tc>
      </w:tr>
      <w:tr w:rsidR="00C83E0A" w:rsidRPr="007928E6" w14:paraId="7E04C670" w14:textId="77777777" w:rsidTr="00C83E0A">
        <w:trPr>
          <w:trHeight w:val="283"/>
        </w:trPr>
        <w:tc>
          <w:tcPr>
            <w:tcW w:w="4111" w:type="dxa"/>
          </w:tcPr>
          <w:p w14:paraId="31FFBC6A" w14:textId="77777777" w:rsidR="00C83E0A" w:rsidRPr="007928E6" w:rsidRDefault="00C83E0A" w:rsidP="00C83E0A">
            <w:pPr>
              <w:rPr>
                <w:sz w:val="20"/>
                <w:szCs w:val="20"/>
              </w:rPr>
            </w:pPr>
            <w:r w:rsidRPr="007928E6">
              <w:rPr>
                <w:sz w:val="20"/>
                <w:szCs w:val="20"/>
              </w:rPr>
              <w:t>MIE Group 3</w:t>
            </w:r>
          </w:p>
        </w:tc>
        <w:tc>
          <w:tcPr>
            <w:tcW w:w="1995" w:type="dxa"/>
            <w:vAlign w:val="center"/>
          </w:tcPr>
          <w:p w14:paraId="3AEC093F" w14:textId="77777777" w:rsidR="00C83E0A" w:rsidRPr="007928E6" w:rsidRDefault="00C83E0A" w:rsidP="00C83E0A">
            <w:pPr>
              <w:jc w:val="center"/>
              <w:rPr>
                <w:sz w:val="20"/>
                <w:szCs w:val="20"/>
              </w:rPr>
            </w:pPr>
            <w:r w:rsidRPr="007928E6">
              <w:rPr>
                <w:sz w:val="20"/>
                <w:szCs w:val="20"/>
              </w:rPr>
              <w:t>0.0352</w:t>
            </w:r>
          </w:p>
        </w:tc>
        <w:tc>
          <w:tcPr>
            <w:tcW w:w="3391" w:type="dxa"/>
            <w:vAlign w:val="center"/>
          </w:tcPr>
          <w:p w14:paraId="0C2B8E75" w14:textId="77777777" w:rsidR="00C83E0A" w:rsidRPr="007928E6" w:rsidRDefault="00C83E0A" w:rsidP="00C83E0A">
            <w:pPr>
              <w:jc w:val="center"/>
              <w:rPr>
                <w:sz w:val="20"/>
                <w:szCs w:val="20"/>
              </w:rPr>
            </w:pPr>
            <w:r w:rsidRPr="007928E6">
              <w:rPr>
                <w:sz w:val="20"/>
                <w:szCs w:val="20"/>
              </w:rPr>
              <w:t>-0.0702, 0.1403</w:t>
            </w:r>
          </w:p>
        </w:tc>
      </w:tr>
      <w:tr w:rsidR="00C83E0A" w:rsidRPr="007928E6" w14:paraId="3ADE2ACB" w14:textId="77777777" w:rsidTr="00C83E0A">
        <w:trPr>
          <w:trHeight w:val="283"/>
        </w:trPr>
        <w:tc>
          <w:tcPr>
            <w:tcW w:w="4111" w:type="dxa"/>
          </w:tcPr>
          <w:p w14:paraId="183DAFC6" w14:textId="77777777" w:rsidR="00C83E0A" w:rsidRPr="007928E6" w:rsidRDefault="00C83E0A" w:rsidP="00C83E0A">
            <w:pPr>
              <w:rPr>
                <w:sz w:val="20"/>
                <w:szCs w:val="20"/>
              </w:rPr>
            </w:pPr>
            <w:r w:rsidRPr="007928E6">
              <w:rPr>
                <w:sz w:val="20"/>
                <w:szCs w:val="20"/>
              </w:rPr>
              <w:t xml:space="preserve">TIE Group 3 </w:t>
            </w:r>
          </w:p>
        </w:tc>
        <w:tc>
          <w:tcPr>
            <w:tcW w:w="1995" w:type="dxa"/>
            <w:vAlign w:val="center"/>
          </w:tcPr>
          <w:p w14:paraId="118D06CA" w14:textId="77777777" w:rsidR="00C83E0A" w:rsidRPr="007928E6" w:rsidRDefault="00C83E0A" w:rsidP="00C83E0A">
            <w:pPr>
              <w:jc w:val="center"/>
              <w:rPr>
                <w:sz w:val="20"/>
                <w:szCs w:val="20"/>
              </w:rPr>
            </w:pPr>
            <w:r w:rsidRPr="007928E6">
              <w:rPr>
                <w:sz w:val="20"/>
                <w:szCs w:val="20"/>
              </w:rPr>
              <w:t>0.1253</w:t>
            </w:r>
          </w:p>
        </w:tc>
        <w:tc>
          <w:tcPr>
            <w:tcW w:w="3391" w:type="dxa"/>
            <w:vAlign w:val="center"/>
          </w:tcPr>
          <w:p w14:paraId="6A4A2E46" w14:textId="77777777" w:rsidR="00C83E0A" w:rsidRPr="007928E6" w:rsidRDefault="00C83E0A" w:rsidP="00C83E0A">
            <w:pPr>
              <w:jc w:val="center"/>
              <w:rPr>
                <w:sz w:val="20"/>
                <w:szCs w:val="20"/>
              </w:rPr>
            </w:pPr>
            <w:r w:rsidRPr="007928E6">
              <w:rPr>
                <w:sz w:val="20"/>
                <w:szCs w:val="20"/>
              </w:rPr>
              <w:t>0.0389, 0.2117</w:t>
            </w:r>
          </w:p>
        </w:tc>
      </w:tr>
      <w:tr w:rsidR="00C83E0A" w:rsidRPr="007928E6" w14:paraId="7DA23E5B" w14:textId="77777777" w:rsidTr="00C83E0A">
        <w:trPr>
          <w:trHeight w:val="283"/>
        </w:trPr>
        <w:tc>
          <w:tcPr>
            <w:tcW w:w="4111" w:type="dxa"/>
          </w:tcPr>
          <w:p w14:paraId="781C6EC8" w14:textId="77777777" w:rsidR="00C83E0A" w:rsidRPr="007928E6" w:rsidRDefault="00C83E0A" w:rsidP="00C83E0A">
            <w:pPr>
              <w:rPr>
                <w:sz w:val="20"/>
                <w:szCs w:val="20"/>
              </w:rPr>
            </w:pPr>
            <w:r w:rsidRPr="007928E6">
              <w:rPr>
                <w:sz w:val="20"/>
                <w:szCs w:val="20"/>
              </w:rPr>
              <w:t>PDE Group 4</w:t>
            </w:r>
          </w:p>
        </w:tc>
        <w:tc>
          <w:tcPr>
            <w:tcW w:w="1995" w:type="dxa"/>
            <w:vAlign w:val="center"/>
          </w:tcPr>
          <w:p w14:paraId="75D2E1F8" w14:textId="77777777" w:rsidR="00C83E0A" w:rsidRPr="007928E6" w:rsidRDefault="00C83E0A" w:rsidP="00C83E0A">
            <w:pPr>
              <w:jc w:val="center"/>
              <w:rPr>
                <w:sz w:val="20"/>
                <w:szCs w:val="20"/>
              </w:rPr>
            </w:pPr>
            <w:r w:rsidRPr="007928E6">
              <w:rPr>
                <w:sz w:val="20"/>
                <w:szCs w:val="20"/>
              </w:rPr>
              <w:t>0.2051</w:t>
            </w:r>
          </w:p>
        </w:tc>
        <w:tc>
          <w:tcPr>
            <w:tcW w:w="3391" w:type="dxa"/>
            <w:vAlign w:val="center"/>
          </w:tcPr>
          <w:p w14:paraId="3633D5EA" w14:textId="77777777" w:rsidR="00C83E0A" w:rsidRPr="007928E6" w:rsidRDefault="00C83E0A" w:rsidP="00C83E0A">
            <w:pPr>
              <w:jc w:val="center"/>
              <w:rPr>
                <w:sz w:val="20"/>
                <w:szCs w:val="20"/>
              </w:rPr>
            </w:pPr>
            <w:r w:rsidRPr="007928E6">
              <w:rPr>
                <w:sz w:val="20"/>
                <w:szCs w:val="20"/>
              </w:rPr>
              <w:t>-0.3082, 0.7667</w:t>
            </w:r>
          </w:p>
        </w:tc>
      </w:tr>
      <w:tr w:rsidR="00C83E0A" w:rsidRPr="007928E6" w14:paraId="716DEF38" w14:textId="77777777" w:rsidTr="00C83E0A">
        <w:trPr>
          <w:trHeight w:val="283"/>
        </w:trPr>
        <w:tc>
          <w:tcPr>
            <w:tcW w:w="4111" w:type="dxa"/>
          </w:tcPr>
          <w:p w14:paraId="543F2CC8" w14:textId="77777777" w:rsidR="00C83E0A" w:rsidRPr="007928E6" w:rsidRDefault="00C83E0A" w:rsidP="00C83E0A">
            <w:pPr>
              <w:rPr>
                <w:sz w:val="20"/>
                <w:szCs w:val="20"/>
              </w:rPr>
            </w:pPr>
            <w:r w:rsidRPr="007928E6">
              <w:rPr>
                <w:sz w:val="20"/>
                <w:szCs w:val="20"/>
              </w:rPr>
              <w:t>PIE Group 4</w:t>
            </w:r>
          </w:p>
        </w:tc>
        <w:tc>
          <w:tcPr>
            <w:tcW w:w="1995" w:type="dxa"/>
            <w:vAlign w:val="center"/>
          </w:tcPr>
          <w:p w14:paraId="16A5DB16" w14:textId="77777777" w:rsidR="00C83E0A" w:rsidRPr="007928E6" w:rsidRDefault="00C83E0A" w:rsidP="00C83E0A">
            <w:pPr>
              <w:jc w:val="center"/>
              <w:rPr>
                <w:sz w:val="20"/>
                <w:szCs w:val="20"/>
              </w:rPr>
            </w:pPr>
            <w:r w:rsidRPr="007928E6">
              <w:rPr>
                <w:sz w:val="20"/>
                <w:szCs w:val="20"/>
              </w:rPr>
              <w:t>0.0805</w:t>
            </w:r>
          </w:p>
        </w:tc>
        <w:tc>
          <w:tcPr>
            <w:tcW w:w="3391" w:type="dxa"/>
            <w:vAlign w:val="center"/>
          </w:tcPr>
          <w:p w14:paraId="73D29A14" w14:textId="77777777" w:rsidR="00C83E0A" w:rsidRPr="007928E6" w:rsidRDefault="00C83E0A" w:rsidP="00C83E0A">
            <w:pPr>
              <w:jc w:val="center"/>
              <w:rPr>
                <w:sz w:val="20"/>
                <w:szCs w:val="20"/>
              </w:rPr>
            </w:pPr>
            <w:r w:rsidRPr="007928E6">
              <w:rPr>
                <w:sz w:val="20"/>
                <w:szCs w:val="20"/>
              </w:rPr>
              <w:t>-0.0056, 0.1604</w:t>
            </w:r>
          </w:p>
        </w:tc>
      </w:tr>
      <w:tr w:rsidR="00C83E0A" w:rsidRPr="007928E6" w14:paraId="4CF736B1" w14:textId="77777777" w:rsidTr="00C83E0A">
        <w:trPr>
          <w:trHeight w:val="283"/>
        </w:trPr>
        <w:tc>
          <w:tcPr>
            <w:tcW w:w="4111" w:type="dxa"/>
          </w:tcPr>
          <w:p w14:paraId="217F1E39" w14:textId="77777777" w:rsidR="00C83E0A" w:rsidRPr="007928E6" w:rsidRDefault="00C83E0A" w:rsidP="00C83E0A">
            <w:pPr>
              <w:rPr>
                <w:sz w:val="20"/>
                <w:szCs w:val="20"/>
              </w:rPr>
            </w:pPr>
            <w:r w:rsidRPr="007928E6">
              <w:rPr>
                <w:sz w:val="20"/>
                <w:szCs w:val="20"/>
              </w:rPr>
              <w:t>MIE Group 4</w:t>
            </w:r>
          </w:p>
        </w:tc>
        <w:tc>
          <w:tcPr>
            <w:tcW w:w="1995" w:type="dxa"/>
            <w:vAlign w:val="center"/>
          </w:tcPr>
          <w:p w14:paraId="24B73352" w14:textId="77777777" w:rsidR="00C83E0A" w:rsidRPr="007928E6" w:rsidRDefault="00C83E0A" w:rsidP="00C83E0A">
            <w:pPr>
              <w:jc w:val="center"/>
              <w:rPr>
                <w:sz w:val="20"/>
                <w:szCs w:val="20"/>
              </w:rPr>
            </w:pPr>
            <w:r w:rsidRPr="007928E6">
              <w:rPr>
                <w:sz w:val="20"/>
                <w:szCs w:val="20"/>
              </w:rPr>
              <w:t>-0.0783</w:t>
            </w:r>
          </w:p>
        </w:tc>
        <w:tc>
          <w:tcPr>
            <w:tcW w:w="3391" w:type="dxa"/>
            <w:vAlign w:val="center"/>
          </w:tcPr>
          <w:p w14:paraId="233896A0" w14:textId="77777777" w:rsidR="00C83E0A" w:rsidRPr="007928E6" w:rsidRDefault="00C83E0A" w:rsidP="00C83E0A">
            <w:pPr>
              <w:jc w:val="center"/>
              <w:rPr>
                <w:sz w:val="20"/>
                <w:szCs w:val="20"/>
              </w:rPr>
            </w:pPr>
            <w:r w:rsidRPr="007928E6">
              <w:rPr>
                <w:sz w:val="20"/>
                <w:szCs w:val="20"/>
              </w:rPr>
              <w:t>-0.2739, 0.1205</w:t>
            </w:r>
          </w:p>
        </w:tc>
      </w:tr>
      <w:tr w:rsidR="00C83E0A" w:rsidRPr="007928E6" w14:paraId="6DE66009" w14:textId="77777777" w:rsidTr="00C83E0A">
        <w:trPr>
          <w:trHeight w:val="283"/>
        </w:trPr>
        <w:tc>
          <w:tcPr>
            <w:tcW w:w="4111" w:type="dxa"/>
          </w:tcPr>
          <w:p w14:paraId="42F9F17A" w14:textId="77777777" w:rsidR="00C83E0A" w:rsidRPr="007928E6" w:rsidRDefault="00C83E0A" w:rsidP="00C83E0A">
            <w:pPr>
              <w:rPr>
                <w:sz w:val="20"/>
                <w:szCs w:val="20"/>
              </w:rPr>
            </w:pPr>
            <w:r w:rsidRPr="007928E6">
              <w:rPr>
                <w:sz w:val="20"/>
                <w:szCs w:val="20"/>
              </w:rPr>
              <w:t xml:space="preserve">TIE Group 4 </w:t>
            </w:r>
          </w:p>
        </w:tc>
        <w:tc>
          <w:tcPr>
            <w:tcW w:w="1995" w:type="dxa"/>
            <w:vAlign w:val="center"/>
          </w:tcPr>
          <w:p w14:paraId="09B1B29C" w14:textId="77777777" w:rsidR="00C83E0A" w:rsidRPr="007928E6" w:rsidRDefault="00C83E0A" w:rsidP="00C83E0A">
            <w:pPr>
              <w:jc w:val="center"/>
              <w:rPr>
                <w:sz w:val="20"/>
                <w:szCs w:val="20"/>
              </w:rPr>
            </w:pPr>
            <w:r w:rsidRPr="007928E6">
              <w:rPr>
                <w:sz w:val="20"/>
                <w:szCs w:val="20"/>
              </w:rPr>
              <w:t>0.0022</w:t>
            </w:r>
          </w:p>
        </w:tc>
        <w:tc>
          <w:tcPr>
            <w:tcW w:w="3391" w:type="dxa"/>
            <w:vAlign w:val="center"/>
          </w:tcPr>
          <w:p w14:paraId="011DC39F" w14:textId="77777777" w:rsidR="00C83E0A" w:rsidRPr="007928E6" w:rsidRDefault="00C83E0A" w:rsidP="00C83E0A">
            <w:pPr>
              <w:jc w:val="center"/>
              <w:rPr>
                <w:sz w:val="20"/>
                <w:szCs w:val="20"/>
              </w:rPr>
            </w:pPr>
            <w:r w:rsidRPr="007928E6">
              <w:rPr>
                <w:sz w:val="20"/>
                <w:szCs w:val="20"/>
              </w:rPr>
              <w:t>-0.0020, 0.0063</w:t>
            </w:r>
          </w:p>
        </w:tc>
      </w:tr>
      <w:tr w:rsidR="00C83E0A" w:rsidRPr="007928E6" w14:paraId="0A648CB0" w14:textId="77777777" w:rsidTr="00C83E0A">
        <w:tc>
          <w:tcPr>
            <w:tcW w:w="9497" w:type="dxa"/>
            <w:gridSpan w:val="3"/>
          </w:tcPr>
          <w:p w14:paraId="39FF18BB" w14:textId="77777777" w:rsidR="00C83E0A" w:rsidRPr="007928E6" w:rsidRDefault="00C83E0A" w:rsidP="00C83E0A">
            <w:pPr>
              <w:rPr>
                <w:b/>
                <w:bCs/>
                <w:sz w:val="20"/>
                <w:szCs w:val="20"/>
              </w:rPr>
            </w:pPr>
            <w:r w:rsidRPr="007928E6">
              <w:rPr>
                <w:b/>
                <w:bCs/>
                <w:sz w:val="20"/>
                <w:szCs w:val="20"/>
              </w:rPr>
              <w:t>Confounders</w:t>
            </w:r>
          </w:p>
        </w:tc>
      </w:tr>
      <w:tr w:rsidR="00C83E0A" w:rsidRPr="007928E6" w14:paraId="2C485EBD" w14:textId="77777777" w:rsidTr="00C83E0A">
        <w:trPr>
          <w:trHeight w:val="283"/>
        </w:trPr>
        <w:tc>
          <w:tcPr>
            <w:tcW w:w="4111" w:type="dxa"/>
          </w:tcPr>
          <w:p w14:paraId="4E75EBBE" w14:textId="77777777" w:rsidR="00C83E0A" w:rsidRPr="007928E6" w:rsidRDefault="00C83E0A" w:rsidP="00C83E0A">
            <w:pPr>
              <w:rPr>
                <w:b/>
                <w:bCs/>
                <w:sz w:val="20"/>
                <w:szCs w:val="20"/>
              </w:rPr>
            </w:pPr>
            <w:r w:rsidRPr="007928E6">
              <w:rPr>
                <w:b/>
                <w:bCs/>
                <w:sz w:val="20"/>
                <w:szCs w:val="20"/>
              </w:rPr>
              <w:t>Age</w:t>
            </w:r>
          </w:p>
        </w:tc>
        <w:tc>
          <w:tcPr>
            <w:tcW w:w="1995" w:type="dxa"/>
            <w:vAlign w:val="center"/>
          </w:tcPr>
          <w:p w14:paraId="1CE1AD85" w14:textId="77777777" w:rsidR="00C83E0A" w:rsidRPr="007928E6" w:rsidRDefault="00C83E0A" w:rsidP="00C83E0A">
            <w:pPr>
              <w:jc w:val="center"/>
              <w:rPr>
                <w:sz w:val="20"/>
                <w:szCs w:val="20"/>
              </w:rPr>
            </w:pPr>
            <w:r w:rsidRPr="007928E6">
              <w:rPr>
                <w:sz w:val="20"/>
                <w:szCs w:val="20"/>
              </w:rPr>
              <w:t>-0.0117</w:t>
            </w:r>
          </w:p>
        </w:tc>
        <w:tc>
          <w:tcPr>
            <w:tcW w:w="3391" w:type="dxa"/>
            <w:vAlign w:val="center"/>
          </w:tcPr>
          <w:p w14:paraId="18CA8476" w14:textId="77777777" w:rsidR="00C83E0A" w:rsidRPr="007928E6" w:rsidRDefault="00C83E0A" w:rsidP="00C83E0A">
            <w:pPr>
              <w:jc w:val="center"/>
              <w:rPr>
                <w:sz w:val="20"/>
                <w:szCs w:val="20"/>
              </w:rPr>
            </w:pPr>
            <w:r w:rsidRPr="007928E6">
              <w:rPr>
                <w:sz w:val="20"/>
                <w:szCs w:val="20"/>
              </w:rPr>
              <w:t>-0.0194, -0.0039</w:t>
            </w:r>
          </w:p>
        </w:tc>
      </w:tr>
      <w:tr w:rsidR="00C83E0A" w:rsidRPr="007928E6" w14:paraId="67333766" w14:textId="77777777" w:rsidTr="00C83E0A">
        <w:tc>
          <w:tcPr>
            <w:tcW w:w="4111" w:type="dxa"/>
          </w:tcPr>
          <w:p w14:paraId="6F673127" w14:textId="77777777" w:rsidR="00C83E0A" w:rsidRPr="007928E6" w:rsidRDefault="00C83E0A" w:rsidP="00C83E0A">
            <w:pPr>
              <w:rPr>
                <w:b/>
                <w:bCs/>
                <w:sz w:val="20"/>
                <w:szCs w:val="20"/>
              </w:rPr>
            </w:pPr>
            <w:r w:rsidRPr="007928E6">
              <w:rPr>
                <w:b/>
                <w:bCs/>
                <w:sz w:val="20"/>
                <w:szCs w:val="20"/>
              </w:rPr>
              <w:t>City</w:t>
            </w:r>
          </w:p>
          <w:p w14:paraId="64D5A3B8" w14:textId="77777777" w:rsidR="00C83E0A" w:rsidRPr="007928E6" w:rsidRDefault="00C83E0A" w:rsidP="00C83E0A">
            <w:pPr>
              <w:rPr>
                <w:sz w:val="20"/>
                <w:szCs w:val="20"/>
              </w:rPr>
            </w:pPr>
            <w:r w:rsidRPr="007928E6">
              <w:rPr>
                <w:sz w:val="20"/>
                <w:szCs w:val="20"/>
              </w:rPr>
              <w:t>Montreal</w:t>
            </w:r>
          </w:p>
          <w:p w14:paraId="72F6C21A" w14:textId="77777777" w:rsidR="00C83E0A" w:rsidRPr="007928E6" w:rsidRDefault="00C83E0A" w:rsidP="00C83E0A">
            <w:pPr>
              <w:rPr>
                <w:sz w:val="20"/>
                <w:szCs w:val="20"/>
              </w:rPr>
            </w:pPr>
            <w:r w:rsidRPr="007928E6">
              <w:rPr>
                <w:sz w:val="20"/>
                <w:szCs w:val="20"/>
              </w:rPr>
              <w:t>Toronto</w:t>
            </w:r>
          </w:p>
          <w:p w14:paraId="7F814DBC" w14:textId="77777777" w:rsidR="00C83E0A" w:rsidRPr="007928E6" w:rsidRDefault="00C83E0A" w:rsidP="00C83E0A">
            <w:pPr>
              <w:rPr>
                <w:sz w:val="20"/>
                <w:szCs w:val="20"/>
              </w:rPr>
            </w:pPr>
            <w:r w:rsidRPr="007928E6">
              <w:rPr>
                <w:sz w:val="20"/>
                <w:szCs w:val="20"/>
              </w:rPr>
              <w:t>Vancouver</w:t>
            </w:r>
          </w:p>
        </w:tc>
        <w:tc>
          <w:tcPr>
            <w:tcW w:w="1995" w:type="dxa"/>
            <w:vAlign w:val="center"/>
          </w:tcPr>
          <w:p w14:paraId="1E9033E3" w14:textId="77777777" w:rsidR="00C83E0A" w:rsidRPr="007928E6" w:rsidRDefault="00C83E0A" w:rsidP="00C83E0A">
            <w:pPr>
              <w:jc w:val="center"/>
              <w:rPr>
                <w:sz w:val="20"/>
                <w:szCs w:val="20"/>
              </w:rPr>
            </w:pPr>
          </w:p>
          <w:p w14:paraId="1D23586B" w14:textId="77777777" w:rsidR="00C83E0A" w:rsidRPr="007928E6" w:rsidRDefault="00C83E0A" w:rsidP="00C83E0A">
            <w:pPr>
              <w:jc w:val="center"/>
              <w:rPr>
                <w:sz w:val="20"/>
                <w:szCs w:val="20"/>
              </w:rPr>
            </w:pPr>
            <w:r w:rsidRPr="007928E6">
              <w:rPr>
                <w:sz w:val="20"/>
                <w:szCs w:val="20"/>
              </w:rPr>
              <w:t>Reference</w:t>
            </w:r>
          </w:p>
          <w:p w14:paraId="7003C940" w14:textId="77777777" w:rsidR="00C83E0A" w:rsidRPr="007928E6" w:rsidRDefault="00C83E0A" w:rsidP="00C83E0A">
            <w:pPr>
              <w:jc w:val="center"/>
              <w:rPr>
                <w:sz w:val="20"/>
                <w:szCs w:val="20"/>
              </w:rPr>
            </w:pPr>
            <w:r w:rsidRPr="007928E6">
              <w:rPr>
                <w:sz w:val="20"/>
                <w:szCs w:val="20"/>
              </w:rPr>
              <w:t>0.3194</w:t>
            </w:r>
          </w:p>
          <w:p w14:paraId="5C4C87EC" w14:textId="77777777" w:rsidR="00C83E0A" w:rsidRPr="007928E6" w:rsidRDefault="00C83E0A" w:rsidP="00C83E0A">
            <w:pPr>
              <w:jc w:val="center"/>
              <w:rPr>
                <w:sz w:val="20"/>
                <w:szCs w:val="20"/>
              </w:rPr>
            </w:pPr>
            <w:r w:rsidRPr="007928E6">
              <w:rPr>
                <w:sz w:val="20"/>
                <w:szCs w:val="20"/>
              </w:rPr>
              <w:t>0.2003</w:t>
            </w:r>
          </w:p>
        </w:tc>
        <w:tc>
          <w:tcPr>
            <w:tcW w:w="3391" w:type="dxa"/>
            <w:vAlign w:val="center"/>
          </w:tcPr>
          <w:p w14:paraId="7F074352" w14:textId="77777777" w:rsidR="00C83E0A" w:rsidRPr="007928E6" w:rsidRDefault="00C83E0A" w:rsidP="00C83E0A">
            <w:pPr>
              <w:jc w:val="center"/>
              <w:rPr>
                <w:sz w:val="20"/>
                <w:szCs w:val="20"/>
              </w:rPr>
            </w:pPr>
          </w:p>
          <w:p w14:paraId="54AE91C8" w14:textId="77777777" w:rsidR="00C83E0A" w:rsidRPr="007928E6" w:rsidRDefault="00C83E0A" w:rsidP="00C83E0A">
            <w:pPr>
              <w:jc w:val="center"/>
              <w:rPr>
                <w:sz w:val="20"/>
                <w:szCs w:val="20"/>
              </w:rPr>
            </w:pPr>
            <w:r w:rsidRPr="007928E6">
              <w:rPr>
                <w:sz w:val="20"/>
                <w:szCs w:val="20"/>
              </w:rPr>
              <w:t>-</w:t>
            </w:r>
          </w:p>
          <w:p w14:paraId="481B7C33" w14:textId="77777777" w:rsidR="00C83E0A" w:rsidRPr="007928E6" w:rsidRDefault="00C83E0A" w:rsidP="00C83E0A">
            <w:pPr>
              <w:jc w:val="center"/>
              <w:rPr>
                <w:sz w:val="20"/>
                <w:szCs w:val="20"/>
              </w:rPr>
            </w:pPr>
            <w:r w:rsidRPr="007928E6">
              <w:rPr>
                <w:sz w:val="20"/>
                <w:szCs w:val="20"/>
              </w:rPr>
              <w:t>0.0690, 0.5609</w:t>
            </w:r>
          </w:p>
          <w:p w14:paraId="6178827F" w14:textId="77777777" w:rsidR="00C83E0A" w:rsidRPr="007928E6" w:rsidRDefault="00C83E0A" w:rsidP="00C83E0A">
            <w:pPr>
              <w:jc w:val="center"/>
              <w:rPr>
                <w:sz w:val="20"/>
                <w:szCs w:val="20"/>
              </w:rPr>
            </w:pPr>
            <w:r w:rsidRPr="007928E6">
              <w:rPr>
                <w:sz w:val="20"/>
                <w:szCs w:val="20"/>
              </w:rPr>
              <w:t>-0.0226, 0.4141</w:t>
            </w:r>
          </w:p>
        </w:tc>
      </w:tr>
      <w:tr w:rsidR="00C83E0A" w:rsidRPr="007928E6" w14:paraId="6EAEA79A" w14:textId="77777777" w:rsidTr="00C83E0A">
        <w:tc>
          <w:tcPr>
            <w:tcW w:w="4111" w:type="dxa"/>
          </w:tcPr>
          <w:p w14:paraId="32E12829" w14:textId="77777777" w:rsidR="00C83E0A" w:rsidRPr="007928E6" w:rsidRDefault="00C83E0A" w:rsidP="00C83E0A">
            <w:pPr>
              <w:rPr>
                <w:b/>
                <w:bCs/>
                <w:sz w:val="20"/>
                <w:szCs w:val="20"/>
              </w:rPr>
            </w:pPr>
            <w:r w:rsidRPr="007928E6">
              <w:rPr>
                <w:b/>
                <w:bCs/>
                <w:sz w:val="20"/>
                <w:szCs w:val="20"/>
              </w:rPr>
              <w:t>Canadian citizenship</w:t>
            </w:r>
          </w:p>
          <w:p w14:paraId="02CE7A26" w14:textId="77777777" w:rsidR="00C83E0A" w:rsidRPr="007928E6" w:rsidRDefault="00C83E0A" w:rsidP="00C83E0A">
            <w:pPr>
              <w:rPr>
                <w:sz w:val="20"/>
                <w:szCs w:val="20"/>
              </w:rPr>
            </w:pPr>
            <w:r w:rsidRPr="007928E6">
              <w:rPr>
                <w:sz w:val="20"/>
                <w:szCs w:val="20"/>
              </w:rPr>
              <w:t>Yes</w:t>
            </w:r>
          </w:p>
          <w:p w14:paraId="4630C1B2" w14:textId="77777777" w:rsidR="00C83E0A" w:rsidRPr="007928E6" w:rsidRDefault="00C83E0A" w:rsidP="00C83E0A">
            <w:pPr>
              <w:rPr>
                <w:sz w:val="20"/>
                <w:szCs w:val="20"/>
              </w:rPr>
            </w:pPr>
            <w:r w:rsidRPr="007928E6">
              <w:rPr>
                <w:sz w:val="20"/>
                <w:szCs w:val="20"/>
              </w:rPr>
              <w:t>No</w:t>
            </w:r>
          </w:p>
        </w:tc>
        <w:tc>
          <w:tcPr>
            <w:tcW w:w="1995" w:type="dxa"/>
            <w:vAlign w:val="center"/>
          </w:tcPr>
          <w:p w14:paraId="5783A4DA" w14:textId="77777777" w:rsidR="00C83E0A" w:rsidRPr="007928E6" w:rsidRDefault="00C83E0A" w:rsidP="00C83E0A">
            <w:pPr>
              <w:jc w:val="center"/>
              <w:rPr>
                <w:sz w:val="20"/>
                <w:szCs w:val="20"/>
              </w:rPr>
            </w:pPr>
          </w:p>
          <w:p w14:paraId="70583235" w14:textId="77777777" w:rsidR="00C83E0A" w:rsidRPr="007928E6" w:rsidRDefault="00C83E0A" w:rsidP="00C83E0A">
            <w:pPr>
              <w:jc w:val="center"/>
              <w:rPr>
                <w:sz w:val="20"/>
                <w:szCs w:val="20"/>
              </w:rPr>
            </w:pPr>
            <w:r w:rsidRPr="007928E6">
              <w:rPr>
                <w:sz w:val="20"/>
                <w:szCs w:val="20"/>
              </w:rPr>
              <w:t>Reference</w:t>
            </w:r>
          </w:p>
          <w:p w14:paraId="028B147E" w14:textId="77777777" w:rsidR="00C83E0A" w:rsidRPr="007928E6" w:rsidRDefault="00C83E0A" w:rsidP="00C83E0A">
            <w:pPr>
              <w:jc w:val="center"/>
              <w:rPr>
                <w:sz w:val="20"/>
                <w:szCs w:val="20"/>
              </w:rPr>
            </w:pPr>
            <w:r w:rsidRPr="007928E6">
              <w:rPr>
                <w:sz w:val="20"/>
                <w:szCs w:val="20"/>
              </w:rPr>
              <w:t>-0.5479</w:t>
            </w:r>
          </w:p>
        </w:tc>
        <w:tc>
          <w:tcPr>
            <w:tcW w:w="3391" w:type="dxa"/>
            <w:vAlign w:val="center"/>
          </w:tcPr>
          <w:p w14:paraId="2C9DD55B" w14:textId="77777777" w:rsidR="00C83E0A" w:rsidRPr="007928E6" w:rsidRDefault="00C83E0A" w:rsidP="00C83E0A">
            <w:pPr>
              <w:jc w:val="center"/>
              <w:rPr>
                <w:sz w:val="20"/>
                <w:szCs w:val="20"/>
              </w:rPr>
            </w:pPr>
          </w:p>
          <w:p w14:paraId="3E0EC4A6" w14:textId="77777777" w:rsidR="00C83E0A" w:rsidRPr="007928E6" w:rsidRDefault="00C83E0A" w:rsidP="00C83E0A">
            <w:pPr>
              <w:jc w:val="center"/>
              <w:rPr>
                <w:sz w:val="20"/>
                <w:szCs w:val="20"/>
              </w:rPr>
            </w:pPr>
            <w:r w:rsidRPr="007928E6">
              <w:rPr>
                <w:sz w:val="20"/>
                <w:szCs w:val="20"/>
              </w:rPr>
              <w:t>-</w:t>
            </w:r>
          </w:p>
          <w:p w14:paraId="579AF4D0" w14:textId="77777777" w:rsidR="00C83E0A" w:rsidRPr="007928E6" w:rsidRDefault="00C83E0A" w:rsidP="00C83E0A">
            <w:pPr>
              <w:jc w:val="center"/>
              <w:rPr>
                <w:sz w:val="20"/>
                <w:szCs w:val="20"/>
              </w:rPr>
            </w:pPr>
            <w:r w:rsidRPr="007928E6">
              <w:rPr>
                <w:sz w:val="20"/>
                <w:szCs w:val="20"/>
              </w:rPr>
              <w:t>-0.8105, -0.2733</w:t>
            </w:r>
          </w:p>
        </w:tc>
      </w:tr>
      <w:tr w:rsidR="00C83E0A" w:rsidRPr="007928E6" w14:paraId="23B1D277" w14:textId="77777777" w:rsidTr="00C83E0A">
        <w:tc>
          <w:tcPr>
            <w:tcW w:w="4111" w:type="dxa"/>
          </w:tcPr>
          <w:p w14:paraId="3D60A932" w14:textId="77777777" w:rsidR="00C83E0A" w:rsidRPr="007928E6" w:rsidRDefault="00C83E0A" w:rsidP="00C83E0A">
            <w:pPr>
              <w:rPr>
                <w:b/>
                <w:bCs/>
                <w:sz w:val="20"/>
                <w:szCs w:val="20"/>
              </w:rPr>
            </w:pPr>
            <w:r w:rsidRPr="007928E6">
              <w:rPr>
                <w:b/>
                <w:bCs/>
                <w:sz w:val="20"/>
                <w:szCs w:val="20"/>
              </w:rPr>
              <w:t xml:space="preserve">Chronic mental health condition </w:t>
            </w:r>
          </w:p>
          <w:p w14:paraId="4047AC85" w14:textId="77777777" w:rsidR="00C83E0A" w:rsidRPr="007928E6" w:rsidRDefault="00C83E0A" w:rsidP="00C83E0A">
            <w:pPr>
              <w:rPr>
                <w:sz w:val="20"/>
                <w:szCs w:val="20"/>
              </w:rPr>
            </w:pPr>
            <w:r w:rsidRPr="007928E6">
              <w:rPr>
                <w:sz w:val="20"/>
                <w:szCs w:val="20"/>
              </w:rPr>
              <w:t>Yes</w:t>
            </w:r>
          </w:p>
          <w:p w14:paraId="18B23D7D" w14:textId="77777777" w:rsidR="00C83E0A" w:rsidRPr="007928E6" w:rsidRDefault="00C83E0A" w:rsidP="00C83E0A">
            <w:pPr>
              <w:rPr>
                <w:sz w:val="20"/>
                <w:szCs w:val="20"/>
              </w:rPr>
            </w:pPr>
            <w:r w:rsidRPr="007928E6">
              <w:rPr>
                <w:sz w:val="20"/>
                <w:szCs w:val="20"/>
              </w:rPr>
              <w:t>No</w:t>
            </w:r>
          </w:p>
        </w:tc>
        <w:tc>
          <w:tcPr>
            <w:tcW w:w="1995" w:type="dxa"/>
            <w:vAlign w:val="center"/>
          </w:tcPr>
          <w:p w14:paraId="08EDAFB7" w14:textId="77777777" w:rsidR="00C83E0A" w:rsidRPr="007928E6" w:rsidRDefault="00C83E0A" w:rsidP="00C83E0A">
            <w:pPr>
              <w:jc w:val="center"/>
              <w:rPr>
                <w:sz w:val="20"/>
                <w:szCs w:val="20"/>
              </w:rPr>
            </w:pPr>
          </w:p>
          <w:p w14:paraId="217AC803" w14:textId="77777777" w:rsidR="00C83E0A" w:rsidRPr="007928E6" w:rsidRDefault="00C83E0A" w:rsidP="00C83E0A">
            <w:pPr>
              <w:jc w:val="center"/>
              <w:rPr>
                <w:sz w:val="20"/>
                <w:szCs w:val="20"/>
              </w:rPr>
            </w:pPr>
            <w:r w:rsidRPr="007928E6">
              <w:rPr>
                <w:sz w:val="20"/>
                <w:szCs w:val="20"/>
              </w:rPr>
              <w:t>0.5124</w:t>
            </w:r>
          </w:p>
          <w:p w14:paraId="7E57EE55" w14:textId="77777777" w:rsidR="00C83E0A" w:rsidRPr="007928E6" w:rsidRDefault="00C83E0A" w:rsidP="00C83E0A">
            <w:pPr>
              <w:jc w:val="center"/>
              <w:rPr>
                <w:sz w:val="20"/>
                <w:szCs w:val="20"/>
              </w:rPr>
            </w:pPr>
            <w:r w:rsidRPr="007928E6">
              <w:rPr>
                <w:sz w:val="20"/>
                <w:szCs w:val="20"/>
              </w:rPr>
              <w:t>Reference</w:t>
            </w:r>
          </w:p>
        </w:tc>
        <w:tc>
          <w:tcPr>
            <w:tcW w:w="3391" w:type="dxa"/>
            <w:vAlign w:val="center"/>
          </w:tcPr>
          <w:p w14:paraId="0E5F2B84" w14:textId="77777777" w:rsidR="00C83E0A" w:rsidRPr="007928E6" w:rsidRDefault="00C83E0A" w:rsidP="00C83E0A">
            <w:pPr>
              <w:jc w:val="center"/>
              <w:rPr>
                <w:sz w:val="20"/>
                <w:szCs w:val="20"/>
              </w:rPr>
            </w:pPr>
          </w:p>
          <w:p w14:paraId="74152B82" w14:textId="77777777" w:rsidR="00C83E0A" w:rsidRPr="007928E6" w:rsidRDefault="00C83E0A" w:rsidP="00C83E0A">
            <w:pPr>
              <w:jc w:val="center"/>
              <w:rPr>
                <w:sz w:val="20"/>
                <w:szCs w:val="20"/>
              </w:rPr>
            </w:pPr>
            <w:r w:rsidRPr="007928E6">
              <w:rPr>
                <w:sz w:val="20"/>
                <w:szCs w:val="20"/>
              </w:rPr>
              <w:t>0.3144, 0.7070</w:t>
            </w:r>
          </w:p>
          <w:p w14:paraId="6B332225" w14:textId="77777777" w:rsidR="00C83E0A" w:rsidRPr="007928E6" w:rsidRDefault="00C83E0A" w:rsidP="00C83E0A">
            <w:pPr>
              <w:jc w:val="center"/>
              <w:rPr>
                <w:sz w:val="20"/>
                <w:szCs w:val="20"/>
              </w:rPr>
            </w:pPr>
            <w:r w:rsidRPr="007928E6">
              <w:rPr>
                <w:sz w:val="20"/>
                <w:szCs w:val="20"/>
              </w:rPr>
              <w:t>-</w:t>
            </w:r>
          </w:p>
        </w:tc>
      </w:tr>
      <w:tr w:rsidR="00C83E0A" w:rsidRPr="007928E6" w14:paraId="2C44FF6B" w14:textId="77777777" w:rsidTr="00C83E0A">
        <w:tc>
          <w:tcPr>
            <w:tcW w:w="4111" w:type="dxa"/>
          </w:tcPr>
          <w:p w14:paraId="77E3DDCB" w14:textId="77777777" w:rsidR="00C83E0A" w:rsidRPr="007928E6" w:rsidRDefault="00C83E0A" w:rsidP="00C83E0A">
            <w:pPr>
              <w:rPr>
                <w:b/>
                <w:bCs/>
                <w:sz w:val="20"/>
                <w:szCs w:val="20"/>
              </w:rPr>
            </w:pPr>
            <w:r w:rsidRPr="007928E6">
              <w:rPr>
                <w:b/>
                <w:bCs/>
                <w:sz w:val="20"/>
                <w:szCs w:val="20"/>
              </w:rPr>
              <w:t xml:space="preserve">Cisgender </w:t>
            </w:r>
          </w:p>
          <w:p w14:paraId="7BC0A848" w14:textId="77777777" w:rsidR="00C83E0A" w:rsidRPr="007928E6" w:rsidRDefault="00C83E0A" w:rsidP="00C83E0A">
            <w:pPr>
              <w:rPr>
                <w:sz w:val="20"/>
                <w:szCs w:val="20"/>
              </w:rPr>
            </w:pPr>
            <w:r w:rsidRPr="007928E6">
              <w:rPr>
                <w:sz w:val="20"/>
                <w:szCs w:val="20"/>
              </w:rPr>
              <w:t>Yes</w:t>
            </w:r>
          </w:p>
          <w:p w14:paraId="2904D5F5" w14:textId="77777777" w:rsidR="00C83E0A" w:rsidRPr="007928E6" w:rsidRDefault="00C83E0A" w:rsidP="00C83E0A">
            <w:pPr>
              <w:rPr>
                <w:sz w:val="20"/>
                <w:szCs w:val="20"/>
              </w:rPr>
            </w:pPr>
            <w:r w:rsidRPr="007928E6">
              <w:rPr>
                <w:sz w:val="20"/>
                <w:szCs w:val="20"/>
              </w:rPr>
              <w:t>No</w:t>
            </w:r>
          </w:p>
        </w:tc>
        <w:tc>
          <w:tcPr>
            <w:tcW w:w="1995" w:type="dxa"/>
            <w:vAlign w:val="center"/>
          </w:tcPr>
          <w:p w14:paraId="3990DEF6" w14:textId="77777777" w:rsidR="00C83E0A" w:rsidRPr="007928E6" w:rsidRDefault="00C83E0A" w:rsidP="00C83E0A">
            <w:pPr>
              <w:jc w:val="center"/>
              <w:rPr>
                <w:sz w:val="20"/>
                <w:szCs w:val="20"/>
              </w:rPr>
            </w:pPr>
          </w:p>
          <w:p w14:paraId="05C65DBC" w14:textId="77777777" w:rsidR="00C83E0A" w:rsidRPr="007928E6" w:rsidRDefault="00C83E0A" w:rsidP="00C83E0A">
            <w:pPr>
              <w:jc w:val="center"/>
              <w:rPr>
                <w:sz w:val="20"/>
                <w:szCs w:val="20"/>
              </w:rPr>
            </w:pPr>
            <w:r w:rsidRPr="007928E6">
              <w:rPr>
                <w:sz w:val="20"/>
                <w:szCs w:val="20"/>
              </w:rPr>
              <w:t>-0.7669</w:t>
            </w:r>
          </w:p>
          <w:p w14:paraId="2606AB06" w14:textId="77777777" w:rsidR="00C83E0A" w:rsidRPr="007928E6" w:rsidRDefault="00C83E0A" w:rsidP="00C83E0A">
            <w:pPr>
              <w:jc w:val="center"/>
              <w:rPr>
                <w:sz w:val="20"/>
                <w:szCs w:val="20"/>
              </w:rPr>
            </w:pPr>
            <w:r w:rsidRPr="007928E6">
              <w:rPr>
                <w:sz w:val="20"/>
                <w:szCs w:val="20"/>
              </w:rPr>
              <w:t>Reference</w:t>
            </w:r>
          </w:p>
        </w:tc>
        <w:tc>
          <w:tcPr>
            <w:tcW w:w="3391" w:type="dxa"/>
            <w:vAlign w:val="center"/>
          </w:tcPr>
          <w:p w14:paraId="68DBC1B8" w14:textId="77777777" w:rsidR="00C83E0A" w:rsidRPr="007928E6" w:rsidRDefault="00C83E0A" w:rsidP="00C83E0A">
            <w:pPr>
              <w:jc w:val="center"/>
              <w:rPr>
                <w:sz w:val="20"/>
                <w:szCs w:val="20"/>
              </w:rPr>
            </w:pPr>
          </w:p>
          <w:p w14:paraId="51A3A70E" w14:textId="77777777" w:rsidR="00C83E0A" w:rsidRPr="007928E6" w:rsidRDefault="00C83E0A" w:rsidP="00C83E0A">
            <w:pPr>
              <w:jc w:val="center"/>
              <w:rPr>
                <w:sz w:val="20"/>
                <w:szCs w:val="20"/>
              </w:rPr>
            </w:pPr>
            <w:r w:rsidRPr="007928E6">
              <w:rPr>
                <w:sz w:val="20"/>
                <w:szCs w:val="20"/>
              </w:rPr>
              <w:t>-1.1477, -0.3905</w:t>
            </w:r>
          </w:p>
          <w:p w14:paraId="0E4C9D8E" w14:textId="77777777" w:rsidR="00C83E0A" w:rsidRPr="007928E6" w:rsidRDefault="00C83E0A" w:rsidP="00C83E0A">
            <w:pPr>
              <w:jc w:val="center"/>
              <w:rPr>
                <w:sz w:val="20"/>
                <w:szCs w:val="20"/>
              </w:rPr>
            </w:pPr>
            <w:r w:rsidRPr="007928E6">
              <w:rPr>
                <w:sz w:val="20"/>
                <w:szCs w:val="20"/>
              </w:rPr>
              <w:t>-</w:t>
            </w:r>
          </w:p>
        </w:tc>
      </w:tr>
      <w:tr w:rsidR="00C83E0A" w:rsidRPr="007928E6" w14:paraId="409EADA9" w14:textId="77777777" w:rsidTr="00C83E0A">
        <w:tc>
          <w:tcPr>
            <w:tcW w:w="9497" w:type="dxa"/>
            <w:gridSpan w:val="3"/>
          </w:tcPr>
          <w:p w14:paraId="6E077380" w14:textId="77777777" w:rsidR="00C83E0A" w:rsidRPr="007928E6" w:rsidRDefault="00C83E0A" w:rsidP="00C83E0A">
            <w:pPr>
              <w:rPr>
                <w:sz w:val="20"/>
                <w:szCs w:val="20"/>
              </w:rPr>
            </w:pPr>
            <w:r w:rsidRPr="007928E6">
              <w:rPr>
                <w:b/>
                <w:bCs/>
                <w:sz w:val="20"/>
                <w:szCs w:val="20"/>
              </w:rPr>
              <w:t>Group 2</w:t>
            </w:r>
            <w:r w:rsidRPr="007928E6">
              <w:rPr>
                <w:sz w:val="20"/>
                <w:szCs w:val="20"/>
              </w:rPr>
              <w:t xml:space="preserve">: White living with HIV, </w:t>
            </w:r>
            <w:r w:rsidRPr="007928E6">
              <w:rPr>
                <w:b/>
                <w:bCs/>
                <w:sz w:val="20"/>
                <w:szCs w:val="20"/>
              </w:rPr>
              <w:t>Group 3</w:t>
            </w:r>
            <w:r w:rsidRPr="007928E6">
              <w:rPr>
                <w:sz w:val="20"/>
                <w:szCs w:val="20"/>
              </w:rPr>
              <w:t xml:space="preserve">: Racialized HIV-negative, </w:t>
            </w:r>
            <w:r w:rsidRPr="007928E6">
              <w:rPr>
                <w:b/>
                <w:bCs/>
                <w:sz w:val="20"/>
                <w:szCs w:val="20"/>
              </w:rPr>
              <w:t>Group 4</w:t>
            </w:r>
            <w:r w:rsidRPr="007928E6">
              <w:rPr>
                <w:sz w:val="20"/>
                <w:szCs w:val="20"/>
              </w:rPr>
              <w:t>: Racialized living with HIV</w:t>
            </w:r>
          </w:p>
          <w:p w14:paraId="2EE6E837" w14:textId="77777777" w:rsidR="00C83E0A" w:rsidRPr="007928E6" w:rsidRDefault="00C83E0A" w:rsidP="00C83E0A">
            <w:pPr>
              <w:rPr>
                <w:sz w:val="20"/>
                <w:szCs w:val="20"/>
              </w:rPr>
            </w:pPr>
            <w:proofErr w:type="spellStart"/>
            <w:r w:rsidRPr="007928E6">
              <w:rPr>
                <w:sz w:val="20"/>
                <w:szCs w:val="20"/>
                <w:vertAlign w:val="superscript"/>
              </w:rPr>
              <w:t>a</w:t>
            </w:r>
            <w:r w:rsidRPr="007928E6">
              <w:rPr>
                <w:sz w:val="20"/>
                <w:szCs w:val="20"/>
              </w:rPr>
              <w:t>Normal</w:t>
            </w:r>
            <w:proofErr w:type="spellEnd"/>
            <w:r w:rsidRPr="007928E6">
              <w:rPr>
                <w:sz w:val="20"/>
                <w:szCs w:val="20"/>
              </w:rPr>
              <w:t xml:space="preserve"> approximation bootstrap confidence intervals based on 1000 bootstrap </w:t>
            </w:r>
            <w:proofErr w:type="gramStart"/>
            <w:r w:rsidRPr="007928E6">
              <w:rPr>
                <w:sz w:val="20"/>
                <w:szCs w:val="20"/>
              </w:rPr>
              <w:t>samples</w:t>
            </w:r>
            <w:proofErr w:type="gramEnd"/>
          </w:p>
          <w:p w14:paraId="6B67636A" w14:textId="77777777" w:rsidR="00C83E0A" w:rsidRPr="007928E6" w:rsidRDefault="00C83E0A" w:rsidP="00C83E0A">
            <w:pPr>
              <w:rPr>
                <w:sz w:val="20"/>
                <w:szCs w:val="20"/>
              </w:rPr>
            </w:pPr>
            <w:r w:rsidRPr="007928E6">
              <w:rPr>
                <w:b/>
                <w:bCs/>
                <w:sz w:val="20"/>
                <w:szCs w:val="20"/>
              </w:rPr>
              <w:t>PDE:</w:t>
            </w:r>
            <w:r w:rsidRPr="007928E6">
              <w:rPr>
                <w:sz w:val="20"/>
                <w:szCs w:val="20"/>
              </w:rPr>
              <w:t xml:space="preserve"> Pure direct effect, </w:t>
            </w:r>
            <w:r w:rsidRPr="007928E6">
              <w:rPr>
                <w:b/>
                <w:bCs/>
                <w:sz w:val="20"/>
                <w:szCs w:val="20"/>
              </w:rPr>
              <w:t>PIE:</w:t>
            </w:r>
            <w:r w:rsidRPr="007928E6">
              <w:rPr>
                <w:sz w:val="20"/>
                <w:szCs w:val="20"/>
              </w:rPr>
              <w:t xml:space="preserve"> Pure indirect effect, </w:t>
            </w:r>
            <w:r w:rsidRPr="007928E6">
              <w:rPr>
                <w:b/>
                <w:bCs/>
                <w:sz w:val="20"/>
                <w:szCs w:val="20"/>
              </w:rPr>
              <w:t>MIE:</w:t>
            </w:r>
            <w:r w:rsidRPr="007928E6">
              <w:rPr>
                <w:sz w:val="20"/>
                <w:szCs w:val="20"/>
              </w:rPr>
              <w:t xml:space="preserve"> Mediated interaction effect, </w:t>
            </w:r>
            <w:r w:rsidRPr="007928E6">
              <w:rPr>
                <w:b/>
                <w:bCs/>
                <w:sz w:val="20"/>
                <w:szCs w:val="20"/>
              </w:rPr>
              <w:t>TIE:</w:t>
            </w:r>
            <w:r w:rsidRPr="007928E6">
              <w:rPr>
                <w:sz w:val="20"/>
                <w:szCs w:val="20"/>
              </w:rPr>
              <w:t xml:space="preserve"> Total indirect effect obtained by adding the PIE and MIE for each respective group.</w:t>
            </w:r>
          </w:p>
          <w:p w14:paraId="785DC6C0" w14:textId="77777777" w:rsidR="00C83E0A" w:rsidRPr="007928E6" w:rsidRDefault="00C83E0A" w:rsidP="00C83E0A">
            <w:pPr>
              <w:rPr>
                <w:sz w:val="20"/>
                <w:szCs w:val="20"/>
              </w:rPr>
            </w:pPr>
            <w:r w:rsidRPr="007928E6">
              <w:rPr>
                <w:sz w:val="20"/>
                <w:szCs w:val="20"/>
              </w:rPr>
              <w:t>Note that using the TIE (without decomposing it to PIE and MIE) assumes that there is no interaction between the exposure and the mediator – i.e., the effect of the mediator on the outcome for all exposure groups is comparable. While this may be mathematically plausible for a given dataset (e.g., in our case where the MIEs are not statistically significant), it is in contradiction to an intersectionality-based theoretical approach which emphasizes the importance of historical and social contexts in shaping experiences of people located at different social intersections. It is also important to consider that interaction effects do frequently suffer from low statistical power and that the absence of statistical significance may be indicative a lack of power rather than a lack of effect.</w:t>
            </w:r>
          </w:p>
        </w:tc>
      </w:tr>
    </w:tbl>
    <w:p w14:paraId="67035F80" w14:textId="6B60E454" w:rsidR="007E3B79" w:rsidRPr="007928E6" w:rsidRDefault="007E3B79" w:rsidP="007E3B79">
      <w:pPr>
        <w:jc w:val="both"/>
      </w:pPr>
      <w:r w:rsidRPr="007928E6">
        <w:t xml:space="preserve">The log odds for the estimates of the natural effect model are presented in Supplementary Table 1, including for the confounders. Since our analyses use a causal model, confounder log odds estimates are not used or presented as primary results. Doing so may result in a Table 2 fallacy </w:t>
      </w:r>
      <w:r w:rsidR="00E31F8B">
        <w:rPr>
          <w:noProof/>
        </w:rPr>
        <w:t>(Westreich and Greenland, 2013)</w:t>
      </w:r>
      <w:r w:rsidRPr="007928E6">
        <w:t xml:space="preserve">.  </w:t>
      </w:r>
    </w:p>
    <w:p w14:paraId="0D8FE93B" w14:textId="77777777" w:rsidR="002F09A4" w:rsidRPr="007928E6" w:rsidRDefault="002F09A4" w:rsidP="00732713">
      <w:pPr>
        <w:pStyle w:val="NoSpacing"/>
        <w:ind w:firstLine="720"/>
        <w:jc w:val="both"/>
        <w:rPr>
          <w:rFonts w:cstheme="minorHAnsi"/>
        </w:rPr>
        <w:sectPr w:rsidR="002F09A4" w:rsidRPr="007928E6" w:rsidSect="00C83E0A">
          <w:pgSz w:w="12240" w:h="15840"/>
          <w:pgMar w:top="720" w:right="720" w:bottom="720" w:left="720" w:header="708" w:footer="708" w:gutter="0"/>
          <w:cols w:space="708"/>
          <w:docGrid w:linePitch="360"/>
        </w:sectPr>
      </w:pPr>
    </w:p>
    <w:p w14:paraId="07EE7664" w14:textId="055A0CA1" w:rsidR="003F6961" w:rsidRPr="007928E6" w:rsidRDefault="003F6961" w:rsidP="003F6961">
      <w:pPr>
        <w:jc w:val="both"/>
      </w:pPr>
      <w:r w:rsidRPr="007928E6">
        <w:lastRenderedPageBreak/>
        <w:t>To use RDS weights in the natural effect models when data was combined across the three cities, we undertook the following procedures: First, a sum of the RDS weights was obtained separately for each city. Then, each individual participant weight for a given city was divided by the total RDS</w:t>
      </w:r>
      <w:r w:rsidR="00D56705" w:rsidRPr="007928E6">
        <w:t xml:space="preserve"> </w:t>
      </w:r>
      <w:r w:rsidRPr="007928E6">
        <w:t xml:space="preserve">weight of that city. These were then combined across the three cities and used in the natural effect model as probability weights. Normalizing the weights by city in this way ensures that the relative probability of being sampled by city is maintained while avoiding undue influence of a given city if network size varies meaningfully across cities. </w:t>
      </w:r>
    </w:p>
    <w:tbl>
      <w:tblPr>
        <w:tblStyle w:val="TableGrid"/>
        <w:tblW w:w="9815" w:type="dxa"/>
        <w:jc w:val="center"/>
        <w:tblLook w:val="04A0" w:firstRow="1" w:lastRow="0" w:firstColumn="1" w:lastColumn="0" w:noHBand="0" w:noVBand="1"/>
      </w:tblPr>
      <w:tblGrid>
        <w:gridCol w:w="3011"/>
        <w:gridCol w:w="2268"/>
        <w:gridCol w:w="2268"/>
        <w:gridCol w:w="2268"/>
      </w:tblGrid>
      <w:tr w:rsidR="003F6961" w:rsidRPr="007928E6" w14:paraId="608A3525" w14:textId="77777777" w:rsidTr="00805120">
        <w:trPr>
          <w:jc w:val="center"/>
        </w:trPr>
        <w:tc>
          <w:tcPr>
            <w:tcW w:w="9815" w:type="dxa"/>
            <w:gridSpan w:val="4"/>
          </w:tcPr>
          <w:p w14:paraId="6240870F" w14:textId="77777777" w:rsidR="003F6961" w:rsidRPr="007928E6" w:rsidRDefault="003F6961" w:rsidP="00805120">
            <w:pPr>
              <w:rPr>
                <w:b/>
                <w:bCs/>
              </w:rPr>
            </w:pPr>
            <w:r w:rsidRPr="007928E6">
              <w:rPr>
                <w:b/>
                <w:bCs/>
              </w:rPr>
              <w:t>Supplementary Table 2: Odds ratios for MHS use in the past 6 months across different intersectional categories, accounting for normalized RDS weights</w:t>
            </w:r>
          </w:p>
        </w:tc>
      </w:tr>
      <w:tr w:rsidR="003F6961" w:rsidRPr="007928E6" w14:paraId="1F30695E" w14:textId="77777777" w:rsidTr="00805120">
        <w:trPr>
          <w:jc w:val="center"/>
        </w:trPr>
        <w:tc>
          <w:tcPr>
            <w:tcW w:w="3011" w:type="dxa"/>
          </w:tcPr>
          <w:p w14:paraId="3125BF75" w14:textId="77777777" w:rsidR="003F6961" w:rsidRPr="007928E6" w:rsidRDefault="003F6961" w:rsidP="00805120">
            <w:pPr>
              <w:rPr>
                <w:u w:val="single"/>
              </w:rPr>
            </w:pPr>
          </w:p>
        </w:tc>
        <w:tc>
          <w:tcPr>
            <w:tcW w:w="2268" w:type="dxa"/>
          </w:tcPr>
          <w:p w14:paraId="102EBE61" w14:textId="77777777" w:rsidR="003F6961" w:rsidRPr="007928E6" w:rsidRDefault="003F6961" w:rsidP="00805120">
            <w:pPr>
              <w:jc w:val="center"/>
            </w:pPr>
            <w:r w:rsidRPr="007928E6">
              <w:rPr>
                <w:b/>
                <w:bCs/>
              </w:rPr>
              <w:t>Reference</w:t>
            </w:r>
            <w:r w:rsidRPr="007928E6">
              <w:t>: Group 1</w:t>
            </w:r>
          </w:p>
          <w:p w14:paraId="6C4A3EAA" w14:textId="77777777" w:rsidR="003F6961" w:rsidRPr="007928E6" w:rsidRDefault="003F6961" w:rsidP="00805120">
            <w:pPr>
              <w:jc w:val="center"/>
              <w:rPr>
                <w:u w:val="single"/>
              </w:rPr>
            </w:pPr>
            <w:r w:rsidRPr="007928E6">
              <w:rPr>
                <w:b/>
                <w:bCs/>
              </w:rPr>
              <w:t>Comparison</w:t>
            </w:r>
            <w:r w:rsidRPr="007928E6">
              <w:t>: Group 2</w:t>
            </w:r>
          </w:p>
        </w:tc>
        <w:tc>
          <w:tcPr>
            <w:tcW w:w="2268" w:type="dxa"/>
          </w:tcPr>
          <w:p w14:paraId="7752FF22" w14:textId="77777777" w:rsidR="003F6961" w:rsidRPr="007928E6" w:rsidRDefault="003F6961" w:rsidP="00805120">
            <w:pPr>
              <w:jc w:val="center"/>
            </w:pPr>
            <w:r w:rsidRPr="007928E6">
              <w:rPr>
                <w:b/>
                <w:bCs/>
              </w:rPr>
              <w:t>Reference</w:t>
            </w:r>
            <w:r w:rsidRPr="007928E6">
              <w:t>: Group 1</w:t>
            </w:r>
          </w:p>
          <w:p w14:paraId="4612B376" w14:textId="77777777" w:rsidR="003F6961" w:rsidRPr="007928E6" w:rsidRDefault="003F6961" w:rsidP="00805120">
            <w:pPr>
              <w:jc w:val="center"/>
              <w:rPr>
                <w:u w:val="single"/>
              </w:rPr>
            </w:pPr>
            <w:r w:rsidRPr="007928E6">
              <w:rPr>
                <w:b/>
                <w:bCs/>
              </w:rPr>
              <w:t>Comparison</w:t>
            </w:r>
            <w:r w:rsidRPr="007928E6">
              <w:t>: Group 3</w:t>
            </w:r>
          </w:p>
        </w:tc>
        <w:tc>
          <w:tcPr>
            <w:tcW w:w="2268" w:type="dxa"/>
          </w:tcPr>
          <w:p w14:paraId="567B964D" w14:textId="77777777" w:rsidR="003F6961" w:rsidRPr="007928E6" w:rsidRDefault="003F6961" w:rsidP="00805120">
            <w:pPr>
              <w:jc w:val="center"/>
            </w:pPr>
            <w:r w:rsidRPr="007928E6">
              <w:rPr>
                <w:b/>
                <w:bCs/>
              </w:rPr>
              <w:t>Reference</w:t>
            </w:r>
            <w:r w:rsidRPr="007928E6">
              <w:t>: Group 1</w:t>
            </w:r>
          </w:p>
          <w:p w14:paraId="5E41D90B" w14:textId="77777777" w:rsidR="003F6961" w:rsidRPr="007928E6" w:rsidRDefault="003F6961" w:rsidP="00805120">
            <w:pPr>
              <w:jc w:val="center"/>
              <w:rPr>
                <w:u w:val="single"/>
              </w:rPr>
            </w:pPr>
            <w:r w:rsidRPr="007928E6">
              <w:rPr>
                <w:b/>
                <w:bCs/>
              </w:rPr>
              <w:t>Comparison</w:t>
            </w:r>
            <w:r w:rsidRPr="007928E6">
              <w:t>: Group 4</w:t>
            </w:r>
          </w:p>
        </w:tc>
      </w:tr>
      <w:tr w:rsidR="003F6961" w:rsidRPr="007928E6" w14:paraId="384F5A7E" w14:textId="77777777" w:rsidTr="00805120">
        <w:trPr>
          <w:trHeight w:val="340"/>
          <w:jc w:val="center"/>
        </w:trPr>
        <w:tc>
          <w:tcPr>
            <w:tcW w:w="3011" w:type="dxa"/>
            <w:vAlign w:val="center"/>
          </w:tcPr>
          <w:p w14:paraId="1F4703FB" w14:textId="77777777" w:rsidR="003F6961" w:rsidRPr="007928E6" w:rsidRDefault="003F6961" w:rsidP="00805120">
            <w:pPr>
              <w:rPr>
                <w:b/>
                <w:bCs/>
              </w:rPr>
            </w:pPr>
            <w:r w:rsidRPr="007928E6">
              <w:rPr>
                <w:b/>
                <w:bCs/>
              </w:rPr>
              <w:t>Total effect</w:t>
            </w:r>
          </w:p>
        </w:tc>
        <w:tc>
          <w:tcPr>
            <w:tcW w:w="2268" w:type="dxa"/>
            <w:vAlign w:val="center"/>
          </w:tcPr>
          <w:p w14:paraId="02707CF1" w14:textId="77777777" w:rsidR="003F6961" w:rsidRPr="007928E6" w:rsidRDefault="003F6961" w:rsidP="00805120">
            <w:pPr>
              <w:jc w:val="center"/>
            </w:pPr>
            <w:r w:rsidRPr="007928E6">
              <w:t>1.71 (1.28, 2.29)</w:t>
            </w:r>
          </w:p>
        </w:tc>
        <w:tc>
          <w:tcPr>
            <w:tcW w:w="2268" w:type="dxa"/>
            <w:vAlign w:val="center"/>
          </w:tcPr>
          <w:p w14:paraId="3075EB57" w14:textId="77777777" w:rsidR="003F6961" w:rsidRPr="007928E6" w:rsidRDefault="003F6961" w:rsidP="00805120">
            <w:pPr>
              <w:jc w:val="center"/>
            </w:pPr>
            <w:r w:rsidRPr="007928E6">
              <w:t>0.95 (0.74, 1.22)</w:t>
            </w:r>
          </w:p>
        </w:tc>
        <w:tc>
          <w:tcPr>
            <w:tcW w:w="2268" w:type="dxa"/>
            <w:vAlign w:val="center"/>
          </w:tcPr>
          <w:p w14:paraId="36D22E84" w14:textId="77777777" w:rsidR="003F6961" w:rsidRPr="007928E6" w:rsidRDefault="003F6961" w:rsidP="00805120">
            <w:pPr>
              <w:jc w:val="center"/>
            </w:pPr>
            <w:r w:rsidRPr="007928E6">
              <w:t>1.23 (0.72, 2.09)</w:t>
            </w:r>
          </w:p>
        </w:tc>
      </w:tr>
      <w:tr w:rsidR="003F6961" w:rsidRPr="007928E6" w14:paraId="28A4B892" w14:textId="77777777" w:rsidTr="00805120">
        <w:trPr>
          <w:trHeight w:val="340"/>
          <w:jc w:val="center"/>
        </w:trPr>
        <w:tc>
          <w:tcPr>
            <w:tcW w:w="3011" w:type="dxa"/>
            <w:vAlign w:val="center"/>
          </w:tcPr>
          <w:p w14:paraId="574F53C3" w14:textId="77777777" w:rsidR="003F6961" w:rsidRPr="007928E6" w:rsidRDefault="003F6961" w:rsidP="00805120">
            <w:pPr>
              <w:rPr>
                <w:b/>
                <w:bCs/>
              </w:rPr>
            </w:pPr>
            <w:r w:rsidRPr="007928E6">
              <w:rPr>
                <w:b/>
                <w:bCs/>
              </w:rPr>
              <w:t>Pure direct effect</w:t>
            </w:r>
          </w:p>
        </w:tc>
        <w:tc>
          <w:tcPr>
            <w:tcW w:w="2268" w:type="dxa"/>
            <w:vAlign w:val="center"/>
          </w:tcPr>
          <w:p w14:paraId="194D3E54" w14:textId="77777777" w:rsidR="003F6961" w:rsidRPr="007928E6" w:rsidRDefault="003F6961" w:rsidP="00805120">
            <w:pPr>
              <w:jc w:val="center"/>
            </w:pPr>
            <w:r w:rsidRPr="007928E6">
              <w:t>1.68 (1.26, 2.25)</w:t>
            </w:r>
          </w:p>
        </w:tc>
        <w:tc>
          <w:tcPr>
            <w:tcW w:w="2268" w:type="dxa"/>
            <w:vAlign w:val="center"/>
          </w:tcPr>
          <w:p w14:paraId="435CD1DD" w14:textId="77777777" w:rsidR="003F6961" w:rsidRPr="007928E6" w:rsidRDefault="003F6961" w:rsidP="00805120">
            <w:pPr>
              <w:jc w:val="center"/>
            </w:pPr>
            <w:r w:rsidRPr="007928E6">
              <w:t>0.84 (0.65, 1.10)</w:t>
            </w:r>
          </w:p>
        </w:tc>
        <w:tc>
          <w:tcPr>
            <w:tcW w:w="2268" w:type="dxa"/>
            <w:vAlign w:val="center"/>
          </w:tcPr>
          <w:p w14:paraId="5AEBF1B6" w14:textId="77777777" w:rsidR="003F6961" w:rsidRPr="007928E6" w:rsidRDefault="003F6961" w:rsidP="00805120">
            <w:pPr>
              <w:jc w:val="center"/>
            </w:pPr>
            <w:r w:rsidRPr="007928E6">
              <w:t>1.23 (0.71, 2.14)</w:t>
            </w:r>
          </w:p>
        </w:tc>
      </w:tr>
      <w:tr w:rsidR="003F6961" w:rsidRPr="007928E6" w14:paraId="06476232" w14:textId="77777777" w:rsidTr="00805120">
        <w:trPr>
          <w:trHeight w:val="340"/>
          <w:jc w:val="center"/>
        </w:trPr>
        <w:tc>
          <w:tcPr>
            <w:tcW w:w="3011" w:type="dxa"/>
            <w:vAlign w:val="center"/>
          </w:tcPr>
          <w:p w14:paraId="524990A1" w14:textId="77777777" w:rsidR="003F6961" w:rsidRPr="007928E6" w:rsidRDefault="003F6961" w:rsidP="00805120">
            <w:pPr>
              <w:rPr>
                <w:b/>
                <w:bCs/>
              </w:rPr>
            </w:pPr>
            <w:r w:rsidRPr="007928E6">
              <w:rPr>
                <w:b/>
                <w:bCs/>
              </w:rPr>
              <w:t>Pure indirect effect</w:t>
            </w:r>
          </w:p>
        </w:tc>
        <w:tc>
          <w:tcPr>
            <w:tcW w:w="2268" w:type="dxa"/>
            <w:vAlign w:val="center"/>
          </w:tcPr>
          <w:p w14:paraId="6B3E574A" w14:textId="77777777" w:rsidR="003F6961" w:rsidRPr="007928E6" w:rsidRDefault="003F6961" w:rsidP="00805120">
            <w:pPr>
              <w:jc w:val="center"/>
            </w:pPr>
            <w:r w:rsidRPr="007928E6">
              <w:t>1.02 (0.98, 1.05)</w:t>
            </w:r>
          </w:p>
        </w:tc>
        <w:tc>
          <w:tcPr>
            <w:tcW w:w="2268" w:type="dxa"/>
            <w:vAlign w:val="center"/>
          </w:tcPr>
          <w:p w14:paraId="51A793D0" w14:textId="77777777" w:rsidR="003F6961" w:rsidRPr="007928E6" w:rsidRDefault="003F6961" w:rsidP="00805120">
            <w:pPr>
              <w:jc w:val="center"/>
            </w:pPr>
            <w:r w:rsidRPr="007928E6">
              <w:t>1.09 (1.02, 1.17)</w:t>
            </w:r>
          </w:p>
        </w:tc>
        <w:tc>
          <w:tcPr>
            <w:tcW w:w="2268" w:type="dxa"/>
            <w:vAlign w:val="center"/>
          </w:tcPr>
          <w:p w14:paraId="24DE7BFD" w14:textId="77777777" w:rsidR="003F6961" w:rsidRPr="007928E6" w:rsidRDefault="003F6961" w:rsidP="00805120">
            <w:pPr>
              <w:jc w:val="center"/>
            </w:pPr>
            <w:r w:rsidRPr="007928E6">
              <w:t>1.08 (1.00, 1.17)</w:t>
            </w:r>
          </w:p>
        </w:tc>
      </w:tr>
      <w:tr w:rsidR="003F6961" w:rsidRPr="007928E6" w14:paraId="63FE6E6F" w14:textId="77777777" w:rsidTr="00805120">
        <w:trPr>
          <w:jc w:val="center"/>
        </w:trPr>
        <w:tc>
          <w:tcPr>
            <w:tcW w:w="3011" w:type="dxa"/>
          </w:tcPr>
          <w:p w14:paraId="7B8EBE00" w14:textId="77777777" w:rsidR="003F6961" w:rsidRPr="007928E6" w:rsidRDefault="003F6961" w:rsidP="00805120">
            <w:pPr>
              <w:rPr>
                <w:b/>
                <w:bCs/>
              </w:rPr>
            </w:pPr>
            <w:r w:rsidRPr="007928E6">
              <w:rPr>
                <w:b/>
                <w:bCs/>
              </w:rPr>
              <w:t xml:space="preserve">Mediated interaction effect </w:t>
            </w:r>
          </w:p>
        </w:tc>
        <w:tc>
          <w:tcPr>
            <w:tcW w:w="2268" w:type="dxa"/>
            <w:vAlign w:val="center"/>
          </w:tcPr>
          <w:p w14:paraId="2E1BFBCA" w14:textId="77777777" w:rsidR="003F6961" w:rsidRPr="007928E6" w:rsidRDefault="003F6961" w:rsidP="00805120">
            <w:pPr>
              <w:jc w:val="center"/>
            </w:pPr>
            <w:r w:rsidRPr="007928E6">
              <w:t>1.00 (0.98, 1.02)</w:t>
            </w:r>
          </w:p>
        </w:tc>
        <w:tc>
          <w:tcPr>
            <w:tcW w:w="2268" w:type="dxa"/>
            <w:vAlign w:val="center"/>
          </w:tcPr>
          <w:p w14:paraId="02973C8B" w14:textId="77777777" w:rsidR="003F6961" w:rsidRPr="007928E6" w:rsidRDefault="003F6961" w:rsidP="00805120">
            <w:pPr>
              <w:jc w:val="center"/>
            </w:pPr>
            <w:r w:rsidRPr="007928E6">
              <w:t>1.04 (0.93, 1.15)</w:t>
            </w:r>
          </w:p>
        </w:tc>
        <w:tc>
          <w:tcPr>
            <w:tcW w:w="2268" w:type="dxa"/>
            <w:vAlign w:val="center"/>
          </w:tcPr>
          <w:p w14:paraId="7EFA50E5" w14:textId="77777777" w:rsidR="003F6961" w:rsidRPr="007928E6" w:rsidRDefault="003F6961" w:rsidP="00805120">
            <w:pPr>
              <w:jc w:val="center"/>
            </w:pPr>
            <w:r w:rsidRPr="007928E6">
              <w:t>0.92 (0.76, 1.13)</w:t>
            </w:r>
          </w:p>
        </w:tc>
      </w:tr>
      <w:tr w:rsidR="003F6961" w:rsidRPr="007928E6" w14:paraId="41200772" w14:textId="77777777" w:rsidTr="00805120">
        <w:trPr>
          <w:jc w:val="center"/>
        </w:trPr>
        <w:tc>
          <w:tcPr>
            <w:tcW w:w="9815" w:type="dxa"/>
            <w:gridSpan w:val="4"/>
          </w:tcPr>
          <w:p w14:paraId="32DF71DD" w14:textId="06D63DC2" w:rsidR="003F6961" w:rsidRPr="007928E6" w:rsidRDefault="003F6961" w:rsidP="00805120">
            <w:r w:rsidRPr="007928E6">
              <w:rPr>
                <w:b/>
                <w:bCs/>
              </w:rPr>
              <w:t>Confounders adjusted for in the model</w:t>
            </w:r>
            <w:r w:rsidRPr="007928E6">
              <w:t xml:space="preserve">: age, city, having a chronic mental health condition, </w:t>
            </w:r>
            <w:r w:rsidR="001264D0" w:rsidRPr="007928E6">
              <w:t>Canadian citizenship</w:t>
            </w:r>
            <w:r w:rsidRPr="007928E6">
              <w:t>, and cisgender status</w:t>
            </w:r>
          </w:p>
        </w:tc>
      </w:tr>
    </w:tbl>
    <w:p w14:paraId="1287DBFD" w14:textId="77777777" w:rsidR="00095C6D" w:rsidRPr="007928E6" w:rsidRDefault="00095C6D" w:rsidP="00732713">
      <w:pPr>
        <w:pStyle w:val="NoSpacing"/>
        <w:ind w:firstLine="720"/>
        <w:jc w:val="both"/>
        <w:rPr>
          <w:rFonts w:cstheme="minorHAnsi"/>
        </w:rPr>
      </w:pPr>
    </w:p>
    <w:p w14:paraId="420936E4" w14:textId="77777777" w:rsidR="00D56705" w:rsidRPr="007928E6" w:rsidRDefault="00D56705" w:rsidP="00732713">
      <w:pPr>
        <w:pStyle w:val="NoSpacing"/>
        <w:ind w:firstLine="720"/>
        <w:jc w:val="both"/>
        <w:rPr>
          <w:rFonts w:cstheme="minorHAnsi"/>
        </w:rPr>
      </w:pPr>
    </w:p>
    <w:p w14:paraId="64E3E327" w14:textId="77777777" w:rsidR="00D56705" w:rsidRPr="007928E6" w:rsidRDefault="00D56705" w:rsidP="00732713">
      <w:pPr>
        <w:pStyle w:val="NoSpacing"/>
        <w:ind w:firstLine="720"/>
        <w:jc w:val="both"/>
        <w:rPr>
          <w:rFonts w:cstheme="minorHAnsi"/>
        </w:rPr>
      </w:pPr>
    </w:p>
    <w:tbl>
      <w:tblPr>
        <w:tblStyle w:val="TableGrid"/>
        <w:tblW w:w="9815" w:type="dxa"/>
        <w:jc w:val="center"/>
        <w:tblLook w:val="04A0" w:firstRow="1" w:lastRow="0" w:firstColumn="1" w:lastColumn="0" w:noHBand="0" w:noVBand="1"/>
      </w:tblPr>
      <w:tblGrid>
        <w:gridCol w:w="3011"/>
        <w:gridCol w:w="2268"/>
        <w:gridCol w:w="2268"/>
        <w:gridCol w:w="2268"/>
      </w:tblGrid>
      <w:tr w:rsidR="0041259F" w:rsidRPr="007928E6" w14:paraId="30482BB3" w14:textId="77777777" w:rsidTr="00805120">
        <w:trPr>
          <w:jc w:val="center"/>
        </w:trPr>
        <w:tc>
          <w:tcPr>
            <w:tcW w:w="9815" w:type="dxa"/>
            <w:gridSpan w:val="4"/>
          </w:tcPr>
          <w:p w14:paraId="6606DC8E" w14:textId="77777777" w:rsidR="0041259F" w:rsidRPr="007928E6" w:rsidRDefault="0041259F" w:rsidP="00805120">
            <w:pPr>
              <w:rPr>
                <w:b/>
                <w:bCs/>
              </w:rPr>
            </w:pPr>
            <w:r w:rsidRPr="007928E6">
              <w:rPr>
                <w:b/>
                <w:bCs/>
              </w:rPr>
              <w:t>Supplementary Table 3: Odds ratios for MHS use in the past 6 months across different intersectional categories, with additional confounders for socioeconomic status i.e., income, education, and employment</w:t>
            </w:r>
          </w:p>
        </w:tc>
      </w:tr>
      <w:tr w:rsidR="0041259F" w:rsidRPr="007928E6" w14:paraId="6A7B2480" w14:textId="77777777" w:rsidTr="00805120">
        <w:trPr>
          <w:jc w:val="center"/>
        </w:trPr>
        <w:tc>
          <w:tcPr>
            <w:tcW w:w="3011" w:type="dxa"/>
          </w:tcPr>
          <w:p w14:paraId="5BC12C05" w14:textId="77777777" w:rsidR="0041259F" w:rsidRPr="007928E6" w:rsidRDefault="0041259F" w:rsidP="00805120">
            <w:pPr>
              <w:rPr>
                <w:u w:val="single"/>
              </w:rPr>
            </w:pPr>
          </w:p>
        </w:tc>
        <w:tc>
          <w:tcPr>
            <w:tcW w:w="2268" w:type="dxa"/>
          </w:tcPr>
          <w:p w14:paraId="1CC2AC49" w14:textId="77777777" w:rsidR="0041259F" w:rsidRPr="007928E6" w:rsidRDefault="0041259F" w:rsidP="00805120">
            <w:pPr>
              <w:jc w:val="center"/>
            </w:pPr>
            <w:r w:rsidRPr="007928E6">
              <w:rPr>
                <w:b/>
                <w:bCs/>
              </w:rPr>
              <w:t>Reference</w:t>
            </w:r>
            <w:r w:rsidRPr="007928E6">
              <w:t>: Group 1</w:t>
            </w:r>
          </w:p>
          <w:p w14:paraId="735838A5" w14:textId="77777777" w:rsidR="0041259F" w:rsidRPr="007928E6" w:rsidRDefault="0041259F" w:rsidP="00805120">
            <w:pPr>
              <w:jc w:val="center"/>
              <w:rPr>
                <w:u w:val="single"/>
              </w:rPr>
            </w:pPr>
            <w:r w:rsidRPr="007928E6">
              <w:rPr>
                <w:b/>
                <w:bCs/>
              </w:rPr>
              <w:t>Comparison</w:t>
            </w:r>
            <w:r w:rsidRPr="007928E6">
              <w:t>: Group 2</w:t>
            </w:r>
          </w:p>
        </w:tc>
        <w:tc>
          <w:tcPr>
            <w:tcW w:w="2268" w:type="dxa"/>
          </w:tcPr>
          <w:p w14:paraId="1A8200C3" w14:textId="77777777" w:rsidR="0041259F" w:rsidRPr="007928E6" w:rsidRDefault="0041259F" w:rsidP="00805120">
            <w:pPr>
              <w:jc w:val="center"/>
            </w:pPr>
            <w:r w:rsidRPr="007928E6">
              <w:rPr>
                <w:b/>
                <w:bCs/>
              </w:rPr>
              <w:t>Reference</w:t>
            </w:r>
            <w:r w:rsidRPr="007928E6">
              <w:t>: Group 1</w:t>
            </w:r>
          </w:p>
          <w:p w14:paraId="08640532" w14:textId="77777777" w:rsidR="0041259F" w:rsidRPr="007928E6" w:rsidRDefault="0041259F" w:rsidP="00805120">
            <w:pPr>
              <w:jc w:val="center"/>
              <w:rPr>
                <w:u w:val="single"/>
              </w:rPr>
            </w:pPr>
            <w:r w:rsidRPr="007928E6">
              <w:rPr>
                <w:b/>
                <w:bCs/>
              </w:rPr>
              <w:t>Comparison</w:t>
            </w:r>
            <w:r w:rsidRPr="007928E6">
              <w:t>: Group 3</w:t>
            </w:r>
          </w:p>
        </w:tc>
        <w:tc>
          <w:tcPr>
            <w:tcW w:w="2268" w:type="dxa"/>
          </w:tcPr>
          <w:p w14:paraId="0028062A" w14:textId="77777777" w:rsidR="0041259F" w:rsidRPr="007928E6" w:rsidRDefault="0041259F" w:rsidP="00805120">
            <w:pPr>
              <w:jc w:val="center"/>
            </w:pPr>
            <w:r w:rsidRPr="007928E6">
              <w:rPr>
                <w:b/>
                <w:bCs/>
              </w:rPr>
              <w:t>Reference</w:t>
            </w:r>
            <w:r w:rsidRPr="007928E6">
              <w:t>: Group 1</w:t>
            </w:r>
          </w:p>
          <w:p w14:paraId="1A81392D" w14:textId="77777777" w:rsidR="0041259F" w:rsidRPr="007928E6" w:rsidRDefault="0041259F" w:rsidP="00805120">
            <w:pPr>
              <w:jc w:val="center"/>
              <w:rPr>
                <w:u w:val="single"/>
              </w:rPr>
            </w:pPr>
            <w:r w:rsidRPr="007928E6">
              <w:rPr>
                <w:b/>
                <w:bCs/>
              </w:rPr>
              <w:t>Comparison</w:t>
            </w:r>
            <w:r w:rsidRPr="007928E6">
              <w:t>: Group 4</w:t>
            </w:r>
          </w:p>
        </w:tc>
      </w:tr>
      <w:tr w:rsidR="0041259F" w:rsidRPr="007928E6" w14:paraId="6BB6254C" w14:textId="77777777" w:rsidTr="00805120">
        <w:trPr>
          <w:trHeight w:val="340"/>
          <w:jc w:val="center"/>
        </w:trPr>
        <w:tc>
          <w:tcPr>
            <w:tcW w:w="3011" w:type="dxa"/>
            <w:vAlign w:val="center"/>
          </w:tcPr>
          <w:p w14:paraId="113430B4" w14:textId="77777777" w:rsidR="0041259F" w:rsidRPr="007928E6" w:rsidRDefault="0041259F" w:rsidP="00805120">
            <w:pPr>
              <w:rPr>
                <w:b/>
                <w:bCs/>
              </w:rPr>
            </w:pPr>
            <w:r w:rsidRPr="007928E6">
              <w:rPr>
                <w:b/>
                <w:bCs/>
              </w:rPr>
              <w:t>Total effect</w:t>
            </w:r>
          </w:p>
        </w:tc>
        <w:tc>
          <w:tcPr>
            <w:tcW w:w="2268" w:type="dxa"/>
            <w:vAlign w:val="center"/>
          </w:tcPr>
          <w:p w14:paraId="1A3D2C28" w14:textId="77777777" w:rsidR="0041259F" w:rsidRPr="007928E6" w:rsidRDefault="0041259F" w:rsidP="00805120">
            <w:pPr>
              <w:jc w:val="center"/>
            </w:pPr>
            <w:r w:rsidRPr="007928E6">
              <w:t>1.77 (1.31, 2.39)</w:t>
            </w:r>
          </w:p>
        </w:tc>
        <w:tc>
          <w:tcPr>
            <w:tcW w:w="2268" w:type="dxa"/>
            <w:vAlign w:val="center"/>
          </w:tcPr>
          <w:p w14:paraId="37D3A7F0" w14:textId="77777777" w:rsidR="0041259F" w:rsidRPr="007928E6" w:rsidRDefault="0041259F" w:rsidP="00805120">
            <w:pPr>
              <w:jc w:val="center"/>
            </w:pPr>
            <w:r w:rsidRPr="007928E6">
              <w:t>0.96 (0.75, 1.22)</w:t>
            </w:r>
          </w:p>
        </w:tc>
        <w:tc>
          <w:tcPr>
            <w:tcW w:w="2268" w:type="dxa"/>
            <w:vAlign w:val="center"/>
          </w:tcPr>
          <w:p w14:paraId="4DDE7EE0" w14:textId="77777777" w:rsidR="0041259F" w:rsidRPr="007928E6" w:rsidRDefault="0041259F" w:rsidP="00805120">
            <w:pPr>
              <w:jc w:val="center"/>
            </w:pPr>
            <w:r w:rsidRPr="007928E6">
              <w:t>1.28 (0.77, 2.13)</w:t>
            </w:r>
          </w:p>
        </w:tc>
      </w:tr>
      <w:tr w:rsidR="0041259F" w:rsidRPr="007928E6" w14:paraId="5756AB00" w14:textId="77777777" w:rsidTr="00805120">
        <w:trPr>
          <w:trHeight w:val="340"/>
          <w:jc w:val="center"/>
        </w:trPr>
        <w:tc>
          <w:tcPr>
            <w:tcW w:w="3011" w:type="dxa"/>
            <w:vAlign w:val="center"/>
          </w:tcPr>
          <w:p w14:paraId="45C1D137" w14:textId="77777777" w:rsidR="0041259F" w:rsidRPr="007928E6" w:rsidRDefault="0041259F" w:rsidP="00805120">
            <w:pPr>
              <w:rPr>
                <w:b/>
                <w:bCs/>
              </w:rPr>
            </w:pPr>
            <w:r w:rsidRPr="007928E6">
              <w:rPr>
                <w:b/>
                <w:bCs/>
              </w:rPr>
              <w:t>Pure direct effect</w:t>
            </w:r>
          </w:p>
        </w:tc>
        <w:tc>
          <w:tcPr>
            <w:tcW w:w="2268" w:type="dxa"/>
            <w:vAlign w:val="center"/>
          </w:tcPr>
          <w:p w14:paraId="37840785" w14:textId="77777777" w:rsidR="0041259F" w:rsidRPr="007928E6" w:rsidRDefault="0041259F" w:rsidP="00805120">
            <w:pPr>
              <w:jc w:val="center"/>
            </w:pPr>
            <w:r w:rsidRPr="007928E6">
              <w:t>1.76 (1.30, 2.38)</w:t>
            </w:r>
          </w:p>
        </w:tc>
        <w:tc>
          <w:tcPr>
            <w:tcW w:w="2268" w:type="dxa"/>
            <w:vAlign w:val="center"/>
          </w:tcPr>
          <w:p w14:paraId="5F21394E" w14:textId="77777777" w:rsidR="0041259F" w:rsidRPr="007928E6" w:rsidRDefault="0041259F" w:rsidP="00805120">
            <w:pPr>
              <w:jc w:val="center"/>
            </w:pPr>
            <w:r w:rsidRPr="007928E6">
              <w:t>0.84 (0.65, 1.10)</w:t>
            </w:r>
          </w:p>
        </w:tc>
        <w:tc>
          <w:tcPr>
            <w:tcW w:w="2268" w:type="dxa"/>
            <w:vAlign w:val="center"/>
          </w:tcPr>
          <w:p w14:paraId="18A043D3" w14:textId="77777777" w:rsidR="0041259F" w:rsidRPr="007928E6" w:rsidRDefault="0041259F" w:rsidP="00805120">
            <w:pPr>
              <w:jc w:val="center"/>
            </w:pPr>
            <w:r w:rsidRPr="007928E6">
              <w:t>1.29 (0.77, 2.21)</w:t>
            </w:r>
          </w:p>
        </w:tc>
      </w:tr>
      <w:tr w:rsidR="0041259F" w:rsidRPr="007928E6" w14:paraId="44382D16" w14:textId="77777777" w:rsidTr="00805120">
        <w:trPr>
          <w:trHeight w:val="340"/>
          <w:jc w:val="center"/>
        </w:trPr>
        <w:tc>
          <w:tcPr>
            <w:tcW w:w="3011" w:type="dxa"/>
            <w:vAlign w:val="center"/>
          </w:tcPr>
          <w:p w14:paraId="32EB056E" w14:textId="77777777" w:rsidR="0041259F" w:rsidRPr="007928E6" w:rsidRDefault="0041259F" w:rsidP="00805120">
            <w:pPr>
              <w:rPr>
                <w:b/>
                <w:bCs/>
              </w:rPr>
            </w:pPr>
            <w:r w:rsidRPr="007928E6">
              <w:rPr>
                <w:b/>
                <w:bCs/>
              </w:rPr>
              <w:t>Pure indirect effect</w:t>
            </w:r>
          </w:p>
        </w:tc>
        <w:tc>
          <w:tcPr>
            <w:tcW w:w="2268" w:type="dxa"/>
            <w:vAlign w:val="center"/>
          </w:tcPr>
          <w:p w14:paraId="7D3C0C0C" w14:textId="77777777" w:rsidR="0041259F" w:rsidRPr="007928E6" w:rsidRDefault="0041259F" w:rsidP="00805120">
            <w:pPr>
              <w:jc w:val="center"/>
            </w:pPr>
            <w:r w:rsidRPr="007928E6">
              <w:t>1.00 (0.97, 1.04)</w:t>
            </w:r>
          </w:p>
        </w:tc>
        <w:tc>
          <w:tcPr>
            <w:tcW w:w="2268" w:type="dxa"/>
            <w:vAlign w:val="center"/>
          </w:tcPr>
          <w:p w14:paraId="03A72651" w14:textId="77777777" w:rsidR="0041259F" w:rsidRPr="007928E6" w:rsidRDefault="0041259F" w:rsidP="00805120">
            <w:pPr>
              <w:jc w:val="center"/>
            </w:pPr>
            <w:r w:rsidRPr="007928E6">
              <w:t>1.10 (1.02, 1.18)</w:t>
            </w:r>
          </w:p>
        </w:tc>
        <w:tc>
          <w:tcPr>
            <w:tcW w:w="2268" w:type="dxa"/>
            <w:vAlign w:val="center"/>
          </w:tcPr>
          <w:p w14:paraId="3E75B1F1" w14:textId="77777777" w:rsidR="0041259F" w:rsidRPr="007928E6" w:rsidRDefault="0041259F" w:rsidP="00805120">
            <w:pPr>
              <w:jc w:val="center"/>
            </w:pPr>
            <w:r w:rsidRPr="007928E6">
              <w:t>1.07 (0.99, 1.17)</w:t>
            </w:r>
          </w:p>
        </w:tc>
      </w:tr>
      <w:tr w:rsidR="0041259F" w:rsidRPr="007928E6" w14:paraId="436C4D8D" w14:textId="77777777" w:rsidTr="00805120">
        <w:trPr>
          <w:jc w:val="center"/>
        </w:trPr>
        <w:tc>
          <w:tcPr>
            <w:tcW w:w="3011" w:type="dxa"/>
          </w:tcPr>
          <w:p w14:paraId="3A268A39" w14:textId="77777777" w:rsidR="0041259F" w:rsidRPr="007928E6" w:rsidRDefault="0041259F" w:rsidP="00805120">
            <w:pPr>
              <w:rPr>
                <w:b/>
                <w:bCs/>
              </w:rPr>
            </w:pPr>
            <w:r w:rsidRPr="007928E6">
              <w:rPr>
                <w:b/>
                <w:bCs/>
              </w:rPr>
              <w:t>Mediated interaction effect</w:t>
            </w:r>
          </w:p>
        </w:tc>
        <w:tc>
          <w:tcPr>
            <w:tcW w:w="2268" w:type="dxa"/>
          </w:tcPr>
          <w:p w14:paraId="73916F64" w14:textId="77777777" w:rsidR="0041259F" w:rsidRPr="007928E6" w:rsidRDefault="0041259F" w:rsidP="00805120">
            <w:pPr>
              <w:jc w:val="center"/>
            </w:pPr>
            <w:r w:rsidRPr="007928E6">
              <w:t>1.00 (0.98, 1.02)</w:t>
            </w:r>
          </w:p>
        </w:tc>
        <w:tc>
          <w:tcPr>
            <w:tcW w:w="2268" w:type="dxa"/>
          </w:tcPr>
          <w:p w14:paraId="2D6B427F" w14:textId="77777777" w:rsidR="0041259F" w:rsidRPr="007928E6" w:rsidRDefault="0041259F" w:rsidP="00805120">
            <w:pPr>
              <w:jc w:val="center"/>
            </w:pPr>
            <w:r w:rsidRPr="007928E6">
              <w:t>1.03 (0.92, 1.15)</w:t>
            </w:r>
          </w:p>
        </w:tc>
        <w:tc>
          <w:tcPr>
            <w:tcW w:w="2268" w:type="dxa"/>
          </w:tcPr>
          <w:p w14:paraId="06E2BCA9" w14:textId="77777777" w:rsidR="0041259F" w:rsidRPr="007928E6" w:rsidRDefault="0041259F" w:rsidP="00805120">
            <w:pPr>
              <w:jc w:val="center"/>
            </w:pPr>
            <w:r w:rsidRPr="007928E6">
              <w:t>0.92 (0.76, 1.11)</w:t>
            </w:r>
          </w:p>
        </w:tc>
      </w:tr>
      <w:tr w:rsidR="0041259F" w:rsidRPr="007928E6" w14:paraId="58E9E2BA" w14:textId="77777777" w:rsidTr="00805120">
        <w:trPr>
          <w:jc w:val="center"/>
        </w:trPr>
        <w:tc>
          <w:tcPr>
            <w:tcW w:w="9815" w:type="dxa"/>
            <w:gridSpan w:val="4"/>
          </w:tcPr>
          <w:p w14:paraId="2CE7EFDE" w14:textId="38427F2B" w:rsidR="0041259F" w:rsidRPr="007928E6" w:rsidRDefault="0041259F" w:rsidP="00805120">
            <w:r w:rsidRPr="007928E6">
              <w:rPr>
                <w:b/>
                <w:bCs/>
              </w:rPr>
              <w:t>Confounders include</w:t>
            </w:r>
            <w:r w:rsidRPr="007928E6">
              <w:t xml:space="preserve"> age, city, having a chronic mental health condition, </w:t>
            </w:r>
            <w:r w:rsidR="001264D0" w:rsidRPr="007928E6">
              <w:t>Canadian citizenship</w:t>
            </w:r>
            <w:r w:rsidRPr="007928E6">
              <w:t xml:space="preserve">, and cisgender status, income, education, and employment. Income, education, and employment were used as categorical variables as specified in Table 1 (main manuscript). </w:t>
            </w:r>
          </w:p>
        </w:tc>
      </w:tr>
    </w:tbl>
    <w:p w14:paraId="7002F6CE" w14:textId="77777777" w:rsidR="0024012B" w:rsidRPr="007928E6" w:rsidRDefault="0024012B" w:rsidP="00732713">
      <w:pPr>
        <w:pStyle w:val="NoSpacing"/>
        <w:ind w:firstLine="720"/>
        <w:jc w:val="both"/>
        <w:rPr>
          <w:rFonts w:cstheme="minorHAnsi"/>
        </w:rPr>
        <w:sectPr w:rsidR="0024012B" w:rsidRPr="007928E6">
          <w:pgSz w:w="12240" w:h="15840"/>
          <w:pgMar w:top="1440" w:right="1440" w:bottom="1440" w:left="1440" w:header="708" w:footer="708" w:gutter="0"/>
          <w:cols w:space="708"/>
          <w:docGrid w:linePitch="360"/>
        </w:sectPr>
      </w:pPr>
    </w:p>
    <w:p w14:paraId="407529A7" w14:textId="359147AF" w:rsidR="005E07BE" w:rsidRPr="007928E6" w:rsidRDefault="005E07BE" w:rsidP="005E07BE">
      <w:pPr>
        <w:jc w:val="both"/>
        <w:rPr>
          <w:rFonts w:cstheme="minorHAnsi"/>
        </w:rPr>
      </w:pPr>
      <w:r w:rsidRPr="007928E6">
        <w:lastRenderedPageBreak/>
        <w:t xml:space="preserve">The Medical Outcomes Study (MOS) Social Support Survey is a 19-item instrument that measures the availability of people to provide support if needed such as emotional support and tangible help </w:t>
      </w:r>
      <w:r w:rsidR="00E31F8B">
        <w:rPr>
          <w:noProof/>
        </w:rPr>
        <w:t>(Sherbourne and Stewart, 1991)</w:t>
      </w:r>
      <w:r w:rsidRPr="007928E6">
        <w:t xml:space="preserve">. Each item is scored on a 5-point Likert scale. Total scores range between 19 and 95.  The scale showed good internal consistency across all three cities (Cronbach’s </w:t>
      </w:r>
      <w:r w:rsidRPr="007928E6">
        <w:rPr>
          <w:rFonts w:cstheme="minorHAnsi"/>
        </w:rPr>
        <w:t>α &gt; 0.95).</w:t>
      </w:r>
    </w:p>
    <w:tbl>
      <w:tblPr>
        <w:tblStyle w:val="TableGrid"/>
        <w:tblpPr w:leftFromText="180" w:rightFromText="180" w:vertAnchor="text" w:horzAnchor="margin" w:tblpY="-2"/>
        <w:tblW w:w="0" w:type="auto"/>
        <w:tblLook w:val="04A0" w:firstRow="1" w:lastRow="0" w:firstColumn="1" w:lastColumn="0" w:noHBand="0" w:noVBand="1"/>
      </w:tblPr>
      <w:tblGrid>
        <w:gridCol w:w="1838"/>
        <w:gridCol w:w="3119"/>
      </w:tblGrid>
      <w:tr w:rsidR="005E07BE" w:rsidRPr="007928E6" w14:paraId="4A98700F" w14:textId="77777777" w:rsidTr="00805120">
        <w:trPr>
          <w:trHeight w:val="282"/>
        </w:trPr>
        <w:tc>
          <w:tcPr>
            <w:tcW w:w="4957" w:type="dxa"/>
            <w:gridSpan w:val="2"/>
          </w:tcPr>
          <w:p w14:paraId="69CBCD86" w14:textId="77777777" w:rsidR="005E07BE" w:rsidRPr="007928E6" w:rsidRDefault="005E07BE" w:rsidP="00805120">
            <w:pPr>
              <w:rPr>
                <w:b/>
                <w:bCs/>
              </w:rPr>
            </w:pPr>
            <w:r w:rsidRPr="007928E6">
              <w:rPr>
                <w:b/>
                <w:bCs/>
              </w:rPr>
              <w:t xml:space="preserve">Supplementary Table 4a: Mean scores of the MOS Social Support Survey across intersectional groups </w:t>
            </w:r>
          </w:p>
        </w:tc>
      </w:tr>
      <w:tr w:rsidR="005E07BE" w:rsidRPr="007928E6" w14:paraId="62A1E050" w14:textId="77777777" w:rsidTr="00805120">
        <w:trPr>
          <w:trHeight w:val="282"/>
        </w:trPr>
        <w:tc>
          <w:tcPr>
            <w:tcW w:w="1838" w:type="dxa"/>
          </w:tcPr>
          <w:p w14:paraId="550FDC3E" w14:textId="77777777" w:rsidR="005E07BE" w:rsidRPr="007928E6" w:rsidRDefault="005E07BE" w:rsidP="00805120"/>
        </w:tc>
        <w:tc>
          <w:tcPr>
            <w:tcW w:w="3119" w:type="dxa"/>
          </w:tcPr>
          <w:p w14:paraId="5C812CD5" w14:textId="77777777" w:rsidR="005E07BE" w:rsidRPr="007928E6" w:rsidRDefault="005E07BE" w:rsidP="00805120">
            <w:pPr>
              <w:jc w:val="center"/>
              <w:rPr>
                <w:b/>
                <w:bCs/>
              </w:rPr>
            </w:pPr>
            <w:r w:rsidRPr="007928E6">
              <w:rPr>
                <w:b/>
                <w:bCs/>
              </w:rPr>
              <w:t>Mean scores (SD)</w:t>
            </w:r>
          </w:p>
        </w:tc>
      </w:tr>
      <w:tr w:rsidR="005E07BE" w:rsidRPr="007928E6" w14:paraId="5C27C5D7" w14:textId="77777777" w:rsidTr="00805120">
        <w:trPr>
          <w:trHeight w:val="269"/>
        </w:trPr>
        <w:tc>
          <w:tcPr>
            <w:tcW w:w="1838" w:type="dxa"/>
          </w:tcPr>
          <w:p w14:paraId="77273D58" w14:textId="77777777" w:rsidR="005E07BE" w:rsidRPr="007928E6" w:rsidRDefault="005E07BE" w:rsidP="00805120">
            <w:r w:rsidRPr="007928E6">
              <w:t xml:space="preserve">Group 1 </w:t>
            </w:r>
          </w:p>
        </w:tc>
        <w:tc>
          <w:tcPr>
            <w:tcW w:w="3119" w:type="dxa"/>
          </w:tcPr>
          <w:p w14:paraId="37694278" w14:textId="77777777" w:rsidR="005E07BE" w:rsidRPr="007928E6" w:rsidRDefault="005E07BE" w:rsidP="00805120">
            <w:pPr>
              <w:jc w:val="center"/>
            </w:pPr>
            <w:r w:rsidRPr="007928E6">
              <w:t>73.8 (16.1)</w:t>
            </w:r>
          </w:p>
        </w:tc>
      </w:tr>
      <w:tr w:rsidR="005E07BE" w:rsidRPr="007928E6" w14:paraId="4357E6E4" w14:textId="77777777" w:rsidTr="00805120">
        <w:trPr>
          <w:trHeight w:val="282"/>
        </w:trPr>
        <w:tc>
          <w:tcPr>
            <w:tcW w:w="1838" w:type="dxa"/>
          </w:tcPr>
          <w:p w14:paraId="7CDDB78C" w14:textId="77777777" w:rsidR="005E07BE" w:rsidRPr="007928E6" w:rsidRDefault="005E07BE" w:rsidP="00805120">
            <w:r w:rsidRPr="007928E6">
              <w:t>Group 2</w:t>
            </w:r>
          </w:p>
        </w:tc>
        <w:tc>
          <w:tcPr>
            <w:tcW w:w="3119" w:type="dxa"/>
          </w:tcPr>
          <w:p w14:paraId="60D76C05" w14:textId="77777777" w:rsidR="005E07BE" w:rsidRPr="007928E6" w:rsidRDefault="005E07BE" w:rsidP="00805120">
            <w:pPr>
              <w:jc w:val="center"/>
            </w:pPr>
            <w:r w:rsidRPr="007928E6">
              <w:t>67.6 (19.8)</w:t>
            </w:r>
          </w:p>
        </w:tc>
      </w:tr>
      <w:tr w:rsidR="005E07BE" w:rsidRPr="007928E6" w14:paraId="35D7B685" w14:textId="77777777" w:rsidTr="00805120">
        <w:trPr>
          <w:trHeight w:val="282"/>
        </w:trPr>
        <w:tc>
          <w:tcPr>
            <w:tcW w:w="1838" w:type="dxa"/>
          </w:tcPr>
          <w:p w14:paraId="1E4181F6" w14:textId="77777777" w:rsidR="005E07BE" w:rsidRPr="007928E6" w:rsidRDefault="005E07BE" w:rsidP="00805120">
            <w:r w:rsidRPr="007928E6">
              <w:t>Group 3</w:t>
            </w:r>
          </w:p>
        </w:tc>
        <w:tc>
          <w:tcPr>
            <w:tcW w:w="3119" w:type="dxa"/>
          </w:tcPr>
          <w:p w14:paraId="522378A2" w14:textId="77777777" w:rsidR="005E07BE" w:rsidRPr="007928E6" w:rsidRDefault="005E07BE" w:rsidP="00805120">
            <w:pPr>
              <w:jc w:val="center"/>
            </w:pPr>
            <w:r w:rsidRPr="007928E6">
              <w:t>69.5 (17.9)</w:t>
            </w:r>
          </w:p>
        </w:tc>
      </w:tr>
      <w:tr w:rsidR="005E07BE" w:rsidRPr="007928E6" w14:paraId="11EC092E" w14:textId="77777777" w:rsidTr="00805120">
        <w:trPr>
          <w:trHeight w:val="282"/>
        </w:trPr>
        <w:tc>
          <w:tcPr>
            <w:tcW w:w="1838" w:type="dxa"/>
          </w:tcPr>
          <w:p w14:paraId="2F81D3B9" w14:textId="77777777" w:rsidR="005E07BE" w:rsidRPr="007928E6" w:rsidRDefault="005E07BE" w:rsidP="00805120">
            <w:r w:rsidRPr="007928E6">
              <w:t>Group 4</w:t>
            </w:r>
          </w:p>
        </w:tc>
        <w:tc>
          <w:tcPr>
            <w:tcW w:w="3119" w:type="dxa"/>
          </w:tcPr>
          <w:p w14:paraId="22A43E05" w14:textId="77777777" w:rsidR="005E07BE" w:rsidRPr="007928E6" w:rsidRDefault="005E07BE" w:rsidP="00805120">
            <w:pPr>
              <w:jc w:val="center"/>
            </w:pPr>
            <w:r w:rsidRPr="007928E6">
              <w:t>65.1 (21.5)</w:t>
            </w:r>
          </w:p>
        </w:tc>
      </w:tr>
    </w:tbl>
    <w:p w14:paraId="2728E881" w14:textId="77777777" w:rsidR="005E07BE" w:rsidRPr="007928E6" w:rsidRDefault="005E07BE" w:rsidP="005E07BE"/>
    <w:p w14:paraId="676C5894" w14:textId="77777777" w:rsidR="005E07BE" w:rsidRPr="007928E6" w:rsidRDefault="005E07BE" w:rsidP="005E07BE"/>
    <w:p w14:paraId="428F1D0D" w14:textId="77777777" w:rsidR="005E07BE" w:rsidRPr="007928E6" w:rsidRDefault="005E07BE" w:rsidP="005E07BE"/>
    <w:p w14:paraId="075A5C29" w14:textId="77777777" w:rsidR="005E07BE" w:rsidRPr="007928E6" w:rsidRDefault="005E07BE" w:rsidP="005E07BE"/>
    <w:p w14:paraId="308E3B9B" w14:textId="77777777" w:rsidR="005E07BE" w:rsidRPr="007928E6" w:rsidRDefault="005E07BE" w:rsidP="005E07BE"/>
    <w:p w14:paraId="5B917150" w14:textId="77777777" w:rsidR="005E07BE" w:rsidRPr="007928E6" w:rsidRDefault="005E07BE" w:rsidP="005E07BE">
      <w:pPr>
        <w:pStyle w:val="NoSpacing"/>
      </w:pPr>
    </w:p>
    <w:tbl>
      <w:tblPr>
        <w:tblStyle w:val="TableGrid"/>
        <w:tblpPr w:leftFromText="181" w:rightFromText="181" w:vertAnchor="page" w:horzAnchor="margin" w:tblpY="5408"/>
        <w:tblW w:w="9815" w:type="dxa"/>
        <w:tblLook w:val="04A0" w:firstRow="1" w:lastRow="0" w:firstColumn="1" w:lastColumn="0" w:noHBand="0" w:noVBand="1"/>
      </w:tblPr>
      <w:tblGrid>
        <w:gridCol w:w="3011"/>
        <w:gridCol w:w="2268"/>
        <w:gridCol w:w="2268"/>
        <w:gridCol w:w="2268"/>
      </w:tblGrid>
      <w:tr w:rsidR="00195D85" w:rsidRPr="007928E6" w14:paraId="11F0EB29" w14:textId="77777777" w:rsidTr="00805120">
        <w:tc>
          <w:tcPr>
            <w:tcW w:w="9815" w:type="dxa"/>
            <w:gridSpan w:val="4"/>
          </w:tcPr>
          <w:p w14:paraId="54C7D987" w14:textId="77777777" w:rsidR="00195D85" w:rsidRPr="007928E6" w:rsidRDefault="00195D85" w:rsidP="00805120">
            <w:pPr>
              <w:rPr>
                <w:b/>
                <w:bCs/>
              </w:rPr>
            </w:pPr>
            <w:r w:rsidRPr="007928E6">
              <w:rPr>
                <w:b/>
                <w:bCs/>
              </w:rPr>
              <w:t xml:space="preserve">Supplementary Table 4b: Odds ratios for MHS use in the past 6 months across different intersectional categories with an additional confounder for social support scores measured on the MOS Social Support Survey Instrument </w:t>
            </w:r>
          </w:p>
        </w:tc>
      </w:tr>
      <w:tr w:rsidR="00195D85" w:rsidRPr="007928E6" w14:paraId="4B14466B" w14:textId="77777777" w:rsidTr="00805120">
        <w:tc>
          <w:tcPr>
            <w:tcW w:w="3011" w:type="dxa"/>
          </w:tcPr>
          <w:p w14:paraId="627A3293" w14:textId="77777777" w:rsidR="00195D85" w:rsidRPr="007928E6" w:rsidRDefault="00195D85" w:rsidP="00805120">
            <w:pPr>
              <w:rPr>
                <w:u w:val="single"/>
              </w:rPr>
            </w:pPr>
          </w:p>
        </w:tc>
        <w:tc>
          <w:tcPr>
            <w:tcW w:w="2268" w:type="dxa"/>
          </w:tcPr>
          <w:p w14:paraId="04F31177" w14:textId="77777777" w:rsidR="00195D85" w:rsidRPr="007928E6" w:rsidRDefault="00195D85" w:rsidP="00805120">
            <w:pPr>
              <w:jc w:val="center"/>
            </w:pPr>
            <w:r w:rsidRPr="007928E6">
              <w:rPr>
                <w:b/>
                <w:bCs/>
              </w:rPr>
              <w:t>Reference</w:t>
            </w:r>
            <w:r w:rsidRPr="007928E6">
              <w:t>: Group 1</w:t>
            </w:r>
          </w:p>
          <w:p w14:paraId="7BF1B075" w14:textId="77777777" w:rsidR="00195D85" w:rsidRPr="007928E6" w:rsidRDefault="00195D85" w:rsidP="00805120">
            <w:pPr>
              <w:jc w:val="center"/>
              <w:rPr>
                <w:u w:val="single"/>
              </w:rPr>
            </w:pPr>
            <w:r w:rsidRPr="007928E6">
              <w:rPr>
                <w:b/>
                <w:bCs/>
              </w:rPr>
              <w:t>Comparison</w:t>
            </w:r>
            <w:r w:rsidRPr="007928E6">
              <w:t>: Group 2</w:t>
            </w:r>
          </w:p>
        </w:tc>
        <w:tc>
          <w:tcPr>
            <w:tcW w:w="2268" w:type="dxa"/>
          </w:tcPr>
          <w:p w14:paraId="020B7B7C" w14:textId="77777777" w:rsidR="00195D85" w:rsidRPr="007928E6" w:rsidRDefault="00195D85" w:rsidP="00805120">
            <w:pPr>
              <w:jc w:val="center"/>
            </w:pPr>
            <w:r w:rsidRPr="007928E6">
              <w:rPr>
                <w:b/>
                <w:bCs/>
              </w:rPr>
              <w:t>Reference</w:t>
            </w:r>
            <w:r w:rsidRPr="007928E6">
              <w:t>: Group 1</w:t>
            </w:r>
          </w:p>
          <w:p w14:paraId="0D8CE4A5" w14:textId="77777777" w:rsidR="00195D85" w:rsidRPr="007928E6" w:rsidRDefault="00195D85" w:rsidP="00805120">
            <w:pPr>
              <w:jc w:val="center"/>
              <w:rPr>
                <w:u w:val="single"/>
              </w:rPr>
            </w:pPr>
            <w:r w:rsidRPr="007928E6">
              <w:rPr>
                <w:b/>
                <w:bCs/>
              </w:rPr>
              <w:t>Comparison</w:t>
            </w:r>
            <w:r w:rsidRPr="007928E6">
              <w:t>: Group 3</w:t>
            </w:r>
          </w:p>
        </w:tc>
        <w:tc>
          <w:tcPr>
            <w:tcW w:w="2268" w:type="dxa"/>
          </w:tcPr>
          <w:p w14:paraId="712C41F1" w14:textId="77777777" w:rsidR="00195D85" w:rsidRPr="007928E6" w:rsidRDefault="00195D85" w:rsidP="00805120">
            <w:pPr>
              <w:jc w:val="center"/>
            </w:pPr>
            <w:r w:rsidRPr="007928E6">
              <w:rPr>
                <w:b/>
                <w:bCs/>
              </w:rPr>
              <w:t>Reference</w:t>
            </w:r>
            <w:r w:rsidRPr="007928E6">
              <w:t>: Group 1</w:t>
            </w:r>
          </w:p>
          <w:p w14:paraId="49EAADA4" w14:textId="77777777" w:rsidR="00195D85" w:rsidRPr="007928E6" w:rsidRDefault="00195D85" w:rsidP="00805120">
            <w:pPr>
              <w:jc w:val="center"/>
              <w:rPr>
                <w:u w:val="single"/>
              </w:rPr>
            </w:pPr>
            <w:r w:rsidRPr="007928E6">
              <w:rPr>
                <w:b/>
                <w:bCs/>
              </w:rPr>
              <w:t>Comparison</w:t>
            </w:r>
            <w:r w:rsidRPr="007928E6">
              <w:t>: Group 4</w:t>
            </w:r>
          </w:p>
        </w:tc>
      </w:tr>
      <w:tr w:rsidR="00195D85" w:rsidRPr="007928E6" w14:paraId="4A91BA10" w14:textId="77777777" w:rsidTr="00805120">
        <w:trPr>
          <w:trHeight w:val="340"/>
        </w:trPr>
        <w:tc>
          <w:tcPr>
            <w:tcW w:w="3011" w:type="dxa"/>
            <w:vAlign w:val="center"/>
          </w:tcPr>
          <w:p w14:paraId="63DE488B" w14:textId="77777777" w:rsidR="00195D85" w:rsidRPr="007928E6" w:rsidRDefault="00195D85" w:rsidP="00805120">
            <w:pPr>
              <w:rPr>
                <w:b/>
                <w:bCs/>
              </w:rPr>
            </w:pPr>
            <w:r w:rsidRPr="007928E6">
              <w:rPr>
                <w:b/>
                <w:bCs/>
              </w:rPr>
              <w:t>Total effect</w:t>
            </w:r>
          </w:p>
        </w:tc>
        <w:tc>
          <w:tcPr>
            <w:tcW w:w="2268" w:type="dxa"/>
            <w:vAlign w:val="center"/>
          </w:tcPr>
          <w:p w14:paraId="6191D5E2" w14:textId="77777777" w:rsidR="00195D85" w:rsidRPr="007928E6" w:rsidRDefault="00195D85" w:rsidP="00805120">
            <w:pPr>
              <w:jc w:val="center"/>
            </w:pPr>
            <w:r w:rsidRPr="007928E6">
              <w:t>1.71 (1.28, 2.28)</w:t>
            </w:r>
          </w:p>
        </w:tc>
        <w:tc>
          <w:tcPr>
            <w:tcW w:w="2268" w:type="dxa"/>
            <w:vAlign w:val="center"/>
          </w:tcPr>
          <w:p w14:paraId="32C733B1" w14:textId="77777777" w:rsidR="00195D85" w:rsidRPr="007928E6" w:rsidRDefault="00195D85" w:rsidP="00805120">
            <w:pPr>
              <w:jc w:val="center"/>
            </w:pPr>
            <w:r w:rsidRPr="007928E6">
              <w:t>0.96 (0.74, 1.24)</w:t>
            </w:r>
          </w:p>
        </w:tc>
        <w:tc>
          <w:tcPr>
            <w:tcW w:w="2268" w:type="dxa"/>
            <w:vAlign w:val="center"/>
          </w:tcPr>
          <w:p w14:paraId="1F16D90E" w14:textId="77777777" w:rsidR="00195D85" w:rsidRPr="007928E6" w:rsidRDefault="00195D85" w:rsidP="00805120">
            <w:pPr>
              <w:jc w:val="center"/>
            </w:pPr>
            <w:r w:rsidRPr="007928E6">
              <w:t>1.20 (0.70, 2.05)</w:t>
            </w:r>
          </w:p>
        </w:tc>
      </w:tr>
      <w:tr w:rsidR="00195D85" w:rsidRPr="007928E6" w14:paraId="3353BDB9" w14:textId="77777777" w:rsidTr="00805120">
        <w:trPr>
          <w:trHeight w:val="340"/>
        </w:trPr>
        <w:tc>
          <w:tcPr>
            <w:tcW w:w="3011" w:type="dxa"/>
            <w:vAlign w:val="center"/>
          </w:tcPr>
          <w:p w14:paraId="539BD8B2" w14:textId="77777777" w:rsidR="00195D85" w:rsidRPr="007928E6" w:rsidRDefault="00195D85" w:rsidP="00805120">
            <w:pPr>
              <w:rPr>
                <w:b/>
                <w:bCs/>
              </w:rPr>
            </w:pPr>
            <w:r w:rsidRPr="007928E6">
              <w:rPr>
                <w:b/>
                <w:bCs/>
              </w:rPr>
              <w:t>Pure direct effect</w:t>
            </w:r>
          </w:p>
        </w:tc>
        <w:tc>
          <w:tcPr>
            <w:tcW w:w="2268" w:type="dxa"/>
            <w:vAlign w:val="center"/>
          </w:tcPr>
          <w:p w14:paraId="1CD4F930" w14:textId="77777777" w:rsidR="00195D85" w:rsidRPr="007928E6" w:rsidRDefault="00195D85" w:rsidP="00805120">
            <w:pPr>
              <w:jc w:val="center"/>
            </w:pPr>
            <w:r w:rsidRPr="007928E6">
              <w:t>1.68 (1.26, 2.24)</w:t>
            </w:r>
          </w:p>
        </w:tc>
        <w:tc>
          <w:tcPr>
            <w:tcW w:w="2268" w:type="dxa"/>
            <w:vAlign w:val="center"/>
          </w:tcPr>
          <w:p w14:paraId="316855B8" w14:textId="77777777" w:rsidR="00195D85" w:rsidRPr="007928E6" w:rsidRDefault="00195D85" w:rsidP="00805120">
            <w:pPr>
              <w:jc w:val="center"/>
            </w:pPr>
            <w:r w:rsidRPr="007928E6">
              <w:t>0.83 (0.64, 1.09)</w:t>
            </w:r>
          </w:p>
        </w:tc>
        <w:tc>
          <w:tcPr>
            <w:tcW w:w="2268" w:type="dxa"/>
            <w:vAlign w:val="center"/>
          </w:tcPr>
          <w:p w14:paraId="0AAD3EED" w14:textId="77777777" w:rsidR="00195D85" w:rsidRPr="007928E6" w:rsidRDefault="00195D85" w:rsidP="00805120">
            <w:pPr>
              <w:jc w:val="center"/>
            </w:pPr>
            <w:r w:rsidRPr="007928E6">
              <w:t>1.21 (0.70, 2.14)</w:t>
            </w:r>
          </w:p>
        </w:tc>
      </w:tr>
      <w:tr w:rsidR="00195D85" w:rsidRPr="007928E6" w14:paraId="1ED0EFFC" w14:textId="77777777" w:rsidTr="00805120">
        <w:trPr>
          <w:trHeight w:val="340"/>
        </w:trPr>
        <w:tc>
          <w:tcPr>
            <w:tcW w:w="3011" w:type="dxa"/>
            <w:vAlign w:val="center"/>
          </w:tcPr>
          <w:p w14:paraId="2EA241D1" w14:textId="77777777" w:rsidR="00195D85" w:rsidRPr="007928E6" w:rsidRDefault="00195D85" w:rsidP="00805120">
            <w:pPr>
              <w:rPr>
                <w:b/>
                <w:bCs/>
              </w:rPr>
            </w:pPr>
            <w:r w:rsidRPr="007928E6">
              <w:rPr>
                <w:b/>
                <w:bCs/>
              </w:rPr>
              <w:t>Pure indirect effect</w:t>
            </w:r>
          </w:p>
        </w:tc>
        <w:tc>
          <w:tcPr>
            <w:tcW w:w="2268" w:type="dxa"/>
            <w:vAlign w:val="center"/>
          </w:tcPr>
          <w:p w14:paraId="21C3C013" w14:textId="77777777" w:rsidR="00195D85" w:rsidRPr="007928E6" w:rsidRDefault="00195D85" w:rsidP="00805120">
            <w:pPr>
              <w:jc w:val="center"/>
            </w:pPr>
            <w:r w:rsidRPr="007928E6">
              <w:t>1.02 (0.98, 1.05)</w:t>
            </w:r>
          </w:p>
        </w:tc>
        <w:tc>
          <w:tcPr>
            <w:tcW w:w="2268" w:type="dxa"/>
            <w:vAlign w:val="center"/>
          </w:tcPr>
          <w:p w14:paraId="6DAC67E0" w14:textId="77777777" w:rsidR="00195D85" w:rsidRPr="007928E6" w:rsidRDefault="00195D85" w:rsidP="00805120">
            <w:pPr>
              <w:jc w:val="center"/>
            </w:pPr>
            <w:r w:rsidRPr="007928E6">
              <w:t>1.10 (1.02, 1.19)</w:t>
            </w:r>
          </w:p>
        </w:tc>
        <w:tc>
          <w:tcPr>
            <w:tcW w:w="2268" w:type="dxa"/>
            <w:vAlign w:val="center"/>
          </w:tcPr>
          <w:p w14:paraId="0A19E773" w14:textId="77777777" w:rsidR="00195D85" w:rsidRPr="007928E6" w:rsidRDefault="00195D85" w:rsidP="00805120">
            <w:pPr>
              <w:jc w:val="center"/>
            </w:pPr>
            <w:r w:rsidRPr="007928E6">
              <w:t>1.09 (1.00, 1.19)</w:t>
            </w:r>
          </w:p>
        </w:tc>
      </w:tr>
      <w:tr w:rsidR="00195D85" w:rsidRPr="007928E6" w14:paraId="22038A0D" w14:textId="77777777" w:rsidTr="00805120">
        <w:tc>
          <w:tcPr>
            <w:tcW w:w="3011" w:type="dxa"/>
          </w:tcPr>
          <w:p w14:paraId="50935BC8" w14:textId="77777777" w:rsidR="00195D85" w:rsidRPr="007928E6" w:rsidRDefault="00195D85" w:rsidP="00805120">
            <w:pPr>
              <w:rPr>
                <w:b/>
                <w:bCs/>
              </w:rPr>
            </w:pPr>
            <w:r w:rsidRPr="007928E6">
              <w:rPr>
                <w:b/>
                <w:bCs/>
              </w:rPr>
              <w:t>Mediated interaction effect</w:t>
            </w:r>
          </w:p>
        </w:tc>
        <w:tc>
          <w:tcPr>
            <w:tcW w:w="2268" w:type="dxa"/>
          </w:tcPr>
          <w:p w14:paraId="4034DB34" w14:textId="77777777" w:rsidR="00195D85" w:rsidRPr="007928E6" w:rsidRDefault="00195D85" w:rsidP="00805120">
            <w:pPr>
              <w:jc w:val="center"/>
            </w:pPr>
            <w:r w:rsidRPr="007928E6">
              <w:t>1.00 (0.97, 1.02)</w:t>
            </w:r>
          </w:p>
        </w:tc>
        <w:tc>
          <w:tcPr>
            <w:tcW w:w="2268" w:type="dxa"/>
          </w:tcPr>
          <w:p w14:paraId="46CA21AC" w14:textId="77777777" w:rsidR="00195D85" w:rsidRPr="007928E6" w:rsidRDefault="00195D85" w:rsidP="00805120">
            <w:pPr>
              <w:jc w:val="center"/>
            </w:pPr>
            <w:r w:rsidRPr="007928E6">
              <w:t>1.04 (0.93, 1.16)</w:t>
            </w:r>
          </w:p>
        </w:tc>
        <w:tc>
          <w:tcPr>
            <w:tcW w:w="2268" w:type="dxa"/>
          </w:tcPr>
          <w:p w14:paraId="537A9DC6" w14:textId="77777777" w:rsidR="00195D85" w:rsidRPr="007928E6" w:rsidRDefault="00195D85" w:rsidP="00805120">
            <w:pPr>
              <w:jc w:val="center"/>
            </w:pPr>
            <w:r w:rsidRPr="007928E6">
              <w:t>0.90 (0.74, 1.10)</w:t>
            </w:r>
          </w:p>
        </w:tc>
      </w:tr>
      <w:tr w:rsidR="00195D85" w:rsidRPr="007928E6" w14:paraId="65AE0770" w14:textId="77777777" w:rsidTr="00805120">
        <w:tc>
          <w:tcPr>
            <w:tcW w:w="9815" w:type="dxa"/>
            <w:gridSpan w:val="4"/>
          </w:tcPr>
          <w:p w14:paraId="7CD3D562" w14:textId="5166EB9E" w:rsidR="00195D85" w:rsidRPr="007928E6" w:rsidRDefault="00195D85" w:rsidP="00805120">
            <w:r w:rsidRPr="007928E6">
              <w:rPr>
                <w:b/>
                <w:bCs/>
              </w:rPr>
              <w:t>Confounders adjusted for in the model</w:t>
            </w:r>
            <w:r w:rsidRPr="007928E6">
              <w:t xml:space="preserve">: age, city, having a chronic mental health condition, </w:t>
            </w:r>
            <w:r w:rsidR="001264D0" w:rsidRPr="007928E6">
              <w:t>Canadian citizenship</w:t>
            </w:r>
            <w:r w:rsidRPr="007928E6">
              <w:t>, and cisgender status, mean scores of the MOS Social Support Survey Instrument measured at baseline</w:t>
            </w:r>
          </w:p>
        </w:tc>
      </w:tr>
    </w:tbl>
    <w:p w14:paraId="7548687A" w14:textId="77777777" w:rsidR="00195D85" w:rsidRPr="007928E6" w:rsidRDefault="00195D85" w:rsidP="00732713">
      <w:pPr>
        <w:pStyle w:val="NoSpacing"/>
        <w:ind w:firstLine="720"/>
        <w:jc w:val="both"/>
        <w:rPr>
          <w:rFonts w:cstheme="minorHAnsi"/>
        </w:rPr>
        <w:sectPr w:rsidR="00195D85" w:rsidRPr="007928E6">
          <w:pgSz w:w="12240" w:h="15840"/>
          <w:pgMar w:top="1440" w:right="1440" w:bottom="1440" w:left="1440" w:header="708" w:footer="708" w:gutter="0"/>
          <w:cols w:space="708"/>
          <w:docGrid w:linePitch="360"/>
        </w:sectPr>
      </w:pPr>
    </w:p>
    <w:p w14:paraId="4611068D" w14:textId="26EDD02B" w:rsidR="00834747" w:rsidRPr="007928E6" w:rsidRDefault="00834747" w:rsidP="00834747">
      <w:pPr>
        <w:jc w:val="both"/>
      </w:pPr>
      <w:r w:rsidRPr="007928E6">
        <w:lastRenderedPageBreak/>
        <w:t xml:space="preserve">The Connor-Davidson Resilience Scale-2 is a brief 2-item measure of resilience or how well one is equipped to bounce back after stressful events, tragedy, or trauma </w:t>
      </w:r>
      <w:r w:rsidR="00E31F8B">
        <w:rPr>
          <w:noProof/>
        </w:rPr>
        <w:t>(Vaishnavi et al., 2007)</w:t>
      </w:r>
      <w:r w:rsidRPr="007928E6">
        <w:t xml:space="preserve">. Each item is scored on a 5-point Likert scale. Total scores range between 0 and 8. The Cronbach’s </w:t>
      </w:r>
      <w:r w:rsidRPr="007928E6">
        <w:rPr>
          <w:rFonts w:cstheme="minorHAnsi"/>
        </w:rPr>
        <w:t xml:space="preserve">α for Montreal was 0.75, for Toronto was 0.94 and Vancouver 0.84.  </w:t>
      </w:r>
      <w:r w:rsidRPr="007928E6">
        <w:t xml:space="preserve"> </w:t>
      </w:r>
    </w:p>
    <w:tbl>
      <w:tblPr>
        <w:tblStyle w:val="TableGrid"/>
        <w:tblpPr w:leftFromText="180" w:rightFromText="180" w:vertAnchor="text" w:horzAnchor="margin" w:tblpY="122"/>
        <w:tblW w:w="0" w:type="auto"/>
        <w:tblLook w:val="04A0" w:firstRow="1" w:lastRow="0" w:firstColumn="1" w:lastColumn="0" w:noHBand="0" w:noVBand="1"/>
      </w:tblPr>
      <w:tblGrid>
        <w:gridCol w:w="1838"/>
        <w:gridCol w:w="3544"/>
      </w:tblGrid>
      <w:tr w:rsidR="00834747" w:rsidRPr="007928E6" w14:paraId="0FE562F4" w14:textId="77777777" w:rsidTr="00805120">
        <w:tc>
          <w:tcPr>
            <w:tcW w:w="5382" w:type="dxa"/>
            <w:gridSpan w:val="2"/>
          </w:tcPr>
          <w:p w14:paraId="16352551" w14:textId="77777777" w:rsidR="00834747" w:rsidRPr="007928E6" w:rsidRDefault="00834747" w:rsidP="00805120">
            <w:pPr>
              <w:rPr>
                <w:b/>
                <w:bCs/>
              </w:rPr>
            </w:pPr>
            <w:r w:rsidRPr="007928E6">
              <w:rPr>
                <w:b/>
                <w:bCs/>
              </w:rPr>
              <w:t>Supplementary Table 5a: Mean scores on the Connor-Davidson Resilience Scale-2 across intersectional group</w:t>
            </w:r>
          </w:p>
        </w:tc>
      </w:tr>
      <w:tr w:rsidR="00834747" w:rsidRPr="007928E6" w14:paraId="03D63477" w14:textId="77777777" w:rsidTr="00805120">
        <w:tc>
          <w:tcPr>
            <w:tcW w:w="1838" w:type="dxa"/>
          </w:tcPr>
          <w:p w14:paraId="6E11EBE7" w14:textId="77777777" w:rsidR="00834747" w:rsidRPr="007928E6" w:rsidRDefault="00834747" w:rsidP="00805120"/>
        </w:tc>
        <w:tc>
          <w:tcPr>
            <w:tcW w:w="3544" w:type="dxa"/>
          </w:tcPr>
          <w:p w14:paraId="4093DEC6" w14:textId="77777777" w:rsidR="00834747" w:rsidRPr="007928E6" w:rsidRDefault="00834747" w:rsidP="00805120">
            <w:pPr>
              <w:jc w:val="center"/>
              <w:rPr>
                <w:b/>
                <w:bCs/>
              </w:rPr>
            </w:pPr>
            <w:r w:rsidRPr="007928E6">
              <w:rPr>
                <w:b/>
                <w:bCs/>
              </w:rPr>
              <w:t>Mean (SD)</w:t>
            </w:r>
          </w:p>
        </w:tc>
      </w:tr>
      <w:tr w:rsidR="00834747" w:rsidRPr="007928E6" w14:paraId="098155F9" w14:textId="77777777" w:rsidTr="00805120">
        <w:tc>
          <w:tcPr>
            <w:tcW w:w="1838" w:type="dxa"/>
          </w:tcPr>
          <w:p w14:paraId="4BA7673C" w14:textId="77777777" w:rsidR="00834747" w:rsidRPr="007928E6" w:rsidRDefault="00834747" w:rsidP="00805120">
            <w:r w:rsidRPr="007928E6">
              <w:t>Group 1</w:t>
            </w:r>
          </w:p>
        </w:tc>
        <w:tc>
          <w:tcPr>
            <w:tcW w:w="3544" w:type="dxa"/>
          </w:tcPr>
          <w:p w14:paraId="703056DD" w14:textId="77777777" w:rsidR="00834747" w:rsidRPr="007928E6" w:rsidRDefault="00834747" w:rsidP="00805120">
            <w:pPr>
              <w:jc w:val="center"/>
            </w:pPr>
            <w:r w:rsidRPr="007928E6">
              <w:t>6.3 (1.5)</w:t>
            </w:r>
          </w:p>
        </w:tc>
      </w:tr>
      <w:tr w:rsidR="00834747" w:rsidRPr="007928E6" w14:paraId="0E0D7067" w14:textId="77777777" w:rsidTr="00805120">
        <w:tc>
          <w:tcPr>
            <w:tcW w:w="1838" w:type="dxa"/>
          </w:tcPr>
          <w:p w14:paraId="41CBE455" w14:textId="77777777" w:rsidR="00834747" w:rsidRPr="007928E6" w:rsidRDefault="00834747" w:rsidP="00805120">
            <w:r w:rsidRPr="007928E6">
              <w:t>Group 2</w:t>
            </w:r>
          </w:p>
        </w:tc>
        <w:tc>
          <w:tcPr>
            <w:tcW w:w="3544" w:type="dxa"/>
          </w:tcPr>
          <w:p w14:paraId="46037788" w14:textId="77777777" w:rsidR="00834747" w:rsidRPr="007928E6" w:rsidRDefault="00834747" w:rsidP="00805120">
            <w:pPr>
              <w:jc w:val="center"/>
            </w:pPr>
            <w:r w:rsidRPr="007928E6">
              <w:t>6.4 (1.7)</w:t>
            </w:r>
          </w:p>
        </w:tc>
      </w:tr>
      <w:tr w:rsidR="00834747" w:rsidRPr="007928E6" w14:paraId="097E5305" w14:textId="77777777" w:rsidTr="00805120">
        <w:tc>
          <w:tcPr>
            <w:tcW w:w="1838" w:type="dxa"/>
          </w:tcPr>
          <w:p w14:paraId="349DEAA6" w14:textId="77777777" w:rsidR="00834747" w:rsidRPr="007928E6" w:rsidRDefault="00834747" w:rsidP="00805120">
            <w:r w:rsidRPr="007928E6">
              <w:t>Group 3</w:t>
            </w:r>
          </w:p>
        </w:tc>
        <w:tc>
          <w:tcPr>
            <w:tcW w:w="3544" w:type="dxa"/>
          </w:tcPr>
          <w:p w14:paraId="293FA3DE" w14:textId="77777777" w:rsidR="00834747" w:rsidRPr="007928E6" w:rsidRDefault="00834747" w:rsidP="00805120">
            <w:pPr>
              <w:jc w:val="center"/>
            </w:pPr>
            <w:r w:rsidRPr="007928E6">
              <w:t>6.0 (1.8)</w:t>
            </w:r>
          </w:p>
        </w:tc>
      </w:tr>
      <w:tr w:rsidR="00834747" w:rsidRPr="007928E6" w14:paraId="1D9F385A" w14:textId="77777777" w:rsidTr="00805120">
        <w:tc>
          <w:tcPr>
            <w:tcW w:w="1838" w:type="dxa"/>
          </w:tcPr>
          <w:p w14:paraId="4E439259" w14:textId="77777777" w:rsidR="00834747" w:rsidRPr="007928E6" w:rsidRDefault="00834747" w:rsidP="00805120">
            <w:r w:rsidRPr="007928E6">
              <w:t>Group 4</w:t>
            </w:r>
          </w:p>
        </w:tc>
        <w:tc>
          <w:tcPr>
            <w:tcW w:w="3544" w:type="dxa"/>
          </w:tcPr>
          <w:p w14:paraId="11524EA1" w14:textId="77777777" w:rsidR="00834747" w:rsidRPr="007928E6" w:rsidRDefault="00834747" w:rsidP="00805120">
            <w:pPr>
              <w:jc w:val="center"/>
            </w:pPr>
            <w:r w:rsidRPr="007928E6">
              <w:t>6.2 (1.7)</w:t>
            </w:r>
          </w:p>
        </w:tc>
      </w:tr>
    </w:tbl>
    <w:p w14:paraId="0041A193" w14:textId="77777777" w:rsidR="00834747" w:rsidRPr="007928E6" w:rsidRDefault="00834747" w:rsidP="00834747"/>
    <w:tbl>
      <w:tblPr>
        <w:tblStyle w:val="TableGrid"/>
        <w:tblpPr w:leftFromText="180" w:rightFromText="180" w:vertAnchor="page" w:horzAnchor="margin" w:tblpY="5516"/>
        <w:tblW w:w="9814" w:type="dxa"/>
        <w:tblLook w:val="04A0" w:firstRow="1" w:lastRow="0" w:firstColumn="1" w:lastColumn="0" w:noHBand="0" w:noVBand="1"/>
      </w:tblPr>
      <w:tblGrid>
        <w:gridCol w:w="3010"/>
        <w:gridCol w:w="2268"/>
        <w:gridCol w:w="2268"/>
        <w:gridCol w:w="2268"/>
      </w:tblGrid>
      <w:tr w:rsidR="00834747" w:rsidRPr="007928E6" w14:paraId="66E32C5B" w14:textId="77777777" w:rsidTr="00805120">
        <w:tc>
          <w:tcPr>
            <w:tcW w:w="9814" w:type="dxa"/>
            <w:gridSpan w:val="4"/>
          </w:tcPr>
          <w:p w14:paraId="70E045D0" w14:textId="77777777" w:rsidR="00834747" w:rsidRPr="007928E6" w:rsidRDefault="00834747" w:rsidP="00805120">
            <w:r w:rsidRPr="007928E6">
              <w:rPr>
                <w:b/>
                <w:bCs/>
              </w:rPr>
              <w:t>Supplementary Table 5b:</w:t>
            </w:r>
            <w:r w:rsidRPr="007928E6">
              <w:t xml:space="preserve"> </w:t>
            </w:r>
            <w:r w:rsidRPr="007928E6">
              <w:rPr>
                <w:b/>
                <w:bCs/>
              </w:rPr>
              <w:t xml:space="preserve">Odds ratios for MHS use in the past 6 months across different intersectional categories with an additional confounder for resilience measured on the Connor Davidson Scale-2 (mean scores) </w:t>
            </w:r>
          </w:p>
        </w:tc>
      </w:tr>
      <w:tr w:rsidR="00834747" w:rsidRPr="007928E6" w14:paraId="2EA67734" w14:textId="77777777" w:rsidTr="00805120">
        <w:trPr>
          <w:trHeight w:val="573"/>
        </w:trPr>
        <w:tc>
          <w:tcPr>
            <w:tcW w:w="3010" w:type="dxa"/>
          </w:tcPr>
          <w:p w14:paraId="34298796" w14:textId="77777777" w:rsidR="00834747" w:rsidRPr="007928E6" w:rsidRDefault="00834747" w:rsidP="00805120">
            <w:pPr>
              <w:rPr>
                <w:b/>
                <w:bCs/>
              </w:rPr>
            </w:pPr>
          </w:p>
        </w:tc>
        <w:tc>
          <w:tcPr>
            <w:tcW w:w="2268" w:type="dxa"/>
          </w:tcPr>
          <w:p w14:paraId="384347E1" w14:textId="77777777" w:rsidR="00834747" w:rsidRPr="007928E6" w:rsidRDefault="00834747" w:rsidP="00805120">
            <w:pPr>
              <w:jc w:val="center"/>
            </w:pPr>
            <w:r w:rsidRPr="007928E6">
              <w:rPr>
                <w:b/>
                <w:bCs/>
              </w:rPr>
              <w:t>Reference</w:t>
            </w:r>
            <w:r w:rsidRPr="007928E6">
              <w:t>: Group 1</w:t>
            </w:r>
          </w:p>
          <w:p w14:paraId="08295A09" w14:textId="77777777" w:rsidR="00834747" w:rsidRPr="007928E6" w:rsidRDefault="00834747" w:rsidP="00805120">
            <w:r w:rsidRPr="007928E6">
              <w:rPr>
                <w:b/>
                <w:bCs/>
              </w:rPr>
              <w:t>Comparison</w:t>
            </w:r>
            <w:r w:rsidRPr="007928E6">
              <w:t>: Group 2</w:t>
            </w:r>
          </w:p>
        </w:tc>
        <w:tc>
          <w:tcPr>
            <w:tcW w:w="2268" w:type="dxa"/>
          </w:tcPr>
          <w:p w14:paraId="356FAFD6" w14:textId="77777777" w:rsidR="00834747" w:rsidRPr="007928E6" w:rsidRDefault="00834747" w:rsidP="00805120">
            <w:pPr>
              <w:jc w:val="center"/>
            </w:pPr>
            <w:r w:rsidRPr="007928E6">
              <w:rPr>
                <w:b/>
                <w:bCs/>
              </w:rPr>
              <w:t>Reference</w:t>
            </w:r>
            <w:r w:rsidRPr="007928E6">
              <w:t>: Group 1</w:t>
            </w:r>
          </w:p>
          <w:p w14:paraId="18B970CC" w14:textId="77777777" w:rsidR="00834747" w:rsidRPr="007928E6" w:rsidRDefault="00834747" w:rsidP="00805120">
            <w:r w:rsidRPr="007928E6">
              <w:rPr>
                <w:b/>
                <w:bCs/>
              </w:rPr>
              <w:t>Comparison</w:t>
            </w:r>
            <w:r w:rsidRPr="007928E6">
              <w:t>: Group 3</w:t>
            </w:r>
          </w:p>
        </w:tc>
        <w:tc>
          <w:tcPr>
            <w:tcW w:w="2268" w:type="dxa"/>
          </w:tcPr>
          <w:p w14:paraId="1D290399" w14:textId="77777777" w:rsidR="00834747" w:rsidRPr="007928E6" w:rsidRDefault="00834747" w:rsidP="00805120">
            <w:pPr>
              <w:jc w:val="center"/>
            </w:pPr>
            <w:r w:rsidRPr="007928E6">
              <w:rPr>
                <w:b/>
                <w:bCs/>
              </w:rPr>
              <w:t>Reference</w:t>
            </w:r>
            <w:r w:rsidRPr="007928E6">
              <w:t>: Group 1</w:t>
            </w:r>
          </w:p>
          <w:p w14:paraId="497BD4FB" w14:textId="77777777" w:rsidR="00834747" w:rsidRPr="007928E6" w:rsidRDefault="00834747" w:rsidP="00805120">
            <w:r w:rsidRPr="007928E6">
              <w:rPr>
                <w:b/>
                <w:bCs/>
              </w:rPr>
              <w:t>Comparison</w:t>
            </w:r>
            <w:r w:rsidRPr="007928E6">
              <w:t>: Group 4</w:t>
            </w:r>
          </w:p>
        </w:tc>
      </w:tr>
      <w:tr w:rsidR="00834747" w:rsidRPr="007928E6" w14:paraId="0788ED56" w14:textId="77777777" w:rsidTr="00805120">
        <w:trPr>
          <w:trHeight w:val="340"/>
        </w:trPr>
        <w:tc>
          <w:tcPr>
            <w:tcW w:w="3010" w:type="dxa"/>
          </w:tcPr>
          <w:p w14:paraId="4337CD73" w14:textId="77777777" w:rsidR="00834747" w:rsidRPr="007928E6" w:rsidRDefault="00834747" w:rsidP="00805120">
            <w:pPr>
              <w:rPr>
                <w:b/>
                <w:bCs/>
              </w:rPr>
            </w:pPr>
            <w:r w:rsidRPr="007928E6">
              <w:rPr>
                <w:b/>
                <w:bCs/>
              </w:rPr>
              <w:t xml:space="preserve">Total effect </w:t>
            </w:r>
          </w:p>
        </w:tc>
        <w:tc>
          <w:tcPr>
            <w:tcW w:w="2268" w:type="dxa"/>
            <w:vAlign w:val="center"/>
          </w:tcPr>
          <w:p w14:paraId="4ED17A29" w14:textId="77777777" w:rsidR="00834747" w:rsidRPr="007928E6" w:rsidRDefault="00834747" w:rsidP="00805120">
            <w:pPr>
              <w:jc w:val="center"/>
            </w:pPr>
            <w:r w:rsidRPr="007928E6">
              <w:t>1.70 (1.27, 2.26)</w:t>
            </w:r>
          </w:p>
        </w:tc>
        <w:tc>
          <w:tcPr>
            <w:tcW w:w="2268" w:type="dxa"/>
            <w:vAlign w:val="center"/>
          </w:tcPr>
          <w:p w14:paraId="55485860" w14:textId="77777777" w:rsidR="00834747" w:rsidRPr="007928E6" w:rsidRDefault="00834747" w:rsidP="00805120">
            <w:pPr>
              <w:jc w:val="center"/>
            </w:pPr>
            <w:r w:rsidRPr="007928E6">
              <w:t>0.94 (0.73, 1.20)</w:t>
            </w:r>
          </w:p>
        </w:tc>
        <w:tc>
          <w:tcPr>
            <w:tcW w:w="2268" w:type="dxa"/>
            <w:vAlign w:val="center"/>
          </w:tcPr>
          <w:p w14:paraId="537340C7" w14:textId="77777777" w:rsidR="00834747" w:rsidRPr="007928E6" w:rsidRDefault="00834747" w:rsidP="00805120">
            <w:pPr>
              <w:jc w:val="center"/>
            </w:pPr>
            <w:r w:rsidRPr="007928E6">
              <w:t>1.27 (0.75, 2.16)</w:t>
            </w:r>
          </w:p>
        </w:tc>
      </w:tr>
      <w:tr w:rsidR="00834747" w:rsidRPr="007928E6" w14:paraId="0C07B6FD" w14:textId="77777777" w:rsidTr="00805120">
        <w:trPr>
          <w:trHeight w:val="340"/>
        </w:trPr>
        <w:tc>
          <w:tcPr>
            <w:tcW w:w="3010" w:type="dxa"/>
          </w:tcPr>
          <w:p w14:paraId="2B05A3F5" w14:textId="77777777" w:rsidR="00834747" w:rsidRPr="007928E6" w:rsidRDefault="00834747" w:rsidP="00805120">
            <w:r w:rsidRPr="007928E6">
              <w:rPr>
                <w:b/>
                <w:bCs/>
              </w:rPr>
              <w:t>Pure direct effect</w:t>
            </w:r>
          </w:p>
        </w:tc>
        <w:tc>
          <w:tcPr>
            <w:tcW w:w="2268" w:type="dxa"/>
            <w:vAlign w:val="center"/>
          </w:tcPr>
          <w:p w14:paraId="126FABD3" w14:textId="77777777" w:rsidR="00834747" w:rsidRPr="007928E6" w:rsidRDefault="00834747" w:rsidP="00805120">
            <w:pPr>
              <w:jc w:val="center"/>
            </w:pPr>
            <w:r w:rsidRPr="007928E6">
              <w:t>1.67 (1.24, 2.20)</w:t>
            </w:r>
          </w:p>
        </w:tc>
        <w:tc>
          <w:tcPr>
            <w:tcW w:w="2268" w:type="dxa"/>
            <w:vAlign w:val="center"/>
          </w:tcPr>
          <w:p w14:paraId="611F6B82" w14:textId="77777777" w:rsidR="00834747" w:rsidRPr="007928E6" w:rsidRDefault="00834747" w:rsidP="00805120">
            <w:pPr>
              <w:jc w:val="center"/>
            </w:pPr>
            <w:r w:rsidRPr="007928E6">
              <w:t>0.83 (0.64, 1.08)</w:t>
            </w:r>
          </w:p>
        </w:tc>
        <w:tc>
          <w:tcPr>
            <w:tcW w:w="2268" w:type="dxa"/>
            <w:vAlign w:val="center"/>
          </w:tcPr>
          <w:p w14:paraId="0D6C3A5D" w14:textId="77777777" w:rsidR="00834747" w:rsidRPr="007928E6" w:rsidRDefault="00834747" w:rsidP="00805120">
            <w:pPr>
              <w:jc w:val="center"/>
            </w:pPr>
            <w:r w:rsidRPr="007928E6">
              <w:t>1.25 (0.72, 2.16)</w:t>
            </w:r>
          </w:p>
        </w:tc>
      </w:tr>
      <w:tr w:rsidR="00834747" w:rsidRPr="007928E6" w14:paraId="6158DAD3" w14:textId="77777777" w:rsidTr="00805120">
        <w:trPr>
          <w:trHeight w:val="340"/>
        </w:trPr>
        <w:tc>
          <w:tcPr>
            <w:tcW w:w="3010" w:type="dxa"/>
          </w:tcPr>
          <w:p w14:paraId="1F03BA0A" w14:textId="77777777" w:rsidR="00834747" w:rsidRPr="007928E6" w:rsidRDefault="00834747" w:rsidP="00805120">
            <w:r w:rsidRPr="007928E6">
              <w:rPr>
                <w:b/>
                <w:bCs/>
              </w:rPr>
              <w:t>Pure indirect effect</w:t>
            </w:r>
          </w:p>
        </w:tc>
        <w:tc>
          <w:tcPr>
            <w:tcW w:w="2268" w:type="dxa"/>
            <w:vAlign w:val="center"/>
          </w:tcPr>
          <w:p w14:paraId="6D04D8F6" w14:textId="77777777" w:rsidR="00834747" w:rsidRPr="007928E6" w:rsidRDefault="00834747" w:rsidP="00805120">
            <w:pPr>
              <w:jc w:val="center"/>
            </w:pPr>
            <w:r w:rsidRPr="007928E6">
              <w:t>1.01 (0.98, 1.04)</w:t>
            </w:r>
          </w:p>
        </w:tc>
        <w:tc>
          <w:tcPr>
            <w:tcW w:w="2268" w:type="dxa"/>
            <w:vAlign w:val="center"/>
          </w:tcPr>
          <w:p w14:paraId="6E045292" w14:textId="77777777" w:rsidR="00834747" w:rsidRPr="007928E6" w:rsidRDefault="00834747" w:rsidP="00805120">
            <w:pPr>
              <w:jc w:val="center"/>
            </w:pPr>
            <w:r w:rsidRPr="007928E6">
              <w:t>1.08 (1.02, 1.16)</w:t>
            </w:r>
          </w:p>
        </w:tc>
        <w:tc>
          <w:tcPr>
            <w:tcW w:w="2268" w:type="dxa"/>
            <w:vAlign w:val="center"/>
          </w:tcPr>
          <w:p w14:paraId="36E098F6" w14:textId="77777777" w:rsidR="00834747" w:rsidRPr="007928E6" w:rsidRDefault="00834747" w:rsidP="00805120">
            <w:pPr>
              <w:jc w:val="center"/>
            </w:pPr>
            <w:r w:rsidRPr="007928E6">
              <w:t>1.07 (1.00, 1.14)</w:t>
            </w:r>
          </w:p>
        </w:tc>
      </w:tr>
      <w:tr w:rsidR="00834747" w:rsidRPr="007928E6" w14:paraId="6ABB3E84" w14:textId="77777777" w:rsidTr="00805120">
        <w:trPr>
          <w:trHeight w:val="340"/>
        </w:trPr>
        <w:tc>
          <w:tcPr>
            <w:tcW w:w="3010" w:type="dxa"/>
          </w:tcPr>
          <w:p w14:paraId="28CFB91B" w14:textId="77777777" w:rsidR="00834747" w:rsidRPr="007928E6" w:rsidRDefault="00834747" w:rsidP="00805120">
            <w:r w:rsidRPr="007928E6">
              <w:rPr>
                <w:b/>
                <w:bCs/>
              </w:rPr>
              <w:t>Mediated interaction effect</w:t>
            </w:r>
          </w:p>
        </w:tc>
        <w:tc>
          <w:tcPr>
            <w:tcW w:w="2268" w:type="dxa"/>
            <w:vAlign w:val="center"/>
          </w:tcPr>
          <w:p w14:paraId="43FCFC3A" w14:textId="77777777" w:rsidR="00834747" w:rsidRPr="007928E6" w:rsidRDefault="00834747" w:rsidP="00805120">
            <w:pPr>
              <w:jc w:val="center"/>
            </w:pPr>
            <w:r w:rsidRPr="007928E6">
              <w:t>1.00 (0.98, 1.02)</w:t>
            </w:r>
          </w:p>
        </w:tc>
        <w:tc>
          <w:tcPr>
            <w:tcW w:w="2268" w:type="dxa"/>
            <w:vAlign w:val="center"/>
          </w:tcPr>
          <w:p w14:paraId="5B65187B" w14:textId="77777777" w:rsidR="00834747" w:rsidRPr="007928E6" w:rsidRDefault="00834747" w:rsidP="00805120">
            <w:pPr>
              <w:jc w:val="center"/>
            </w:pPr>
            <w:r w:rsidRPr="007928E6">
              <w:t>1.03 (0.93, 1.15)</w:t>
            </w:r>
          </w:p>
        </w:tc>
        <w:tc>
          <w:tcPr>
            <w:tcW w:w="2268" w:type="dxa"/>
            <w:vAlign w:val="center"/>
          </w:tcPr>
          <w:p w14:paraId="5069179A" w14:textId="77777777" w:rsidR="00834747" w:rsidRPr="007928E6" w:rsidRDefault="00834747" w:rsidP="00805120">
            <w:pPr>
              <w:jc w:val="center"/>
            </w:pPr>
            <w:r w:rsidRPr="007928E6">
              <w:t>0.95 (0.78, 1.14)</w:t>
            </w:r>
          </w:p>
        </w:tc>
      </w:tr>
      <w:tr w:rsidR="00834747" w:rsidRPr="007928E6" w14:paraId="1EE56CAC" w14:textId="77777777" w:rsidTr="00805120">
        <w:tc>
          <w:tcPr>
            <w:tcW w:w="9814" w:type="dxa"/>
            <w:gridSpan w:val="4"/>
          </w:tcPr>
          <w:p w14:paraId="2C5A4A69" w14:textId="208F82DB" w:rsidR="00834747" w:rsidRPr="007928E6" w:rsidRDefault="00834747" w:rsidP="00805120">
            <w:r w:rsidRPr="007928E6">
              <w:rPr>
                <w:b/>
                <w:bCs/>
              </w:rPr>
              <w:t>Confounders adjusted for in the model</w:t>
            </w:r>
            <w:r w:rsidRPr="007928E6">
              <w:t xml:space="preserve">: age, city, having a chronic mental health condition, </w:t>
            </w:r>
            <w:r w:rsidR="001264D0" w:rsidRPr="007928E6">
              <w:t>Canadian citizenship</w:t>
            </w:r>
            <w:r w:rsidRPr="007928E6">
              <w:t>, and cisgender status, mean scores measured on the Connor Davidson Resilience Scale-2 measured at baseline</w:t>
            </w:r>
          </w:p>
        </w:tc>
      </w:tr>
    </w:tbl>
    <w:p w14:paraId="2B48C053" w14:textId="77777777" w:rsidR="00E24CB4" w:rsidRPr="007928E6" w:rsidRDefault="00E24CB4" w:rsidP="00732713">
      <w:pPr>
        <w:pStyle w:val="NoSpacing"/>
        <w:ind w:firstLine="720"/>
        <w:jc w:val="both"/>
        <w:rPr>
          <w:rFonts w:cstheme="minorHAnsi"/>
        </w:rPr>
        <w:sectPr w:rsidR="00E24CB4" w:rsidRPr="007928E6">
          <w:pgSz w:w="12240" w:h="15840"/>
          <w:pgMar w:top="1440" w:right="1440" w:bottom="1440" w:left="1440" w:header="708" w:footer="708" w:gutter="0"/>
          <w:cols w:space="708"/>
          <w:docGrid w:linePitch="360"/>
        </w:sectPr>
      </w:pPr>
    </w:p>
    <w:tbl>
      <w:tblPr>
        <w:tblStyle w:val="TableGrid"/>
        <w:tblW w:w="9815" w:type="dxa"/>
        <w:jc w:val="center"/>
        <w:tblLook w:val="04A0" w:firstRow="1" w:lastRow="0" w:firstColumn="1" w:lastColumn="0" w:noHBand="0" w:noVBand="1"/>
      </w:tblPr>
      <w:tblGrid>
        <w:gridCol w:w="3011"/>
        <w:gridCol w:w="2268"/>
        <w:gridCol w:w="2268"/>
        <w:gridCol w:w="2268"/>
      </w:tblGrid>
      <w:tr w:rsidR="00E24CB4" w:rsidRPr="007928E6" w14:paraId="21711C7D" w14:textId="77777777" w:rsidTr="00805120">
        <w:trPr>
          <w:jc w:val="center"/>
        </w:trPr>
        <w:tc>
          <w:tcPr>
            <w:tcW w:w="9815" w:type="dxa"/>
            <w:gridSpan w:val="4"/>
          </w:tcPr>
          <w:p w14:paraId="2106EAF9" w14:textId="77777777" w:rsidR="00E24CB4" w:rsidRPr="007928E6" w:rsidRDefault="00E24CB4" w:rsidP="00805120">
            <w:pPr>
              <w:rPr>
                <w:b/>
                <w:bCs/>
              </w:rPr>
            </w:pPr>
            <w:r w:rsidRPr="007928E6">
              <w:rPr>
                <w:b/>
                <w:bCs/>
              </w:rPr>
              <w:lastRenderedPageBreak/>
              <w:t xml:space="preserve">Supplementary Table 6: Odds ratios for MHS use in the past 6 months across different intersectional categories, lagging the outcome by 1 year and accounting for loss to follow-up by using inverse probability weights </w:t>
            </w:r>
          </w:p>
        </w:tc>
      </w:tr>
      <w:tr w:rsidR="00E24CB4" w:rsidRPr="007928E6" w14:paraId="797258E0" w14:textId="77777777" w:rsidTr="00805120">
        <w:trPr>
          <w:jc w:val="center"/>
        </w:trPr>
        <w:tc>
          <w:tcPr>
            <w:tcW w:w="3011" w:type="dxa"/>
          </w:tcPr>
          <w:p w14:paraId="0B5EAC93" w14:textId="77777777" w:rsidR="00E24CB4" w:rsidRPr="007928E6" w:rsidRDefault="00E24CB4" w:rsidP="00805120">
            <w:pPr>
              <w:rPr>
                <w:u w:val="single"/>
              </w:rPr>
            </w:pPr>
          </w:p>
        </w:tc>
        <w:tc>
          <w:tcPr>
            <w:tcW w:w="2268" w:type="dxa"/>
          </w:tcPr>
          <w:p w14:paraId="4A0F299E" w14:textId="77777777" w:rsidR="00E24CB4" w:rsidRPr="007928E6" w:rsidRDefault="00E24CB4" w:rsidP="00805120">
            <w:pPr>
              <w:jc w:val="center"/>
            </w:pPr>
            <w:r w:rsidRPr="007928E6">
              <w:rPr>
                <w:b/>
                <w:bCs/>
              </w:rPr>
              <w:t>Reference</w:t>
            </w:r>
            <w:r w:rsidRPr="007928E6">
              <w:t>: Group 1</w:t>
            </w:r>
          </w:p>
          <w:p w14:paraId="42BC5E4D" w14:textId="77777777" w:rsidR="00E24CB4" w:rsidRPr="007928E6" w:rsidRDefault="00E24CB4" w:rsidP="00805120">
            <w:pPr>
              <w:jc w:val="center"/>
              <w:rPr>
                <w:u w:val="single"/>
              </w:rPr>
            </w:pPr>
            <w:r w:rsidRPr="007928E6">
              <w:rPr>
                <w:b/>
                <w:bCs/>
              </w:rPr>
              <w:t>Comparison</w:t>
            </w:r>
            <w:r w:rsidRPr="007928E6">
              <w:t>: Group 2</w:t>
            </w:r>
          </w:p>
        </w:tc>
        <w:tc>
          <w:tcPr>
            <w:tcW w:w="2268" w:type="dxa"/>
          </w:tcPr>
          <w:p w14:paraId="4F7A89E3" w14:textId="77777777" w:rsidR="00E24CB4" w:rsidRPr="007928E6" w:rsidRDefault="00E24CB4" w:rsidP="00805120">
            <w:pPr>
              <w:jc w:val="center"/>
            </w:pPr>
            <w:r w:rsidRPr="007928E6">
              <w:rPr>
                <w:b/>
                <w:bCs/>
              </w:rPr>
              <w:t>Reference</w:t>
            </w:r>
            <w:r w:rsidRPr="007928E6">
              <w:t>: Group 1</w:t>
            </w:r>
          </w:p>
          <w:p w14:paraId="2B08A21B" w14:textId="77777777" w:rsidR="00E24CB4" w:rsidRPr="007928E6" w:rsidRDefault="00E24CB4" w:rsidP="00805120">
            <w:pPr>
              <w:jc w:val="center"/>
              <w:rPr>
                <w:u w:val="single"/>
              </w:rPr>
            </w:pPr>
            <w:r w:rsidRPr="007928E6">
              <w:rPr>
                <w:b/>
                <w:bCs/>
              </w:rPr>
              <w:t>Comparison</w:t>
            </w:r>
            <w:r w:rsidRPr="007928E6">
              <w:t>: Group 3</w:t>
            </w:r>
          </w:p>
        </w:tc>
        <w:tc>
          <w:tcPr>
            <w:tcW w:w="2268" w:type="dxa"/>
          </w:tcPr>
          <w:p w14:paraId="053FBB15" w14:textId="77777777" w:rsidR="00E24CB4" w:rsidRPr="007928E6" w:rsidRDefault="00E24CB4" w:rsidP="00805120">
            <w:pPr>
              <w:jc w:val="center"/>
            </w:pPr>
            <w:r w:rsidRPr="007928E6">
              <w:rPr>
                <w:b/>
                <w:bCs/>
              </w:rPr>
              <w:t>Reference</w:t>
            </w:r>
            <w:r w:rsidRPr="007928E6">
              <w:t>: Group 1</w:t>
            </w:r>
          </w:p>
          <w:p w14:paraId="78F8BCDD" w14:textId="77777777" w:rsidR="00E24CB4" w:rsidRPr="007928E6" w:rsidRDefault="00E24CB4" w:rsidP="00805120">
            <w:pPr>
              <w:jc w:val="center"/>
              <w:rPr>
                <w:u w:val="single"/>
              </w:rPr>
            </w:pPr>
            <w:r w:rsidRPr="007928E6">
              <w:rPr>
                <w:b/>
                <w:bCs/>
              </w:rPr>
              <w:t>Comparison</w:t>
            </w:r>
            <w:r w:rsidRPr="007928E6">
              <w:t>: Group 4</w:t>
            </w:r>
          </w:p>
        </w:tc>
      </w:tr>
      <w:tr w:rsidR="00E24CB4" w:rsidRPr="007928E6" w14:paraId="7DDF3BEA" w14:textId="77777777" w:rsidTr="00805120">
        <w:trPr>
          <w:trHeight w:val="340"/>
          <w:jc w:val="center"/>
        </w:trPr>
        <w:tc>
          <w:tcPr>
            <w:tcW w:w="3011" w:type="dxa"/>
            <w:vAlign w:val="center"/>
          </w:tcPr>
          <w:p w14:paraId="32C88D7A" w14:textId="77777777" w:rsidR="00E24CB4" w:rsidRPr="007928E6" w:rsidRDefault="00E24CB4" w:rsidP="00805120">
            <w:pPr>
              <w:rPr>
                <w:b/>
                <w:bCs/>
              </w:rPr>
            </w:pPr>
            <w:r w:rsidRPr="007928E6">
              <w:rPr>
                <w:b/>
                <w:bCs/>
              </w:rPr>
              <w:t>Total effect</w:t>
            </w:r>
          </w:p>
        </w:tc>
        <w:tc>
          <w:tcPr>
            <w:tcW w:w="2268" w:type="dxa"/>
            <w:vAlign w:val="center"/>
          </w:tcPr>
          <w:p w14:paraId="52E83DC9" w14:textId="77777777" w:rsidR="00E24CB4" w:rsidRPr="007928E6" w:rsidRDefault="00E24CB4" w:rsidP="00805120">
            <w:pPr>
              <w:jc w:val="center"/>
            </w:pPr>
            <w:r w:rsidRPr="007928E6">
              <w:t>1.26 (0.89, 1.77)</w:t>
            </w:r>
          </w:p>
        </w:tc>
        <w:tc>
          <w:tcPr>
            <w:tcW w:w="2268" w:type="dxa"/>
            <w:vAlign w:val="center"/>
          </w:tcPr>
          <w:p w14:paraId="32973843" w14:textId="77777777" w:rsidR="00E24CB4" w:rsidRPr="007928E6" w:rsidRDefault="00E24CB4" w:rsidP="00805120">
            <w:pPr>
              <w:jc w:val="center"/>
            </w:pPr>
            <w:r w:rsidRPr="007928E6">
              <w:t>0.98 (0.74, 1.29)</w:t>
            </w:r>
          </w:p>
        </w:tc>
        <w:tc>
          <w:tcPr>
            <w:tcW w:w="2268" w:type="dxa"/>
            <w:vAlign w:val="center"/>
          </w:tcPr>
          <w:p w14:paraId="6E563FEC" w14:textId="77777777" w:rsidR="00E24CB4" w:rsidRPr="007928E6" w:rsidRDefault="00E24CB4" w:rsidP="00805120">
            <w:pPr>
              <w:jc w:val="center"/>
            </w:pPr>
            <w:r w:rsidRPr="007928E6">
              <w:t>1.18 (0.64, 2.16)</w:t>
            </w:r>
          </w:p>
        </w:tc>
      </w:tr>
      <w:tr w:rsidR="00E24CB4" w:rsidRPr="007928E6" w14:paraId="6AAA8A8D" w14:textId="77777777" w:rsidTr="00805120">
        <w:trPr>
          <w:trHeight w:val="340"/>
          <w:jc w:val="center"/>
        </w:trPr>
        <w:tc>
          <w:tcPr>
            <w:tcW w:w="3011" w:type="dxa"/>
            <w:vAlign w:val="center"/>
          </w:tcPr>
          <w:p w14:paraId="780A7185" w14:textId="77777777" w:rsidR="00E24CB4" w:rsidRPr="007928E6" w:rsidRDefault="00E24CB4" w:rsidP="00805120">
            <w:pPr>
              <w:rPr>
                <w:b/>
                <w:bCs/>
              </w:rPr>
            </w:pPr>
            <w:r w:rsidRPr="007928E6">
              <w:rPr>
                <w:b/>
                <w:bCs/>
              </w:rPr>
              <w:t>Pure direct effect</w:t>
            </w:r>
          </w:p>
        </w:tc>
        <w:tc>
          <w:tcPr>
            <w:tcW w:w="2268" w:type="dxa"/>
            <w:vAlign w:val="center"/>
          </w:tcPr>
          <w:p w14:paraId="43B202B6" w14:textId="77777777" w:rsidR="00E24CB4" w:rsidRPr="007928E6" w:rsidRDefault="00E24CB4" w:rsidP="00805120">
            <w:pPr>
              <w:jc w:val="center"/>
            </w:pPr>
            <w:r w:rsidRPr="007928E6">
              <w:t>1.25 (0.87, 1.75)</w:t>
            </w:r>
          </w:p>
        </w:tc>
        <w:tc>
          <w:tcPr>
            <w:tcW w:w="2268" w:type="dxa"/>
            <w:vAlign w:val="center"/>
          </w:tcPr>
          <w:p w14:paraId="1F1EE2A6" w14:textId="77777777" w:rsidR="00E24CB4" w:rsidRPr="007928E6" w:rsidRDefault="00E24CB4" w:rsidP="00805120">
            <w:pPr>
              <w:jc w:val="center"/>
            </w:pPr>
            <w:r w:rsidRPr="007928E6">
              <w:t>0.81 (0.60, 1.10)</w:t>
            </w:r>
          </w:p>
        </w:tc>
        <w:tc>
          <w:tcPr>
            <w:tcW w:w="2268" w:type="dxa"/>
            <w:vAlign w:val="center"/>
          </w:tcPr>
          <w:p w14:paraId="7EE9CEAC" w14:textId="77777777" w:rsidR="00E24CB4" w:rsidRPr="007928E6" w:rsidRDefault="00E24CB4" w:rsidP="00805120">
            <w:pPr>
              <w:jc w:val="center"/>
            </w:pPr>
            <w:r w:rsidRPr="007928E6">
              <w:t>1.11 (0.62, 2.06)</w:t>
            </w:r>
          </w:p>
        </w:tc>
      </w:tr>
      <w:tr w:rsidR="00E24CB4" w:rsidRPr="007928E6" w14:paraId="2DF5DC1B" w14:textId="77777777" w:rsidTr="00805120">
        <w:trPr>
          <w:trHeight w:val="340"/>
          <w:jc w:val="center"/>
        </w:trPr>
        <w:tc>
          <w:tcPr>
            <w:tcW w:w="3011" w:type="dxa"/>
            <w:vAlign w:val="center"/>
          </w:tcPr>
          <w:p w14:paraId="2B923CFC" w14:textId="77777777" w:rsidR="00E24CB4" w:rsidRPr="007928E6" w:rsidRDefault="00E24CB4" w:rsidP="00805120">
            <w:pPr>
              <w:rPr>
                <w:b/>
                <w:bCs/>
              </w:rPr>
            </w:pPr>
            <w:r w:rsidRPr="007928E6">
              <w:rPr>
                <w:b/>
                <w:bCs/>
              </w:rPr>
              <w:t>Pure indirect effect</w:t>
            </w:r>
          </w:p>
        </w:tc>
        <w:tc>
          <w:tcPr>
            <w:tcW w:w="2268" w:type="dxa"/>
            <w:vAlign w:val="center"/>
          </w:tcPr>
          <w:p w14:paraId="243A4965" w14:textId="77777777" w:rsidR="00E24CB4" w:rsidRPr="007928E6" w:rsidRDefault="00E24CB4" w:rsidP="00805120">
            <w:pPr>
              <w:jc w:val="center"/>
            </w:pPr>
            <w:r w:rsidRPr="007928E6">
              <w:t>1.02 (0.98, 1.05)</w:t>
            </w:r>
          </w:p>
        </w:tc>
        <w:tc>
          <w:tcPr>
            <w:tcW w:w="2268" w:type="dxa"/>
            <w:vAlign w:val="center"/>
          </w:tcPr>
          <w:p w14:paraId="6B1E63DB" w14:textId="77777777" w:rsidR="00E24CB4" w:rsidRPr="007928E6" w:rsidRDefault="00E24CB4" w:rsidP="00805120">
            <w:pPr>
              <w:jc w:val="center"/>
            </w:pPr>
            <w:r w:rsidRPr="007928E6">
              <w:t>1.09 (1.01, 1.18)</w:t>
            </w:r>
          </w:p>
        </w:tc>
        <w:tc>
          <w:tcPr>
            <w:tcW w:w="2268" w:type="dxa"/>
            <w:vAlign w:val="center"/>
          </w:tcPr>
          <w:p w14:paraId="07E9C34B" w14:textId="77777777" w:rsidR="00E24CB4" w:rsidRPr="007928E6" w:rsidRDefault="00E24CB4" w:rsidP="00805120">
            <w:pPr>
              <w:jc w:val="center"/>
            </w:pPr>
            <w:r w:rsidRPr="007928E6">
              <w:t>1.08 (0.98, 1.18)</w:t>
            </w:r>
          </w:p>
        </w:tc>
      </w:tr>
      <w:tr w:rsidR="00E24CB4" w:rsidRPr="007928E6" w14:paraId="0DF6CDD4" w14:textId="77777777" w:rsidTr="00805120">
        <w:trPr>
          <w:jc w:val="center"/>
        </w:trPr>
        <w:tc>
          <w:tcPr>
            <w:tcW w:w="3011" w:type="dxa"/>
          </w:tcPr>
          <w:p w14:paraId="4C09B2B4" w14:textId="77777777" w:rsidR="00E24CB4" w:rsidRPr="007928E6" w:rsidRDefault="00E24CB4" w:rsidP="00805120">
            <w:pPr>
              <w:rPr>
                <w:b/>
                <w:bCs/>
              </w:rPr>
            </w:pPr>
            <w:r w:rsidRPr="007928E6">
              <w:rPr>
                <w:b/>
                <w:bCs/>
              </w:rPr>
              <w:t>Mediated interaction effect</w:t>
            </w:r>
          </w:p>
        </w:tc>
        <w:tc>
          <w:tcPr>
            <w:tcW w:w="2268" w:type="dxa"/>
          </w:tcPr>
          <w:p w14:paraId="2B197464" w14:textId="77777777" w:rsidR="00E24CB4" w:rsidRPr="007928E6" w:rsidRDefault="00E24CB4" w:rsidP="00805120">
            <w:pPr>
              <w:jc w:val="center"/>
            </w:pPr>
            <w:r w:rsidRPr="007928E6">
              <w:t>0.99 (0.95, 1.03)</w:t>
            </w:r>
          </w:p>
        </w:tc>
        <w:tc>
          <w:tcPr>
            <w:tcW w:w="2268" w:type="dxa"/>
          </w:tcPr>
          <w:p w14:paraId="0A92E15F" w14:textId="77777777" w:rsidR="00E24CB4" w:rsidRPr="007928E6" w:rsidRDefault="00E24CB4" w:rsidP="00805120">
            <w:pPr>
              <w:jc w:val="center"/>
            </w:pPr>
            <w:r w:rsidRPr="007928E6">
              <w:t>1.11 (0.98, 1.26)</w:t>
            </w:r>
          </w:p>
        </w:tc>
        <w:tc>
          <w:tcPr>
            <w:tcW w:w="2268" w:type="dxa"/>
          </w:tcPr>
          <w:p w14:paraId="3FDCA01A" w14:textId="77777777" w:rsidR="00E24CB4" w:rsidRPr="007928E6" w:rsidRDefault="00E24CB4" w:rsidP="00805120">
            <w:pPr>
              <w:jc w:val="center"/>
            </w:pPr>
            <w:r w:rsidRPr="007928E6">
              <w:t>0.98 (0.75, 1.29)</w:t>
            </w:r>
          </w:p>
        </w:tc>
      </w:tr>
      <w:tr w:rsidR="00E24CB4" w:rsidRPr="007928E6" w14:paraId="35E361AB" w14:textId="77777777" w:rsidTr="00805120">
        <w:trPr>
          <w:jc w:val="center"/>
        </w:trPr>
        <w:tc>
          <w:tcPr>
            <w:tcW w:w="9815" w:type="dxa"/>
            <w:gridSpan w:val="4"/>
          </w:tcPr>
          <w:p w14:paraId="50430353" w14:textId="416C265E" w:rsidR="00E24CB4" w:rsidRPr="007928E6" w:rsidRDefault="00E24CB4" w:rsidP="00805120">
            <w:r w:rsidRPr="007928E6">
              <w:rPr>
                <w:b/>
                <w:bCs/>
              </w:rPr>
              <w:t>Confounders adjusted for in the model</w:t>
            </w:r>
            <w:r w:rsidRPr="007928E6">
              <w:t xml:space="preserve">: age, city, having a chronic mental health condition, </w:t>
            </w:r>
            <w:r w:rsidR="001264D0" w:rsidRPr="007928E6">
              <w:t>Canadian citizenship</w:t>
            </w:r>
            <w:r w:rsidRPr="007928E6">
              <w:t>, and cisgender status measured at baseline</w:t>
            </w:r>
          </w:p>
        </w:tc>
      </w:tr>
    </w:tbl>
    <w:p w14:paraId="6F26A0C7" w14:textId="77777777" w:rsidR="00E24CB4" w:rsidRPr="007928E6" w:rsidRDefault="00E24CB4" w:rsidP="00E24CB4">
      <w:pPr>
        <w:jc w:val="both"/>
        <w:rPr>
          <w:sz w:val="10"/>
          <w:szCs w:val="10"/>
        </w:rPr>
      </w:pPr>
    </w:p>
    <w:p w14:paraId="37F2F352" w14:textId="4BDA8FA2" w:rsidR="00E24CB4" w:rsidRPr="007928E6" w:rsidRDefault="00E24CB4" w:rsidP="00E24CB4">
      <w:pPr>
        <w:jc w:val="both"/>
      </w:pPr>
      <w:r w:rsidRPr="007928E6">
        <w:t>Inverse probability weights were created by fitting a logistic regression model of loss to follow-up status in the first year of follow-up (yes/no) on variables that were identified to potentially affect retention but also associated with the outcome</w:t>
      </w:r>
      <w:r w:rsidR="00FF681B" w:rsidRPr="007928E6">
        <w:t xml:space="preserve"> </w:t>
      </w:r>
      <w:r w:rsidR="00E31F8B">
        <w:rPr>
          <w:noProof/>
        </w:rPr>
        <w:t>(Willems et al., 2018)</w:t>
      </w:r>
      <w:r w:rsidRPr="007928E6">
        <w:t xml:space="preserve">. These were age, cisgender identity, HIV status, education, income, </w:t>
      </w:r>
      <w:r w:rsidR="002F4304" w:rsidRPr="007928E6">
        <w:t>Canadian citizenship</w:t>
      </w:r>
      <w:r w:rsidRPr="007928E6">
        <w:t xml:space="preserve">, racial identity (racialized or not), discrimination (EDS mean scores), living with a chronic mental health condition and city. Variables were categorized as indicated in Table 1 of the main manuscript. </w:t>
      </w:r>
    </w:p>
    <w:p w14:paraId="7E6D6288" w14:textId="045F326D" w:rsidR="00E24CB4" w:rsidRPr="007928E6" w:rsidRDefault="00E24CB4" w:rsidP="00E24CB4">
      <w:pPr>
        <w:jc w:val="both"/>
        <w:rPr>
          <w:rFonts w:ascii="Times New Roman" w:hAnsi="Times New Roman" w:cs="Times New Roman"/>
          <w:sz w:val="24"/>
          <w:szCs w:val="24"/>
        </w:rPr>
      </w:pPr>
      <w:r w:rsidRPr="007928E6">
        <w:t xml:space="preserve">The inverse probability of </w:t>
      </w:r>
      <w:bookmarkStart w:id="0" w:name="_Hlk135402951"/>
      <w:r w:rsidRPr="007928E6">
        <w:t xml:space="preserve">not </w:t>
      </w:r>
      <w:bookmarkEnd w:id="0"/>
      <w:r w:rsidRPr="007928E6">
        <w:t xml:space="preserve">being lost to follow up was then obtained for each participant. These were used as weights in the natural effect models. Thus, participants who had a higher probability of being lost were weighted up and those who had lower probability of being lost were weighted down.  This accounts for the selection bias that may be produced by only including participants that were retained.  </w:t>
      </w:r>
    </w:p>
    <w:p w14:paraId="41D55AE2" w14:textId="77777777" w:rsidR="00593561" w:rsidRPr="007928E6" w:rsidRDefault="00593561" w:rsidP="00732713">
      <w:pPr>
        <w:pStyle w:val="NoSpacing"/>
        <w:ind w:firstLine="720"/>
        <w:jc w:val="both"/>
        <w:rPr>
          <w:rFonts w:cstheme="minorHAnsi"/>
        </w:rPr>
        <w:sectPr w:rsidR="00593561" w:rsidRPr="007928E6">
          <w:pgSz w:w="12240" w:h="15840"/>
          <w:pgMar w:top="1440" w:right="1440" w:bottom="1440" w:left="1440" w:header="708" w:footer="708" w:gutter="0"/>
          <w:cols w:space="708"/>
          <w:docGrid w:linePitch="360"/>
        </w:sectPr>
      </w:pPr>
    </w:p>
    <w:tbl>
      <w:tblPr>
        <w:tblStyle w:val="TableGrid"/>
        <w:tblpPr w:leftFromText="180" w:rightFromText="180" w:vertAnchor="text" w:tblpXSpec="center" w:tblpY="1"/>
        <w:tblOverlap w:val="never"/>
        <w:tblW w:w="10876" w:type="dxa"/>
        <w:tblLook w:val="04A0" w:firstRow="1" w:lastRow="0" w:firstColumn="1" w:lastColumn="0" w:noHBand="0" w:noVBand="1"/>
      </w:tblPr>
      <w:tblGrid>
        <w:gridCol w:w="3620"/>
        <w:gridCol w:w="1814"/>
        <w:gridCol w:w="1814"/>
        <w:gridCol w:w="1814"/>
        <w:gridCol w:w="1814"/>
      </w:tblGrid>
      <w:tr w:rsidR="00593561" w:rsidRPr="007928E6" w14:paraId="432C8107" w14:textId="77777777" w:rsidTr="006A69C5">
        <w:trPr>
          <w:trHeight w:val="340"/>
        </w:trPr>
        <w:tc>
          <w:tcPr>
            <w:tcW w:w="10876" w:type="dxa"/>
            <w:gridSpan w:val="5"/>
          </w:tcPr>
          <w:p w14:paraId="310C6286" w14:textId="39CC41AF" w:rsidR="00593561" w:rsidRPr="007928E6" w:rsidRDefault="00593561" w:rsidP="00805120">
            <w:pPr>
              <w:tabs>
                <w:tab w:val="left" w:pos="3180"/>
              </w:tabs>
              <w:rPr>
                <w:b/>
                <w:bCs/>
              </w:rPr>
            </w:pPr>
            <w:r w:rsidRPr="007928E6">
              <w:rPr>
                <w:b/>
                <w:bCs/>
              </w:rPr>
              <w:lastRenderedPageBreak/>
              <w:t xml:space="preserve">Supplementary Table 7:  </w:t>
            </w:r>
            <w:r w:rsidR="006A69C5" w:rsidRPr="007928E6">
              <w:rPr>
                <w:b/>
                <w:bCs/>
              </w:rPr>
              <w:t>Comparison of selected socioeconomic factors between intersectional groups</w:t>
            </w:r>
          </w:p>
        </w:tc>
      </w:tr>
      <w:tr w:rsidR="00593561" w:rsidRPr="007928E6" w14:paraId="0166C3C7" w14:textId="77777777" w:rsidTr="006A69C5">
        <w:trPr>
          <w:trHeight w:val="590"/>
        </w:trPr>
        <w:tc>
          <w:tcPr>
            <w:tcW w:w="3620" w:type="dxa"/>
          </w:tcPr>
          <w:p w14:paraId="1D5EB4EC" w14:textId="77777777" w:rsidR="00593561" w:rsidRPr="007928E6" w:rsidRDefault="00593561" w:rsidP="00805120">
            <w:pPr>
              <w:tabs>
                <w:tab w:val="left" w:pos="3180"/>
              </w:tabs>
            </w:pPr>
          </w:p>
        </w:tc>
        <w:tc>
          <w:tcPr>
            <w:tcW w:w="1814" w:type="dxa"/>
          </w:tcPr>
          <w:p w14:paraId="554F913B" w14:textId="7798B6DB" w:rsidR="00593561" w:rsidRPr="007928E6" w:rsidRDefault="00593561" w:rsidP="00805120">
            <w:pPr>
              <w:tabs>
                <w:tab w:val="left" w:pos="3180"/>
              </w:tabs>
              <w:jc w:val="center"/>
              <w:rPr>
                <w:b/>
                <w:bCs/>
              </w:rPr>
            </w:pPr>
            <w:r w:rsidRPr="007928E6">
              <w:rPr>
                <w:b/>
                <w:bCs/>
              </w:rPr>
              <w:t xml:space="preserve">White HIV- </w:t>
            </w:r>
            <w:r w:rsidR="007874EC" w:rsidRPr="007928E6">
              <w:rPr>
                <w:b/>
                <w:bCs/>
              </w:rPr>
              <w:t>negative</w:t>
            </w:r>
            <w:r w:rsidRPr="007928E6">
              <w:rPr>
                <w:b/>
                <w:bCs/>
              </w:rPr>
              <w:t xml:space="preserve"> </w:t>
            </w:r>
          </w:p>
          <w:p w14:paraId="688379EB" w14:textId="77777777" w:rsidR="00593561" w:rsidRPr="007928E6" w:rsidRDefault="00593561" w:rsidP="00805120">
            <w:pPr>
              <w:tabs>
                <w:tab w:val="left" w:pos="3180"/>
              </w:tabs>
              <w:jc w:val="center"/>
            </w:pPr>
            <w:r w:rsidRPr="007928E6">
              <w:rPr>
                <w:b/>
                <w:bCs/>
              </w:rPr>
              <w:t>(n=1376)</w:t>
            </w:r>
          </w:p>
        </w:tc>
        <w:tc>
          <w:tcPr>
            <w:tcW w:w="1814" w:type="dxa"/>
          </w:tcPr>
          <w:p w14:paraId="16E92562" w14:textId="77777777" w:rsidR="00593561" w:rsidRPr="007928E6" w:rsidRDefault="00593561" w:rsidP="00805120">
            <w:pPr>
              <w:tabs>
                <w:tab w:val="left" w:pos="3180"/>
              </w:tabs>
              <w:jc w:val="center"/>
              <w:rPr>
                <w:b/>
                <w:bCs/>
              </w:rPr>
            </w:pPr>
            <w:r w:rsidRPr="007928E6">
              <w:rPr>
                <w:b/>
                <w:bCs/>
              </w:rPr>
              <w:t>White living with HIV</w:t>
            </w:r>
          </w:p>
          <w:p w14:paraId="094BE17E" w14:textId="77777777" w:rsidR="00593561" w:rsidRPr="007928E6" w:rsidRDefault="00593561" w:rsidP="00805120">
            <w:pPr>
              <w:tabs>
                <w:tab w:val="left" w:pos="3180"/>
              </w:tabs>
              <w:jc w:val="center"/>
            </w:pPr>
            <w:r w:rsidRPr="007928E6">
              <w:rPr>
                <w:b/>
                <w:bCs/>
              </w:rPr>
              <w:t>(n=327)</w:t>
            </w:r>
          </w:p>
        </w:tc>
        <w:tc>
          <w:tcPr>
            <w:tcW w:w="1814" w:type="dxa"/>
          </w:tcPr>
          <w:p w14:paraId="3F165DCA" w14:textId="3453DD75" w:rsidR="00593561" w:rsidRPr="007928E6" w:rsidRDefault="00593561" w:rsidP="00805120">
            <w:pPr>
              <w:tabs>
                <w:tab w:val="left" w:pos="3180"/>
              </w:tabs>
              <w:jc w:val="center"/>
              <w:rPr>
                <w:b/>
                <w:bCs/>
              </w:rPr>
            </w:pPr>
            <w:r w:rsidRPr="007928E6">
              <w:rPr>
                <w:b/>
                <w:bCs/>
              </w:rPr>
              <w:t>Racialized HIV-</w:t>
            </w:r>
            <w:r w:rsidR="007874EC" w:rsidRPr="007928E6">
              <w:rPr>
                <w:b/>
                <w:bCs/>
              </w:rPr>
              <w:t>negative</w:t>
            </w:r>
          </w:p>
          <w:p w14:paraId="5818DF01" w14:textId="77777777" w:rsidR="00593561" w:rsidRPr="007928E6" w:rsidRDefault="00593561" w:rsidP="00805120">
            <w:pPr>
              <w:tabs>
                <w:tab w:val="left" w:pos="3180"/>
              </w:tabs>
              <w:jc w:val="center"/>
            </w:pPr>
            <w:r w:rsidRPr="007928E6">
              <w:rPr>
                <w:b/>
                <w:bCs/>
              </w:rPr>
              <w:t>(n=577)</w:t>
            </w:r>
          </w:p>
        </w:tc>
        <w:tc>
          <w:tcPr>
            <w:tcW w:w="1814" w:type="dxa"/>
          </w:tcPr>
          <w:p w14:paraId="4D301449" w14:textId="77777777" w:rsidR="00593561" w:rsidRPr="007928E6" w:rsidRDefault="00593561" w:rsidP="00805120">
            <w:pPr>
              <w:tabs>
                <w:tab w:val="left" w:pos="3180"/>
              </w:tabs>
              <w:jc w:val="center"/>
              <w:rPr>
                <w:b/>
                <w:bCs/>
              </w:rPr>
            </w:pPr>
            <w:r w:rsidRPr="007928E6">
              <w:rPr>
                <w:b/>
                <w:bCs/>
              </w:rPr>
              <w:t>Racialized living with HIV</w:t>
            </w:r>
          </w:p>
          <w:p w14:paraId="48871613" w14:textId="77777777" w:rsidR="00593561" w:rsidRPr="007928E6" w:rsidRDefault="00593561" w:rsidP="00805120">
            <w:pPr>
              <w:tabs>
                <w:tab w:val="left" w:pos="3180"/>
              </w:tabs>
              <w:jc w:val="center"/>
            </w:pPr>
            <w:r w:rsidRPr="007928E6">
              <w:rPr>
                <w:b/>
                <w:bCs/>
              </w:rPr>
              <w:t>(n=91)</w:t>
            </w:r>
          </w:p>
        </w:tc>
      </w:tr>
      <w:tr w:rsidR="00593561" w:rsidRPr="007928E6" w14:paraId="106300E0" w14:textId="77777777" w:rsidTr="006A69C5">
        <w:trPr>
          <w:trHeight w:val="348"/>
        </w:trPr>
        <w:tc>
          <w:tcPr>
            <w:tcW w:w="3620" w:type="dxa"/>
          </w:tcPr>
          <w:p w14:paraId="5E7159D8" w14:textId="77777777" w:rsidR="00593561" w:rsidRPr="007928E6" w:rsidRDefault="00593561" w:rsidP="00805120">
            <w:pPr>
              <w:tabs>
                <w:tab w:val="left" w:pos="3180"/>
              </w:tabs>
            </w:pPr>
          </w:p>
        </w:tc>
        <w:tc>
          <w:tcPr>
            <w:tcW w:w="1814" w:type="dxa"/>
            <w:vAlign w:val="center"/>
          </w:tcPr>
          <w:p w14:paraId="3D90A849" w14:textId="77777777" w:rsidR="00593561" w:rsidRPr="007928E6" w:rsidRDefault="00593561" w:rsidP="00805120">
            <w:pPr>
              <w:tabs>
                <w:tab w:val="left" w:pos="3180"/>
              </w:tabs>
              <w:jc w:val="center"/>
              <w:rPr>
                <w:b/>
                <w:bCs/>
              </w:rPr>
            </w:pPr>
            <w:r w:rsidRPr="007928E6">
              <w:rPr>
                <w:b/>
                <w:bCs/>
              </w:rPr>
              <w:t>Unadjusted n (%)</w:t>
            </w:r>
          </w:p>
        </w:tc>
        <w:tc>
          <w:tcPr>
            <w:tcW w:w="1814" w:type="dxa"/>
            <w:vAlign w:val="center"/>
          </w:tcPr>
          <w:p w14:paraId="7194BE46" w14:textId="77777777" w:rsidR="00593561" w:rsidRPr="007928E6" w:rsidRDefault="00593561" w:rsidP="00805120">
            <w:pPr>
              <w:tabs>
                <w:tab w:val="left" w:pos="3180"/>
              </w:tabs>
              <w:jc w:val="center"/>
              <w:rPr>
                <w:b/>
                <w:bCs/>
              </w:rPr>
            </w:pPr>
            <w:r w:rsidRPr="007928E6">
              <w:rPr>
                <w:b/>
                <w:bCs/>
              </w:rPr>
              <w:t>Unadjusted n (%)</w:t>
            </w:r>
          </w:p>
        </w:tc>
        <w:tc>
          <w:tcPr>
            <w:tcW w:w="1814" w:type="dxa"/>
            <w:vAlign w:val="center"/>
          </w:tcPr>
          <w:p w14:paraId="725487C0" w14:textId="77777777" w:rsidR="00593561" w:rsidRPr="007928E6" w:rsidRDefault="00593561" w:rsidP="00805120">
            <w:pPr>
              <w:tabs>
                <w:tab w:val="left" w:pos="3180"/>
              </w:tabs>
              <w:jc w:val="center"/>
              <w:rPr>
                <w:b/>
                <w:bCs/>
              </w:rPr>
            </w:pPr>
            <w:r w:rsidRPr="007928E6">
              <w:rPr>
                <w:b/>
                <w:bCs/>
              </w:rPr>
              <w:t>Unadjusted n (%)</w:t>
            </w:r>
          </w:p>
        </w:tc>
        <w:tc>
          <w:tcPr>
            <w:tcW w:w="1814" w:type="dxa"/>
            <w:vAlign w:val="center"/>
          </w:tcPr>
          <w:p w14:paraId="2FE8C890" w14:textId="77777777" w:rsidR="00593561" w:rsidRPr="007928E6" w:rsidRDefault="00593561" w:rsidP="00805120">
            <w:pPr>
              <w:tabs>
                <w:tab w:val="left" w:pos="3180"/>
              </w:tabs>
              <w:jc w:val="center"/>
              <w:rPr>
                <w:b/>
                <w:bCs/>
              </w:rPr>
            </w:pPr>
            <w:r w:rsidRPr="007928E6">
              <w:rPr>
                <w:b/>
                <w:bCs/>
              </w:rPr>
              <w:t>Unadjusted n (%)</w:t>
            </w:r>
          </w:p>
        </w:tc>
      </w:tr>
      <w:tr w:rsidR="00593561" w:rsidRPr="007928E6" w14:paraId="52C0960F" w14:textId="77777777" w:rsidTr="006A69C5">
        <w:trPr>
          <w:trHeight w:val="397"/>
        </w:trPr>
        <w:tc>
          <w:tcPr>
            <w:tcW w:w="3620" w:type="dxa"/>
            <w:vAlign w:val="center"/>
          </w:tcPr>
          <w:p w14:paraId="41254C92" w14:textId="77777777" w:rsidR="00593561" w:rsidRPr="007928E6" w:rsidRDefault="00593561" w:rsidP="00805120">
            <w:pPr>
              <w:rPr>
                <w:rFonts w:cstheme="minorHAnsi"/>
                <w:b/>
                <w:bCs/>
              </w:rPr>
            </w:pPr>
            <w:r w:rsidRPr="007928E6">
              <w:rPr>
                <w:rFonts w:cstheme="minorHAnsi"/>
                <w:b/>
                <w:bCs/>
              </w:rPr>
              <w:t>Mean age (SD)</w:t>
            </w:r>
          </w:p>
        </w:tc>
        <w:tc>
          <w:tcPr>
            <w:tcW w:w="1814" w:type="dxa"/>
            <w:vAlign w:val="center"/>
          </w:tcPr>
          <w:p w14:paraId="4EF7438C" w14:textId="77777777" w:rsidR="00593561" w:rsidRPr="007928E6" w:rsidRDefault="00593561" w:rsidP="00805120">
            <w:pPr>
              <w:tabs>
                <w:tab w:val="left" w:pos="3180"/>
              </w:tabs>
              <w:jc w:val="center"/>
            </w:pPr>
            <w:r w:rsidRPr="007928E6">
              <w:t>36 (12.8)</w:t>
            </w:r>
          </w:p>
        </w:tc>
        <w:tc>
          <w:tcPr>
            <w:tcW w:w="1814" w:type="dxa"/>
            <w:vAlign w:val="center"/>
          </w:tcPr>
          <w:p w14:paraId="7EE728C6" w14:textId="77777777" w:rsidR="00593561" w:rsidRPr="007928E6" w:rsidRDefault="00593561" w:rsidP="00805120">
            <w:pPr>
              <w:tabs>
                <w:tab w:val="left" w:pos="3180"/>
              </w:tabs>
              <w:jc w:val="center"/>
            </w:pPr>
            <w:r w:rsidRPr="007928E6">
              <w:t>48.0 (11.3)</w:t>
            </w:r>
          </w:p>
        </w:tc>
        <w:tc>
          <w:tcPr>
            <w:tcW w:w="1814" w:type="dxa"/>
            <w:vAlign w:val="center"/>
          </w:tcPr>
          <w:p w14:paraId="051428BF" w14:textId="77777777" w:rsidR="00593561" w:rsidRPr="007928E6" w:rsidRDefault="00593561" w:rsidP="00805120">
            <w:pPr>
              <w:tabs>
                <w:tab w:val="left" w:pos="3180"/>
              </w:tabs>
              <w:jc w:val="center"/>
            </w:pPr>
            <w:r w:rsidRPr="007928E6">
              <w:t>31.7 (9.3)</w:t>
            </w:r>
          </w:p>
        </w:tc>
        <w:tc>
          <w:tcPr>
            <w:tcW w:w="1814" w:type="dxa"/>
            <w:vAlign w:val="center"/>
          </w:tcPr>
          <w:p w14:paraId="716BE1C1" w14:textId="77777777" w:rsidR="00593561" w:rsidRPr="007928E6" w:rsidRDefault="00593561" w:rsidP="00805120">
            <w:pPr>
              <w:tabs>
                <w:tab w:val="left" w:pos="3180"/>
              </w:tabs>
              <w:jc w:val="center"/>
            </w:pPr>
            <w:r w:rsidRPr="007928E6">
              <w:t>41.4 (11.8)</w:t>
            </w:r>
          </w:p>
        </w:tc>
      </w:tr>
      <w:tr w:rsidR="00593561" w:rsidRPr="007928E6" w14:paraId="4E41FF59" w14:textId="77777777" w:rsidTr="006A69C5">
        <w:trPr>
          <w:trHeight w:val="397"/>
        </w:trPr>
        <w:tc>
          <w:tcPr>
            <w:tcW w:w="3620" w:type="dxa"/>
            <w:vAlign w:val="center"/>
          </w:tcPr>
          <w:p w14:paraId="41499B7C" w14:textId="77777777" w:rsidR="00593561" w:rsidRPr="007928E6" w:rsidRDefault="00593561" w:rsidP="00805120">
            <w:r w:rsidRPr="007928E6">
              <w:rPr>
                <w:rFonts w:cstheme="minorHAnsi"/>
                <w:b/>
                <w:bCs/>
              </w:rPr>
              <w:t>Education</w:t>
            </w:r>
            <w:r w:rsidRPr="007928E6">
              <w:rPr>
                <w:rFonts w:cstheme="minorHAnsi"/>
              </w:rPr>
              <w:t xml:space="preserve"> </w:t>
            </w:r>
            <w:r w:rsidRPr="007928E6">
              <w:rPr>
                <w:rFonts w:cstheme="minorHAnsi"/>
                <w:b/>
                <w:bCs/>
              </w:rPr>
              <w:t xml:space="preserve">≤ </w:t>
            </w:r>
            <w:r w:rsidRPr="007928E6">
              <w:rPr>
                <w:b/>
                <w:bCs/>
              </w:rPr>
              <w:t>High school</w:t>
            </w:r>
          </w:p>
        </w:tc>
        <w:tc>
          <w:tcPr>
            <w:tcW w:w="1814" w:type="dxa"/>
            <w:vAlign w:val="center"/>
          </w:tcPr>
          <w:p w14:paraId="3FDEBC50" w14:textId="77777777" w:rsidR="00593561" w:rsidRPr="007928E6" w:rsidRDefault="00593561" w:rsidP="00805120">
            <w:pPr>
              <w:tabs>
                <w:tab w:val="left" w:pos="3180"/>
              </w:tabs>
              <w:jc w:val="center"/>
            </w:pPr>
            <w:r w:rsidRPr="007928E6">
              <w:t>212 (15.4)</w:t>
            </w:r>
          </w:p>
        </w:tc>
        <w:tc>
          <w:tcPr>
            <w:tcW w:w="1814" w:type="dxa"/>
            <w:vAlign w:val="center"/>
          </w:tcPr>
          <w:p w14:paraId="5EEB21DA" w14:textId="77777777" w:rsidR="00593561" w:rsidRPr="007928E6" w:rsidRDefault="00593561" w:rsidP="00805120">
            <w:pPr>
              <w:tabs>
                <w:tab w:val="left" w:pos="3180"/>
              </w:tabs>
              <w:jc w:val="center"/>
            </w:pPr>
            <w:r w:rsidRPr="007928E6">
              <w:t>77 (23.5)</w:t>
            </w:r>
          </w:p>
        </w:tc>
        <w:tc>
          <w:tcPr>
            <w:tcW w:w="1814" w:type="dxa"/>
            <w:vAlign w:val="center"/>
          </w:tcPr>
          <w:p w14:paraId="7D7E8B66" w14:textId="77777777" w:rsidR="00593561" w:rsidRPr="007928E6" w:rsidRDefault="00593561" w:rsidP="00805120">
            <w:pPr>
              <w:tabs>
                <w:tab w:val="left" w:pos="3180"/>
              </w:tabs>
              <w:jc w:val="center"/>
            </w:pPr>
            <w:r w:rsidRPr="007928E6">
              <w:t>62 (10.8)</w:t>
            </w:r>
          </w:p>
        </w:tc>
        <w:tc>
          <w:tcPr>
            <w:tcW w:w="1814" w:type="dxa"/>
            <w:vAlign w:val="center"/>
          </w:tcPr>
          <w:p w14:paraId="7AB6B4C6" w14:textId="77777777" w:rsidR="00593561" w:rsidRPr="007928E6" w:rsidRDefault="00593561" w:rsidP="00805120">
            <w:pPr>
              <w:tabs>
                <w:tab w:val="left" w:pos="3180"/>
              </w:tabs>
              <w:jc w:val="center"/>
            </w:pPr>
            <w:r w:rsidRPr="007928E6">
              <w:t>22 (24.2)</w:t>
            </w:r>
          </w:p>
        </w:tc>
      </w:tr>
      <w:tr w:rsidR="00593561" w:rsidRPr="007928E6" w14:paraId="0D4A5BE1" w14:textId="77777777" w:rsidTr="006A69C5">
        <w:trPr>
          <w:trHeight w:val="397"/>
        </w:trPr>
        <w:tc>
          <w:tcPr>
            <w:tcW w:w="3620" w:type="dxa"/>
            <w:vAlign w:val="center"/>
          </w:tcPr>
          <w:p w14:paraId="54EDD711" w14:textId="77777777" w:rsidR="00593561" w:rsidRPr="007928E6" w:rsidRDefault="00593561" w:rsidP="00805120">
            <w:r w:rsidRPr="007928E6">
              <w:rPr>
                <w:b/>
                <w:bCs/>
              </w:rPr>
              <w:t>Annual Income &lt; CAD 30, 000</w:t>
            </w:r>
          </w:p>
        </w:tc>
        <w:tc>
          <w:tcPr>
            <w:tcW w:w="1814" w:type="dxa"/>
            <w:vAlign w:val="center"/>
          </w:tcPr>
          <w:p w14:paraId="436089EE" w14:textId="77777777" w:rsidR="00593561" w:rsidRPr="007928E6" w:rsidRDefault="00593561" w:rsidP="00805120">
            <w:pPr>
              <w:tabs>
                <w:tab w:val="left" w:pos="3180"/>
              </w:tabs>
              <w:jc w:val="center"/>
            </w:pPr>
            <w:r w:rsidRPr="007928E6">
              <w:t>627 (45.6)</w:t>
            </w:r>
          </w:p>
        </w:tc>
        <w:tc>
          <w:tcPr>
            <w:tcW w:w="1814" w:type="dxa"/>
            <w:vAlign w:val="center"/>
          </w:tcPr>
          <w:p w14:paraId="699858BC" w14:textId="77777777" w:rsidR="00593561" w:rsidRPr="007928E6" w:rsidRDefault="00593561" w:rsidP="00805120">
            <w:pPr>
              <w:tabs>
                <w:tab w:val="left" w:pos="3180"/>
              </w:tabs>
              <w:jc w:val="center"/>
            </w:pPr>
            <w:r w:rsidRPr="007928E6">
              <w:t>201 (61.5)</w:t>
            </w:r>
          </w:p>
        </w:tc>
        <w:tc>
          <w:tcPr>
            <w:tcW w:w="1814" w:type="dxa"/>
            <w:vAlign w:val="center"/>
          </w:tcPr>
          <w:p w14:paraId="14910602" w14:textId="77777777" w:rsidR="00593561" w:rsidRPr="007928E6" w:rsidRDefault="00593561" w:rsidP="00805120">
            <w:pPr>
              <w:tabs>
                <w:tab w:val="left" w:pos="3180"/>
              </w:tabs>
              <w:jc w:val="center"/>
            </w:pPr>
            <w:r w:rsidRPr="007928E6">
              <w:t>319 (55.3)</w:t>
            </w:r>
          </w:p>
        </w:tc>
        <w:tc>
          <w:tcPr>
            <w:tcW w:w="1814" w:type="dxa"/>
            <w:vAlign w:val="center"/>
          </w:tcPr>
          <w:p w14:paraId="1AA028CF" w14:textId="77777777" w:rsidR="00593561" w:rsidRPr="007928E6" w:rsidRDefault="00593561" w:rsidP="00805120">
            <w:pPr>
              <w:tabs>
                <w:tab w:val="left" w:pos="3180"/>
              </w:tabs>
              <w:jc w:val="center"/>
            </w:pPr>
            <w:r w:rsidRPr="007928E6">
              <w:t>61 (67.0)</w:t>
            </w:r>
          </w:p>
        </w:tc>
      </w:tr>
      <w:tr w:rsidR="00593561" w:rsidRPr="007928E6" w14:paraId="48ED6135" w14:textId="77777777" w:rsidTr="006A69C5">
        <w:trPr>
          <w:trHeight w:val="397"/>
        </w:trPr>
        <w:tc>
          <w:tcPr>
            <w:tcW w:w="3620" w:type="dxa"/>
            <w:vAlign w:val="center"/>
          </w:tcPr>
          <w:p w14:paraId="78B36F92" w14:textId="77777777" w:rsidR="00593561" w:rsidRPr="007928E6" w:rsidRDefault="00593561" w:rsidP="00805120">
            <w:r w:rsidRPr="007928E6">
              <w:rPr>
                <w:b/>
                <w:bCs/>
              </w:rPr>
              <w:t>Unemployed</w:t>
            </w:r>
          </w:p>
        </w:tc>
        <w:tc>
          <w:tcPr>
            <w:tcW w:w="1814" w:type="dxa"/>
            <w:vAlign w:val="center"/>
          </w:tcPr>
          <w:p w14:paraId="16CC3405" w14:textId="77777777" w:rsidR="00593561" w:rsidRPr="007928E6" w:rsidRDefault="00593561" w:rsidP="00805120">
            <w:pPr>
              <w:tabs>
                <w:tab w:val="left" w:pos="3180"/>
              </w:tabs>
              <w:jc w:val="center"/>
            </w:pPr>
            <w:r w:rsidRPr="007928E6">
              <w:t>323 (23.5)</w:t>
            </w:r>
          </w:p>
        </w:tc>
        <w:tc>
          <w:tcPr>
            <w:tcW w:w="1814" w:type="dxa"/>
            <w:vAlign w:val="center"/>
          </w:tcPr>
          <w:p w14:paraId="32F46096" w14:textId="77777777" w:rsidR="00593561" w:rsidRPr="007928E6" w:rsidRDefault="00593561" w:rsidP="00805120">
            <w:pPr>
              <w:tabs>
                <w:tab w:val="left" w:pos="3180"/>
              </w:tabs>
              <w:jc w:val="center"/>
            </w:pPr>
            <w:r w:rsidRPr="007928E6">
              <w:t>150 (45.8)</w:t>
            </w:r>
          </w:p>
        </w:tc>
        <w:tc>
          <w:tcPr>
            <w:tcW w:w="1814" w:type="dxa"/>
            <w:vAlign w:val="center"/>
          </w:tcPr>
          <w:p w14:paraId="642A19E1" w14:textId="77777777" w:rsidR="00593561" w:rsidRPr="007928E6" w:rsidRDefault="00593561" w:rsidP="00805120">
            <w:pPr>
              <w:tabs>
                <w:tab w:val="left" w:pos="3180"/>
              </w:tabs>
              <w:jc w:val="center"/>
            </w:pPr>
            <w:r w:rsidRPr="007928E6">
              <w:t>145 (25.1)</w:t>
            </w:r>
          </w:p>
        </w:tc>
        <w:tc>
          <w:tcPr>
            <w:tcW w:w="1814" w:type="dxa"/>
            <w:vAlign w:val="center"/>
          </w:tcPr>
          <w:p w14:paraId="3E2FC034" w14:textId="77777777" w:rsidR="00593561" w:rsidRPr="007928E6" w:rsidRDefault="00593561" w:rsidP="00805120">
            <w:pPr>
              <w:tabs>
                <w:tab w:val="left" w:pos="3180"/>
              </w:tabs>
              <w:jc w:val="center"/>
            </w:pPr>
            <w:r w:rsidRPr="007928E6">
              <w:t>43 (47.3)</w:t>
            </w:r>
          </w:p>
        </w:tc>
      </w:tr>
      <w:tr w:rsidR="00593561" w:rsidRPr="007928E6" w14:paraId="5B77F123" w14:textId="77777777" w:rsidTr="006A69C5">
        <w:trPr>
          <w:trHeight w:val="397"/>
        </w:trPr>
        <w:tc>
          <w:tcPr>
            <w:tcW w:w="3620" w:type="dxa"/>
            <w:vAlign w:val="center"/>
          </w:tcPr>
          <w:p w14:paraId="55B711AF" w14:textId="18BCF936" w:rsidR="00593561" w:rsidRPr="007928E6" w:rsidRDefault="0073086C" w:rsidP="00805120">
            <w:r w:rsidRPr="007928E6">
              <w:rPr>
                <w:b/>
                <w:bCs/>
              </w:rPr>
              <w:t xml:space="preserve">Immigrant </w:t>
            </w:r>
            <w:r w:rsidR="00593561" w:rsidRPr="007928E6">
              <w:rPr>
                <w:b/>
                <w:bCs/>
              </w:rPr>
              <w:t xml:space="preserve"> </w:t>
            </w:r>
            <w:r w:rsidR="00593561" w:rsidRPr="007928E6">
              <w:t xml:space="preserve"> </w:t>
            </w:r>
          </w:p>
        </w:tc>
        <w:tc>
          <w:tcPr>
            <w:tcW w:w="1814" w:type="dxa"/>
            <w:vAlign w:val="center"/>
          </w:tcPr>
          <w:p w14:paraId="6B2E41D6" w14:textId="77777777" w:rsidR="00593561" w:rsidRPr="007928E6" w:rsidRDefault="00593561" w:rsidP="00805120">
            <w:pPr>
              <w:tabs>
                <w:tab w:val="left" w:pos="3180"/>
              </w:tabs>
              <w:jc w:val="center"/>
            </w:pPr>
            <w:r w:rsidRPr="007928E6">
              <w:t>203 (14.7)</w:t>
            </w:r>
          </w:p>
        </w:tc>
        <w:tc>
          <w:tcPr>
            <w:tcW w:w="1814" w:type="dxa"/>
            <w:vAlign w:val="center"/>
          </w:tcPr>
          <w:p w14:paraId="68A091B8" w14:textId="77777777" w:rsidR="00593561" w:rsidRPr="007928E6" w:rsidRDefault="00593561" w:rsidP="00805120">
            <w:pPr>
              <w:tabs>
                <w:tab w:val="left" w:pos="3180"/>
              </w:tabs>
              <w:jc w:val="center"/>
            </w:pPr>
            <w:r w:rsidRPr="007928E6">
              <w:t>18 (5.5)</w:t>
            </w:r>
          </w:p>
        </w:tc>
        <w:tc>
          <w:tcPr>
            <w:tcW w:w="1814" w:type="dxa"/>
            <w:vAlign w:val="center"/>
          </w:tcPr>
          <w:p w14:paraId="73033E18" w14:textId="77777777" w:rsidR="00593561" w:rsidRPr="007928E6" w:rsidRDefault="00593561" w:rsidP="00805120">
            <w:pPr>
              <w:tabs>
                <w:tab w:val="left" w:pos="3180"/>
              </w:tabs>
              <w:jc w:val="center"/>
            </w:pPr>
            <w:r w:rsidRPr="007928E6">
              <w:t>223 (38.6)</w:t>
            </w:r>
          </w:p>
        </w:tc>
        <w:tc>
          <w:tcPr>
            <w:tcW w:w="1814" w:type="dxa"/>
            <w:vAlign w:val="center"/>
          </w:tcPr>
          <w:p w14:paraId="5E722164" w14:textId="77777777" w:rsidR="00593561" w:rsidRPr="007928E6" w:rsidRDefault="00593561" w:rsidP="00805120">
            <w:pPr>
              <w:tabs>
                <w:tab w:val="left" w:pos="3180"/>
              </w:tabs>
              <w:jc w:val="center"/>
            </w:pPr>
            <w:r w:rsidRPr="007928E6">
              <w:t>26 (28.6)</w:t>
            </w:r>
          </w:p>
        </w:tc>
      </w:tr>
      <w:tr w:rsidR="00593561" w:rsidRPr="007928E6" w14:paraId="3FDFB519" w14:textId="77777777" w:rsidTr="006A69C5">
        <w:trPr>
          <w:trHeight w:val="348"/>
        </w:trPr>
        <w:tc>
          <w:tcPr>
            <w:tcW w:w="3620" w:type="dxa"/>
          </w:tcPr>
          <w:p w14:paraId="236AB691" w14:textId="77777777" w:rsidR="00593561" w:rsidRPr="007928E6" w:rsidRDefault="00593561" w:rsidP="00805120">
            <w:pPr>
              <w:tabs>
                <w:tab w:val="left" w:pos="3180"/>
              </w:tabs>
              <w:rPr>
                <w:b/>
                <w:bCs/>
              </w:rPr>
            </w:pPr>
            <w:r w:rsidRPr="007928E6">
              <w:rPr>
                <w:b/>
                <w:bCs/>
              </w:rPr>
              <w:t>No primary health care provider</w:t>
            </w:r>
          </w:p>
        </w:tc>
        <w:tc>
          <w:tcPr>
            <w:tcW w:w="1814" w:type="dxa"/>
            <w:vAlign w:val="center"/>
          </w:tcPr>
          <w:p w14:paraId="4FEA8CE6" w14:textId="77777777" w:rsidR="00593561" w:rsidRPr="007928E6" w:rsidRDefault="00593561" w:rsidP="00805120">
            <w:pPr>
              <w:tabs>
                <w:tab w:val="left" w:pos="3180"/>
              </w:tabs>
              <w:jc w:val="center"/>
            </w:pPr>
            <w:r w:rsidRPr="007928E6">
              <w:t>444 (32.3)</w:t>
            </w:r>
          </w:p>
        </w:tc>
        <w:tc>
          <w:tcPr>
            <w:tcW w:w="1814" w:type="dxa"/>
            <w:vAlign w:val="center"/>
          </w:tcPr>
          <w:p w14:paraId="742C448B" w14:textId="77777777" w:rsidR="00593561" w:rsidRPr="007928E6" w:rsidRDefault="00593561" w:rsidP="00805120">
            <w:pPr>
              <w:tabs>
                <w:tab w:val="left" w:pos="3180"/>
              </w:tabs>
              <w:jc w:val="center"/>
            </w:pPr>
            <w:r w:rsidRPr="007928E6">
              <w:t>14 (4.3)</w:t>
            </w:r>
          </w:p>
        </w:tc>
        <w:tc>
          <w:tcPr>
            <w:tcW w:w="1814" w:type="dxa"/>
            <w:vAlign w:val="center"/>
          </w:tcPr>
          <w:p w14:paraId="614E8566" w14:textId="77777777" w:rsidR="00593561" w:rsidRPr="007928E6" w:rsidRDefault="00593561" w:rsidP="00805120">
            <w:pPr>
              <w:tabs>
                <w:tab w:val="left" w:pos="3180"/>
              </w:tabs>
              <w:jc w:val="center"/>
            </w:pPr>
            <w:r w:rsidRPr="007928E6">
              <w:t>210 (36.4)</w:t>
            </w:r>
          </w:p>
        </w:tc>
        <w:tc>
          <w:tcPr>
            <w:tcW w:w="1814" w:type="dxa"/>
            <w:vAlign w:val="center"/>
          </w:tcPr>
          <w:p w14:paraId="1C609278" w14:textId="77777777" w:rsidR="00593561" w:rsidRPr="007928E6" w:rsidRDefault="00593561" w:rsidP="00805120">
            <w:pPr>
              <w:tabs>
                <w:tab w:val="left" w:pos="3180"/>
              </w:tabs>
              <w:jc w:val="center"/>
            </w:pPr>
            <w:r w:rsidRPr="007928E6">
              <w:t>6 (6.6)</w:t>
            </w:r>
          </w:p>
        </w:tc>
      </w:tr>
      <w:tr w:rsidR="00593561" w:rsidRPr="007928E6" w14:paraId="3218F2D1" w14:textId="77777777" w:rsidTr="006A69C5">
        <w:trPr>
          <w:trHeight w:val="348"/>
        </w:trPr>
        <w:tc>
          <w:tcPr>
            <w:tcW w:w="3620" w:type="dxa"/>
          </w:tcPr>
          <w:p w14:paraId="04336012" w14:textId="77777777" w:rsidR="00593561" w:rsidRPr="007928E6" w:rsidRDefault="00593561" w:rsidP="00805120">
            <w:pPr>
              <w:tabs>
                <w:tab w:val="left" w:pos="3180"/>
              </w:tabs>
              <w:rPr>
                <w:b/>
                <w:bCs/>
              </w:rPr>
            </w:pPr>
            <w:r w:rsidRPr="007928E6">
              <w:rPr>
                <w:b/>
                <w:bCs/>
              </w:rPr>
              <w:t>No medical insurance</w:t>
            </w:r>
          </w:p>
        </w:tc>
        <w:tc>
          <w:tcPr>
            <w:tcW w:w="1814" w:type="dxa"/>
            <w:vAlign w:val="center"/>
          </w:tcPr>
          <w:p w14:paraId="41F939CD" w14:textId="77777777" w:rsidR="00593561" w:rsidRPr="007928E6" w:rsidRDefault="00593561" w:rsidP="00805120">
            <w:pPr>
              <w:tabs>
                <w:tab w:val="left" w:pos="3180"/>
              </w:tabs>
              <w:jc w:val="center"/>
            </w:pPr>
            <w:r w:rsidRPr="007928E6">
              <w:t>403 (29.3)</w:t>
            </w:r>
          </w:p>
        </w:tc>
        <w:tc>
          <w:tcPr>
            <w:tcW w:w="1814" w:type="dxa"/>
            <w:vAlign w:val="center"/>
          </w:tcPr>
          <w:p w14:paraId="112B4E35" w14:textId="77777777" w:rsidR="00593561" w:rsidRPr="007928E6" w:rsidRDefault="00593561" w:rsidP="00805120">
            <w:pPr>
              <w:tabs>
                <w:tab w:val="left" w:pos="3180"/>
              </w:tabs>
              <w:jc w:val="center"/>
            </w:pPr>
            <w:r w:rsidRPr="007928E6">
              <w:t>80 (24.5)</w:t>
            </w:r>
          </w:p>
        </w:tc>
        <w:tc>
          <w:tcPr>
            <w:tcW w:w="1814" w:type="dxa"/>
            <w:vAlign w:val="center"/>
          </w:tcPr>
          <w:p w14:paraId="45640DD6" w14:textId="77777777" w:rsidR="00593561" w:rsidRPr="007928E6" w:rsidRDefault="00593561" w:rsidP="00805120">
            <w:pPr>
              <w:tabs>
                <w:tab w:val="left" w:pos="3180"/>
              </w:tabs>
              <w:jc w:val="center"/>
            </w:pPr>
            <w:r w:rsidRPr="007928E6">
              <w:t>181 (31.4)</w:t>
            </w:r>
          </w:p>
        </w:tc>
        <w:tc>
          <w:tcPr>
            <w:tcW w:w="1814" w:type="dxa"/>
            <w:vAlign w:val="center"/>
          </w:tcPr>
          <w:p w14:paraId="2A73A8A1" w14:textId="77777777" w:rsidR="00593561" w:rsidRPr="007928E6" w:rsidRDefault="00593561" w:rsidP="00805120">
            <w:pPr>
              <w:tabs>
                <w:tab w:val="left" w:pos="3180"/>
              </w:tabs>
              <w:jc w:val="center"/>
            </w:pPr>
            <w:r w:rsidRPr="007928E6">
              <w:t>21 (23.1)</w:t>
            </w:r>
          </w:p>
        </w:tc>
      </w:tr>
      <w:tr w:rsidR="00A41D57" w:rsidRPr="007928E6" w14:paraId="037C11B7" w14:textId="77777777" w:rsidTr="00E81E36">
        <w:trPr>
          <w:trHeight w:val="348"/>
        </w:trPr>
        <w:tc>
          <w:tcPr>
            <w:tcW w:w="10876" w:type="dxa"/>
            <w:gridSpan w:val="5"/>
          </w:tcPr>
          <w:p w14:paraId="0C0A556E" w14:textId="7B470815" w:rsidR="00A41D57" w:rsidRPr="007928E6" w:rsidRDefault="00AD0E3E" w:rsidP="00D82E69">
            <w:pPr>
              <w:tabs>
                <w:tab w:val="left" w:pos="3180"/>
              </w:tabs>
            </w:pPr>
            <w:r w:rsidRPr="007928E6">
              <w:t xml:space="preserve">Here, </w:t>
            </w:r>
            <w:r w:rsidR="0065028E" w:rsidRPr="007928E6">
              <w:t xml:space="preserve">select </w:t>
            </w:r>
            <w:r w:rsidRPr="007928E6">
              <w:t>s</w:t>
            </w:r>
            <w:r w:rsidR="0043576F" w:rsidRPr="007928E6">
              <w:t>ocioeconomic factors</w:t>
            </w:r>
            <w:r w:rsidR="00237A58" w:rsidRPr="007928E6">
              <w:t xml:space="preserve"> (e.g., </w:t>
            </w:r>
            <w:r w:rsidR="00DA2924" w:rsidRPr="007928E6">
              <w:t>lower income, higher unemployment)</w:t>
            </w:r>
            <w:r w:rsidR="0043576F" w:rsidRPr="007928E6">
              <w:t xml:space="preserve"> </w:t>
            </w:r>
            <w:r w:rsidR="0017300F" w:rsidRPr="007928E6">
              <w:t xml:space="preserve">are thought of as </w:t>
            </w:r>
            <w:r w:rsidR="0017300F" w:rsidRPr="007928E6">
              <w:rPr>
                <w:b/>
                <w:bCs/>
                <w:i/>
                <w:iCs/>
              </w:rPr>
              <w:t>structural</w:t>
            </w:r>
            <w:r w:rsidR="0017300F" w:rsidRPr="007928E6">
              <w:t xml:space="preserve"> </w:t>
            </w:r>
            <w:r w:rsidR="00F1615B" w:rsidRPr="007928E6">
              <w:t xml:space="preserve">inequity factors </w:t>
            </w:r>
            <w:r w:rsidR="0017300F" w:rsidRPr="007928E6">
              <w:t xml:space="preserve">that </w:t>
            </w:r>
            <w:r w:rsidRPr="007928E6">
              <w:t>may increase chronic stress</w:t>
            </w:r>
            <w:r w:rsidR="00E24CFD" w:rsidRPr="007928E6">
              <w:t xml:space="preserve">, particularly among </w:t>
            </w:r>
            <w:r w:rsidR="00237A58" w:rsidRPr="007928E6">
              <w:t>GBM</w:t>
            </w:r>
            <w:r w:rsidR="00E24CFD" w:rsidRPr="007928E6">
              <w:t xml:space="preserve"> living with HIV.</w:t>
            </w:r>
            <w:r w:rsidR="00BB7F49" w:rsidRPr="007928E6">
              <w:t xml:space="preserve"> </w:t>
            </w:r>
            <w:r w:rsidR="007E16ED" w:rsidRPr="007928E6">
              <w:t>Th</w:t>
            </w:r>
            <w:r w:rsidR="00432074" w:rsidRPr="007928E6">
              <w:t>is</w:t>
            </w:r>
            <w:r w:rsidR="000E3A14" w:rsidRPr="007928E6">
              <w:t xml:space="preserve"> ‘additional’</w:t>
            </w:r>
            <w:r w:rsidR="00432074" w:rsidRPr="007928E6">
              <w:t xml:space="preserve"> inequity</w:t>
            </w:r>
            <w:r w:rsidR="000E3A14" w:rsidRPr="007928E6">
              <w:t xml:space="preserve"> among </w:t>
            </w:r>
            <w:r w:rsidR="00707959" w:rsidRPr="007928E6">
              <w:t>GBM living with HIV</w:t>
            </w:r>
            <w:r w:rsidR="00432074" w:rsidRPr="007928E6">
              <w:t xml:space="preserve"> must be </w:t>
            </w:r>
            <w:r w:rsidR="000E3A14" w:rsidRPr="007928E6">
              <w:t>contextualized in the background of pre</w:t>
            </w:r>
            <w:r w:rsidR="00707959" w:rsidRPr="007928E6">
              <w:t>-existing</w:t>
            </w:r>
            <w:r w:rsidR="00795770" w:rsidRPr="007928E6">
              <w:t xml:space="preserve"> higher un</w:t>
            </w:r>
            <w:r w:rsidR="00632EC2" w:rsidRPr="007928E6">
              <w:t xml:space="preserve">employment and </w:t>
            </w:r>
            <w:r w:rsidR="006223C1" w:rsidRPr="007928E6">
              <w:t>lower income among Canadian GBM (compared to heterosexual men) in general</w:t>
            </w:r>
            <w:r w:rsidR="005521AB" w:rsidRPr="007928E6">
              <w:t xml:space="preserve"> </w:t>
            </w:r>
            <w:r w:rsidR="00E31F8B">
              <w:rPr>
                <w:noProof/>
              </w:rPr>
              <w:t>(Kinitz et al., 2023; Waite et al., 2019)</w:t>
            </w:r>
            <w:r w:rsidR="006223C1" w:rsidRPr="007928E6">
              <w:t xml:space="preserve">. </w:t>
            </w:r>
            <w:r w:rsidR="00707959" w:rsidRPr="007928E6">
              <w:t xml:space="preserve"> </w:t>
            </w:r>
          </w:p>
        </w:tc>
      </w:tr>
    </w:tbl>
    <w:p w14:paraId="5E299FC9" w14:textId="77777777" w:rsidR="00A36BC6" w:rsidRPr="007928E6" w:rsidRDefault="00A36BC6" w:rsidP="00732713">
      <w:pPr>
        <w:pStyle w:val="NoSpacing"/>
        <w:ind w:firstLine="720"/>
        <w:jc w:val="both"/>
        <w:rPr>
          <w:rFonts w:cstheme="minorHAnsi"/>
        </w:rPr>
        <w:sectPr w:rsidR="00A36BC6" w:rsidRPr="007928E6">
          <w:pgSz w:w="12240" w:h="15840"/>
          <w:pgMar w:top="1440" w:right="1440" w:bottom="1440" w:left="1440" w:header="708" w:footer="708" w:gutter="0"/>
          <w:cols w:space="708"/>
          <w:docGrid w:linePitch="360"/>
        </w:sectPr>
      </w:pPr>
    </w:p>
    <w:p w14:paraId="1ABBD40A" w14:textId="0FED8C9D" w:rsidR="00AA11FC" w:rsidRPr="007928E6" w:rsidRDefault="00AA11FC" w:rsidP="00AA11FC">
      <w:pPr>
        <w:jc w:val="both"/>
        <w:rPr>
          <w:b/>
          <w:bCs/>
        </w:rPr>
      </w:pPr>
      <w:r w:rsidRPr="007928E6">
        <w:rPr>
          <w:b/>
          <w:bCs/>
        </w:rPr>
        <w:lastRenderedPageBreak/>
        <w:t>Timeline of events involving GBM, racialized groups, and people living with HIV 1980-2023 with a focus on events at the national level or in Montreal, Toronto</w:t>
      </w:r>
      <w:r w:rsidR="00A12D4A" w:rsidRPr="007928E6">
        <w:rPr>
          <w:b/>
          <w:bCs/>
        </w:rPr>
        <w:t>,</w:t>
      </w:r>
      <w:r w:rsidRPr="007928E6">
        <w:rPr>
          <w:b/>
          <w:bCs/>
        </w:rPr>
        <w:t xml:space="preserve"> and Vancouver</w:t>
      </w:r>
    </w:p>
    <w:p w14:paraId="32C2498B" w14:textId="77777777" w:rsidR="00AA11FC" w:rsidRPr="007928E6" w:rsidRDefault="00AA11FC" w:rsidP="00AA11FC">
      <w:pPr>
        <w:jc w:val="both"/>
      </w:pPr>
      <w:r w:rsidRPr="007928E6">
        <w:t>(The timeline below is a brief, non-comprehensive list of events. We provide these for interested readers to appreciate the historical context that frames our analysis)</w:t>
      </w:r>
    </w:p>
    <w:p w14:paraId="628C1F07" w14:textId="6B9474EA" w:rsidR="00AA11FC" w:rsidRPr="007928E6" w:rsidRDefault="00AA11FC" w:rsidP="00AA11FC">
      <w:pPr>
        <w:jc w:val="both"/>
      </w:pPr>
      <w:r w:rsidRPr="007928E6">
        <w:rPr>
          <w:b/>
          <w:bCs/>
        </w:rPr>
        <w:t xml:space="preserve">1981: </w:t>
      </w:r>
      <w:r w:rsidRPr="007928E6">
        <w:t>Police raid four gay bathhouses under ‘Operation Soap’ on February 5 in Toronto and arrest 300 patrons.</w:t>
      </w:r>
      <w:r w:rsidRPr="007928E6">
        <w:rPr>
          <w:b/>
          <w:bCs/>
        </w:rPr>
        <w:t xml:space="preserve"> </w:t>
      </w:r>
      <w:r w:rsidRPr="007928E6">
        <w:t xml:space="preserve">The next night 3,000 people march in downtown Toronto. This is considered Canada’s Stonewall </w:t>
      </w:r>
      <w:r w:rsidR="00E31F8B">
        <w:rPr>
          <w:noProof/>
        </w:rPr>
        <w:t>(Queer Events Editorial Staff, 2019)</w:t>
      </w:r>
      <w:r w:rsidRPr="007928E6">
        <w:t xml:space="preserve">. </w:t>
      </w:r>
    </w:p>
    <w:p w14:paraId="348F3EF6" w14:textId="05D9A7A8" w:rsidR="00AA11FC" w:rsidRPr="007928E6" w:rsidRDefault="00AA11FC" w:rsidP="00AA11FC">
      <w:pPr>
        <w:jc w:val="both"/>
        <w:rPr>
          <w:b/>
          <w:bCs/>
        </w:rPr>
      </w:pPr>
      <w:r w:rsidRPr="007928E6">
        <w:rPr>
          <w:b/>
          <w:bCs/>
        </w:rPr>
        <w:t>1982:</w:t>
      </w:r>
      <w:r w:rsidRPr="007928E6">
        <w:t xml:space="preserve"> First case of HIV in Canada is detected </w:t>
      </w:r>
      <w:r w:rsidR="00E31F8B">
        <w:rPr>
          <w:noProof/>
        </w:rPr>
        <w:t>(CBC News, 2018)</w:t>
      </w:r>
      <w:r w:rsidRPr="007928E6">
        <w:t xml:space="preserve">. The Canadian Psychiatric Association removes homosexuality from its list of mental disorders. It remains in Alberta’s guide to mental-health disorders till 2010 </w:t>
      </w:r>
      <w:r w:rsidR="00E31F8B">
        <w:rPr>
          <w:noProof/>
        </w:rPr>
        <w:t>(CBC News, 2010)</w:t>
      </w:r>
      <w:r w:rsidRPr="007928E6">
        <w:t xml:space="preserve">. </w:t>
      </w:r>
    </w:p>
    <w:p w14:paraId="766F4106" w14:textId="25AD0202" w:rsidR="00AA11FC" w:rsidRPr="007928E6" w:rsidRDefault="00AA11FC" w:rsidP="00AA11FC">
      <w:pPr>
        <w:jc w:val="both"/>
      </w:pPr>
      <w:r w:rsidRPr="007928E6">
        <w:rPr>
          <w:b/>
          <w:bCs/>
        </w:rPr>
        <w:t>1985</w:t>
      </w:r>
      <w:r w:rsidRPr="007928E6">
        <w:t xml:space="preserve">: Kenneth Zeller a 40-year-old librarian is murdered in a homophobic hate crime in Toronto’s High Park. This spurs the Toronto District School Board to implement one of Canada’s first programs to combat anti-gay discrimination and violence </w:t>
      </w:r>
      <w:r w:rsidR="00E31F8B">
        <w:rPr>
          <w:noProof/>
        </w:rPr>
        <w:t>(Queer Events, 2021)</w:t>
      </w:r>
      <w:r w:rsidR="00081A87">
        <w:t>.</w:t>
      </w:r>
    </w:p>
    <w:p w14:paraId="251E8555" w14:textId="62735F63" w:rsidR="00AA11FC" w:rsidRPr="007928E6" w:rsidRDefault="00AA11FC" w:rsidP="00AA11FC">
      <w:pPr>
        <w:jc w:val="both"/>
      </w:pPr>
      <w:r w:rsidRPr="007928E6">
        <w:rPr>
          <w:b/>
          <w:bCs/>
        </w:rPr>
        <w:t>1987</w:t>
      </w:r>
      <w:r w:rsidRPr="007928E6">
        <w:t xml:space="preserve">: Anthony Griffin, a 19-year-old unarmed Black man is fatally shot in Montreal on November 11, 1987, after initially resisting but later cooperating with his arrest. On November 21, two thousand people attend a march to protest the shooting. Another protest of approximately 1000 people takes place on February 27, 1988. The police officer involved is acquitted of all charges </w:t>
      </w:r>
      <w:r w:rsidR="00E31F8B">
        <w:rPr>
          <w:noProof/>
        </w:rPr>
        <w:t>(Nerestant et al., 2017)</w:t>
      </w:r>
      <w:r w:rsidRPr="007928E6">
        <w:t xml:space="preserve">.   </w:t>
      </w:r>
    </w:p>
    <w:p w14:paraId="1EEDD4FD" w14:textId="266A06B7" w:rsidR="00AA11FC" w:rsidRPr="007928E6" w:rsidRDefault="00AA11FC" w:rsidP="00AA11FC">
      <w:pPr>
        <w:jc w:val="both"/>
      </w:pPr>
      <w:r w:rsidRPr="007928E6">
        <w:rPr>
          <w:b/>
          <w:bCs/>
        </w:rPr>
        <w:t>1988</w:t>
      </w:r>
      <w:r w:rsidRPr="007928E6">
        <w:t xml:space="preserve">: Prime Minister Brian Mulroney provides a formal apology for sending 21,000 Japanese Canadians to internment camps in 1942 </w:t>
      </w:r>
      <w:r w:rsidR="00E31F8B">
        <w:rPr>
          <w:noProof/>
        </w:rPr>
        <w:t>(McRae, 2017a)</w:t>
      </w:r>
      <w:r w:rsidRPr="007928E6">
        <w:t xml:space="preserve">. </w:t>
      </w:r>
    </w:p>
    <w:p w14:paraId="2510AFD9" w14:textId="44C5001D" w:rsidR="00AA11FC" w:rsidRPr="007928E6" w:rsidRDefault="00AA11FC" w:rsidP="00AA11FC">
      <w:pPr>
        <w:jc w:val="both"/>
      </w:pPr>
      <w:r w:rsidRPr="007928E6">
        <w:rPr>
          <w:b/>
          <w:bCs/>
        </w:rPr>
        <w:t xml:space="preserve">1988: </w:t>
      </w:r>
      <w:r w:rsidRPr="007928E6">
        <w:t xml:space="preserve">AIDS Action Now is formed in Toronto. They burn the effigy of Federal Health Minister, Jake Epp who avoids saying the word, ‘AIDS’. He is replaced by Perrin Beatty </w:t>
      </w:r>
      <w:r w:rsidR="00E31F8B">
        <w:rPr>
          <w:noProof/>
        </w:rPr>
        <w:t>(Allen, 2020)</w:t>
      </w:r>
      <w:r w:rsidR="00081A87">
        <w:t>.</w:t>
      </w:r>
    </w:p>
    <w:p w14:paraId="0C36EBAE" w14:textId="3376DB55" w:rsidR="00AA11FC" w:rsidRPr="007928E6" w:rsidRDefault="00AA11FC" w:rsidP="00AA11FC">
      <w:pPr>
        <w:jc w:val="both"/>
        <w:rPr>
          <w:b/>
          <w:bCs/>
          <w:lang w:val="en-US"/>
        </w:rPr>
      </w:pPr>
      <w:r w:rsidRPr="007928E6">
        <w:rPr>
          <w:b/>
          <w:bCs/>
          <w:lang w:val="en-US"/>
        </w:rPr>
        <w:t xml:space="preserve">1988: </w:t>
      </w:r>
      <w:r w:rsidRPr="007928E6">
        <w:rPr>
          <w:lang w:val="en-US"/>
        </w:rPr>
        <w:t xml:space="preserve">Police shoot and kill Michael Wade Lawson, a 17-year-old Black teenager, after finding him in a stolen car </w:t>
      </w:r>
      <w:r w:rsidR="00E31F8B">
        <w:rPr>
          <w:noProof/>
          <w:lang w:val="en-US"/>
        </w:rPr>
        <w:t>(Rosella, 2015)</w:t>
      </w:r>
      <w:r w:rsidRPr="007928E6">
        <w:rPr>
          <w:lang w:val="en-US"/>
        </w:rPr>
        <w:t xml:space="preserve">, and Lester Donaldson, a 44-year-old Black man during a confrontation in his rooming house </w:t>
      </w:r>
      <w:r w:rsidR="00E31F8B">
        <w:rPr>
          <w:noProof/>
          <w:lang w:val="en-US"/>
        </w:rPr>
        <w:t>(Falconers LLP, 1989)</w:t>
      </w:r>
      <w:r w:rsidR="006D66DC">
        <w:rPr>
          <w:lang w:val="en-US"/>
        </w:rPr>
        <w:t xml:space="preserve">. </w:t>
      </w:r>
      <w:r w:rsidRPr="007928E6">
        <w:rPr>
          <w:lang w:val="en-US"/>
        </w:rPr>
        <w:t xml:space="preserve">Police officers in both cases are acquitted. The Ontario government creates the Race Relations and Policing Task Force in response </w:t>
      </w:r>
      <w:r w:rsidR="00E31F8B">
        <w:rPr>
          <w:noProof/>
          <w:lang w:val="en-US"/>
        </w:rPr>
        <w:t>(Ontario Human Rights Commission, 2018)</w:t>
      </w:r>
      <w:r w:rsidR="00081A87">
        <w:rPr>
          <w:lang w:val="en-US"/>
        </w:rPr>
        <w:t>.</w:t>
      </w:r>
    </w:p>
    <w:p w14:paraId="31FC2F81" w14:textId="224D9D27" w:rsidR="00AA11FC" w:rsidRPr="007928E6" w:rsidRDefault="00AA11FC" w:rsidP="00AA11FC">
      <w:pPr>
        <w:jc w:val="both"/>
        <w:rPr>
          <w:lang w:val="en-US"/>
        </w:rPr>
      </w:pPr>
      <w:r w:rsidRPr="007928E6">
        <w:rPr>
          <w:b/>
          <w:bCs/>
        </w:rPr>
        <w:t>1989</w:t>
      </w:r>
      <w:r w:rsidRPr="007928E6">
        <w:t xml:space="preserve">: Joe Rose, a 24-year-old gay activist living with HIV is stabbed to death in a homophobic hate crime on March 19, 1989, in Montreal </w:t>
      </w:r>
      <w:r w:rsidR="00E31F8B">
        <w:rPr>
          <w:noProof/>
        </w:rPr>
        <w:t>(MacFarlane, 2019)</w:t>
      </w:r>
      <w:r w:rsidRPr="007928E6">
        <w:t>. Outrage over his death prompts the formation of the activist group R</w:t>
      </w:r>
      <w:proofErr w:type="spellStart"/>
      <w:r w:rsidRPr="007928E6">
        <w:rPr>
          <w:lang w:val="en-US"/>
        </w:rPr>
        <w:t>éaction</w:t>
      </w:r>
      <w:proofErr w:type="spellEnd"/>
      <w:r w:rsidRPr="007928E6">
        <w:rPr>
          <w:lang w:val="en-US"/>
        </w:rPr>
        <w:t xml:space="preserve"> SIDA. Its members together with those from ACT UP and AIDS Action Now storm the International AIDS Society Conference in July. Organizers and attendees of the conference are accused of careerism, using the experiences and data of people living with AIDS while excluding them from the conference.  Prime Minister Brian Mulroney, after five years in office, makes his first public remarks on AIDS at the conference </w:t>
      </w:r>
      <w:r w:rsidR="00E31F8B">
        <w:rPr>
          <w:noProof/>
          <w:lang w:val="en-US"/>
        </w:rPr>
        <w:t>(Couturier, 2022)</w:t>
      </w:r>
      <w:r w:rsidR="00081A87">
        <w:rPr>
          <w:lang w:val="en-US"/>
        </w:rPr>
        <w:t>.</w:t>
      </w:r>
    </w:p>
    <w:p w14:paraId="32B731AB" w14:textId="426FEDB3" w:rsidR="00AA11FC" w:rsidRPr="007928E6" w:rsidRDefault="00AA11FC" w:rsidP="00AA11FC">
      <w:pPr>
        <w:jc w:val="both"/>
        <w:rPr>
          <w:lang w:val="en-US"/>
        </w:rPr>
      </w:pPr>
      <w:r w:rsidRPr="007928E6">
        <w:rPr>
          <w:b/>
          <w:bCs/>
          <w:lang w:val="en-US"/>
        </w:rPr>
        <w:t xml:space="preserve">1990: </w:t>
      </w:r>
      <w:r w:rsidRPr="007928E6">
        <w:rPr>
          <w:lang w:val="en-US"/>
        </w:rPr>
        <w:t xml:space="preserve"> Montreal police raid an after-hours venue called the Sex Garage on July 15, 1990, force four hundred LGBTQ individuals into the street and attack them with batons, injuring some severely. A 250-person strong protest in front of the police station the next day leads to violent retaliation by the police and the arrest of nearly 50 protestors, who are further abused in police custody </w:t>
      </w:r>
      <w:r w:rsidR="00E31F8B">
        <w:rPr>
          <w:noProof/>
          <w:lang w:val="en-US"/>
        </w:rPr>
        <w:t>(Queer Events Editorial Staff, 2019)</w:t>
      </w:r>
      <w:r w:rsidRPr="007928E6">
        <w:rPr>
          <w:lang w:val="en-US"/>
        </w:rPr>
        <w:t xml:space="preserve">.     </w:t>
      </w:r>
    </w:p>
    <w:p w14:paraId="38F943BD" w14:textId="1DDD78CB" w:rsidR="00AA11FC" w:rsidRPr="007928E6" w:rsidRDefault="00AA11FC" w:rsidP="00AA11FC">
      <w:pPr>
        <w:jc w:val="both"/>
      </w:pPr>
      <w:r w:rsidRPr="007928E6">
        <w:rPr>
          <w:b/>
          <w:bCs/>
        </w:rPr>
        <w:lastRenderedPageBreak/>
        <w:t xml:space="preserve">1990: </w:t>
      </w:r>
      <w:r w:rsidRPr="007928E6">
        <w:t>The term Two-spirit (</w:t>
      </w:r>
      <w:proofErr w:type="spellStart"/>
      <w:r w:rsidRPr="007928E6">
        <w:rPr>
          <w:i/>
          <w:iCs/>
        </w:rPr>
        <w:t>niizh</w:t>
      </w:r>
      <w:proofErr w:type="spellEnd"/>
      <w:r w:rsidRPr="007928E6">
        <w:rPr>
          <w:i/>
          <w:iCs/>
        </w:rPr>
        <w:t xml:space="preserve"> </w:t>
      </w:r>
      <w:proofErr w:type="spellStart"/>
      <w:r w:rsidRPr="007928E6">
        <w:rPr>
          <w:i/>
          <w:iCs/>
        </w:rPr>
        <w:t>manidoowag</w:t>
      </w:r>
      <w:proofErr w:type="spellEnd"/>
      <w:r w:rsidRPr="007928E6">
        <w:t>) is coined</w:t>
      </w:r>
      <w:r w:rsidRPr="007928E6">
        <w:rPr>
          <w:b/>
          <w:bCs/>
        </w:rPr>
        <w:t xml:space="preserve"> </w:t>
      </w:r>
      <w:r w:rsidRPr="007928E6">
        <w:t>at the</w:t>
      </w:r>
      <w:r w:rsidRPr="007928E6">
        <w:rPr>
          <w:b/>
          <w:bCs/>
        </w:rPr>
        <w:t xml:space="preserve"> </w:t>
      </w:r>
      <w:r w:rsidRPr="007928E6">
        <w:t xml:space="preserve">third annual Native American/First Nations Gay and Lesbian Conference in Winnipeg. The term allows Indigenous LGBTQ+ individuals to reject western views of sexuality and gender </w:t>
      </w:r>
      <w:r w:rsidR="00E31F8B">
        <w:rPr>
          <w:noProof/>
        </w:rPr>
        <w:t>(Filice, 2015)</w:t>
      </w:r>
      <w:r w:rsidRPr="007928E6">
        <w:t xml:space="preserve">. </w:t>
      </w:r>
    </w:p>
    <w:p w14:paraId="70ED2F6F" w14:textId="3E1D62CD" w:rsidR="0033181C" w:rsidRDefault="00AA11FC" w:rsidP="00AA11FC">
      <w:pPr>
        <w:jc w:val="both"/>
      </w:pPr>
      <w:r w:rsidRPr="007928E6">
        <w:rPr>
          <w:b/>
          <w:bCs/>
        </w:rPr>
        <w:t xml:space="preserve">1950s to mid-1990’s: </w:t>
      </w:r>
      <w:r w:rsidRPr="007928E6">
        <w:t>LGBTQ individuals in the Canadian Armed Forces, the RCMP and the federal public service are systematically discriminated against, harassed, and fired as a matter of policy and sanctioned governmental practice, in what is known as the ‘LGBTQ Purge’.</w:t>
      </w:r>
      <w:r w:rsidRPr="007928E6">
        <w:rPr>
          <w:b/>
          <w:bCs/>
        </w:rPr>
        <w:t xml:space="preserve"> </w:t>
      </w:r>
      <w:r w:rsidRPr="007928E6">
        <w:t xml:space="preserve">About 9000 individuals are estimated to have lost their jobs, some imprisoned for their sexual orientation, and several believed to have committed suicide </w:t>
      </w:r>
      <w:r w:rsidR="00E31F8B">
        <w:rPr>
          <w:noProof/>
        </w:rPr>
        <w:t>(LGBT Purge Fund, 2023)</w:t>
      </w:r>
      <w:r w:rsidR="00307EA6">
        <w:t xml:space="preserve">. </w:t>
      </w:r>
      <w:r w:rsidRPr="007928E6">
        <w:t>Prime Minister</w:t>
      </w:r>
      <w:r w:rsidRPr="007928E6">
        <w:rPr>
          <w:b/>
          <w:bCs/>
        </w:rPr>
        <w:t xml:space="preserve"> </w:t>
      </w:r>
      <w:r w:rsidRPr="007928E6">
        <w:t xml:space="preserve">Justin Trudeau offers an official apology in 2017 </w:t>
      </w:r>
      <w:r w:rsidR="00E31F8B">
        <w:rPr>
          <w:noProof/>
        </w:rPr>
        <w:t>(Harris, 2017)</w:t>
      </w:r>
      <w:r w:rsidR="0033181C">
        <w:t>.</w:t>
      </w:r>
    </w:p>
    <w:p w14:paraId="54A718B9" w14:textId="4F8A0E91" w:rsidR="00AA11FC" w:rsidRPr="007928E6" w:rsidRDefault="00AA11FC" w:rsidP="00AA11FC">
      <w:pPr>
        <w:jc w:val="both"/>
        <w:rPr>
          <w:b/>
          <w:bCs/>
        </w:rPr>
      </w:pPr>
      <w:r w:rsidRPr="007928E6">
        <w:rPr>
          <w:b/>
          <w:bCs/>
        </w:rPr>
        <w:t xml:space="preserve">1992: </w:t>
      </w:r>
      <w:r w:rsidRPr="007928E6">
        <w:t>Two leaders</w:t>
      </w:r>
      <w:r w:rsidRPr="007928E6">
        <w:rPr>
          <w:b/>
          <w:bCs/>
        </w:rPr>
        <w:t xml:space="preserve"> </w:t>
      </w:r>
      <w:r w:rsidRPr="007928E6">
        <w:t xml:space="preserve">of the KKK in Montreal, Michel Larocque and Alain Roy, and 36 Skinheads are arrested in Montreal while trying to set fire to a building </w:t>
      </w:r>
      <w:r w:rsidR="00E31F8B">
        <w:rPr>
          <w:noProof/>
        </w:rPr>
        <w:t>(Noël, 2018)</w:t>
      </w:r>
      <w:r w:rsidRPr="007928E6">
        <w:t>.</w:t>
      </w:r>
    </w:p>
    <w:p w14:paraId="296C55B0" w14:textId="29E285B5" w:rsidR="00AA11FC" w:rsidRPr="007928E6" w:rsidRDefault="00AA11FC" w:rsidP="00AA11FC">
      <w:pPr>
        <w:jc w:val="both"/>
        <w:rPr>
          <w:b/>
          <w:bCs/>
        </w:rPr>
      </w:pPr>
      <w:r w:rsidRPr="007928E6">
        <w:rPr>
          <w:b/>
          <w:bCs/>
        </w:rPr>
        <w:t xml:space="preserve">1993: </w:t>
      </w:r>
      <w:r w:rsidRPr="007928E6">
        <w:t xml:space="preserve">The murders of 14 gay men in Montreal remain unsolved and the police refuses to acknowledge the targeting of gay men. Victims include Warren Ealing, an Anglican priest and Roland Gagnier, a Catholic priest. Andrew Hutchinson, the Anglican Bishop of Montreal, acknowledges that Ealing is targeted for his sexual identity. Roger LeClerc, a gay activist threatens to publicly ‘out’ gay politicians and lawmakers in Quebec in response to governmental inaction. Yves Lalonde, a gay man is killed by four neo-Nazi teenagers. The Quebec government establishes an advisory commission on discrimination against gay individuals </w:t>
      </w:r>
      <w:r w:rsidR="00E31F8B">
        <w:rPr>
          <w:noProof/>
        </w:rPr>
        <w:t>(CBC Listen, 2022)</w:t>
      </w:r>
      <w:r w:rsidR="00E35EF2">
        <w:t>.</w:t>
      </w:r>
      <w:r w:rsidRPr="007928E6">
        <w:t xml:space="preserve">  </w:t>
      </w:r>
      <w:r w:rsidRPr="007928E6">
        <w:rPr>
          <w:b/>
          <w:bCs/>
        </w:rPr>
        <w:t xml:space="preserve"> </w:t>
      </w:r>
    </w:p>
    <w:p w14:paraId="3C200AAB" w14:textId="583BBFF1" w:rsidR="00AA11FC" w:rsidRPr="007928E6" w:rsidRDefault="00AA11FC" w:rsidP="00AA11FC">
      <w:pPr>
        <w:jc w:val="both"/>
        <w:rPr>
          <w:b/>
          <w:bCs/>
        </w:rPr>
      </w:pPr>
      <w:r w:rsidRPr="007928E6">
        <w:rPr>
          <w:b/>
          <w:bCs/>
        </w:rPr>
        <w:t>1990 – 2004</w:t>
      </w:r>
      <w:r w:rsidRPr="007928E6">
        <w:t xml:space="preserve">: An estimated 120 anti-gay related homicides and 350 acts of homophobic violence are committed in Canada </w:t>
      </w:r>
      <w:r w:rsidR="00E31F8B">
        <w:rPr>
          <w:noProof/>
        </w:rPr>
        <w:t>(Janoff, 2005)</w:t>
      </w:r>
      <w:r w:rsidR="00081A87">
        <w:t>.</w:t>
      </w:r>
    </w:p>
    <w:p w14:paraId="344611C5" w14:textId="3E7E7096" w:rsidR="00AA11FC" w:rsidRPr="007928E6" w:rsidRDefault="00AA11FC" w:rsidP="00AA11FC">
      <w:pPr>
        <w:jc w:val="both"/>
      </w:pPr>
      <w:r w:rsidRPr="007928E6">
        <w:rPr>
          <w:b/>
          <w:bCs/>
        </w:rPr>
        <w:t>2001</w:t>
      </w:r>
      <w:r w:rsidRPr="007928E6">
        <w:t xml:space="preserve">: Aaron Webster, a 42-year-old gay man is murdered in Vancouver. On November 18, 2001, over 3,000 people come together for a march and vigil protesting anti-gay violence </w:t>
      </w:r>
      <w:r w:rsidR="00E31F8B">
        <w:rPr>
          <w:noProof/>
        </w:rPr>
        <w:t>(Adach and Eifling, 2011)</w:t>
      </w:r>
      <w:r w:rsidRPr="007928E6">
        <w:t xml:space="preserve">. </w:t>
      </w:r>
    </w:p>
    <w:p w14:paraId="7F248FA0" w14:textId="562C3126" w:rsidR="00AA11FC" w:rsidRPr="007928E6" w:rsidRDefault="00AA11FC" w:rsidP="00AA11FC">
      <w:pPr>
        <w:jc w:val="both"/>
      </w:pPr>
      <w:r w:rsidRPr="007928E6">
        <w:rPr>
          <w:b/>
          <w:bCs/>
        </w:rPr>
        <w:t xml:space="preserve">2005:  </w:t>
      </w:r>
      <w:r w:rsidRPr="007928E6">
        <w:t xml:space="preserve">Canada becomes the fourth country in the world and the first outside Europe to officially sanction same-sex marriage </w:t>
      </w:r>
      <w:r w:rsidR="00E31F8B">
        <w:rPr>
          <w:noProof/>
        </w:rPr>
        <w:t>(Cotler, 2015)</w:t>
      </w:r>
      <w:r w:rsidR="00C24FEE">
        <w:t>.</w:t>
      </w:r>
    </w:p>
    <w:p w14:paraId="38A6DDE5" w14:textId="73F37E31" w:rsidR="00AA11FC" w:rsidRPr="007928E6" w:rsidRDefault="00AA11FC" w:rsidP="00AA11FC">
      <w:pPr>
        <w:jc w:val="both"/>
      </w:pPr>
      <w:r w:rsidRPr="007928E6">
        <w:rPr>
          <w:b/>
          <w:bCs/>
        </w:rPr>
        <w:t xml:space="preserve">2006: </w:t>
      </w:r>
      <w:r w:rsidRPr="007928E6">
        <w:t xml:space="preserve">Prime Minister Stephen Harper offers an official apology to Chinese Canadians for the Head Tax (a fee for Chinese persons entering Canada levied by the government from 1885 to 1923) and the subsequent exclusion of Chinese immigrants from 1923 to 1947 </w:t>
      </w:r>
      <w:r w:rsidR="00E31F8B">
        <w:rPr>
          <w:noProof/>
        </w:rPr>
        <w:t>(Yu, 2019)</w:t>
      </w:r>
      <w:r w:rsidRPr="007928E6">
        <w:t>.</w:t>
      </w:r>
      <w:r w:rsidRPr="007928E6">
        <w:rPr>
          <w:b/>
          <w:bCs/>
        </w:rPr>
        <w:t xml:space="preserve"> </w:t>
      </w:r>
    </w:p>
    <w:p w14:paraId="749B5BE7" w14:textId="52694E0E" w:rsidR="00AA11FC" w:rsidRPr="007928E6" w:rsidRDefault="00AA11FC" w:rsidP="00AA11FC">
      <w:pPr>
        <w:jc w:val="both"/>
        <w:rPr>
          <w:b/>
          <w:bCs/>
        </w:rPr>
      </w:pPr>
      <w:r w:rsidRPr="007928E6">
        <w:rPr>
          <w:b/>
          <w:bCs/>
        </w:rPr>
        <w:t xml:space="preserve">2008 - 2022: </w:t>
      </w:r>
      <w:r w:rsidRPr="007928E6">
        <w:t>David Popescu, an independent politician responds to a question about same sex-marriage by stating that, “homosexuals should be executed”. He calls for the execution of Kathleen Wynne, Ontario’s former premier who is gay, in 2018. He is sentenced to jail twice for anti-gay hate crimes. He runs</w:t>
      </w:r>
      <w:r w:rsidR="007109F3" w:rsidRPr="007928E6">
        <w:t xml:space="preserve"> as</w:t>
      </w:r>
      <w:r w:rsidRPr="007928E6">
        <w:t xml:space="preserve"> an independent candidate from Sudbury, Ontario in June 2022 </w:t>
      </w:r>
      <w:r w:rsidR="00E31F8B">
        <w:rPr>
          <w:noProof/>
        </w:rPr>
        <w:t>(Sudbury.com Staff, 2021)</w:t>
      </w:r>
      <w:r w:rsidR="00FF38A2">
        <w:t>.</w:t>
      </w:r>
    </w:p>
    <w:p w14:paraId="0721923A" w14:textId="69F9D2A4" w:rsidR="00AA11FC" w:rsidRPr="007928E6" w:rsidRDefault="00AA11FC" w:rsidP="00AA11FC">
      <w:pPr>
        <w:jc w:val="both"/>
      </w:pPr>
      <w:r w:rsidRPr="007928E6">
        <w:rPr>
          <w:b/>
          <w:bCs/>
        </w:rPr>
        <w:t xml:space="preserve">2009: </w:t>
      </w:r>
      <w:r w:rsidRPr="007928E6">
        <w:t xml:space="preserve">Ritchie Dowrey, a 62-year-old gay man is physically attacked in an anti-gay hate crime by Shawn Woodward in Vancouver, leaving him with permanent paraplegia and memory loss </w:t>
      </w:r>
      <w:r w:rsidR="00E31F8B">
        <w:rPr>
          <w:noProof/>
        </w:rPr>
        <w:t>(CBC News, 2015)</w:t>
      </w:r>
      <w:r w:rsidR="004C28E9">
        <w:t>.</w:t>
      </w:r>
    </w:p>
    <w:p w14:paraId="2DF35E5D" w14:textId="41910A00" w:rsidR="00AA11FC" w:rsidRPr="007928E6" w:rsidRDefault="00AA11FC" w:rsidP="00AA11FC">
      <w:pPr>
        <w:jc w:val="both"/>
      </w:pPr>
      <w:r w:rsidRPr="007928E6">
        <w:rPr>
          <w:b/>
          <w:bCs/>
        </w:rPr>
        <w:t xml:space="preserve">2010 – 2017: </w:t>
      </w:r>
      <w:r w:rsidRPr="007928E6">
        <w:t>Bruce McArthur</w:t>
      </w:r>
      <w:r w:rsidRPr="007928E6">
        <w:rPr>
          <w:b/>
          <w:bCs/>
        </w:rPr>
        <w:t xml:space="preserve"> </w:t>
      </w:r>
      <w:r w:rsidRPr="007928E6">
        <w:t xml:space="preserve">murders eight gay men in Toronto. Six of his victims were immigrants from Afghanistan, Sri Lanka, Iran, and Turkey </w:t>
      </w:r>
      <w:r w:rsidR="00E31F8B">
        <w:rPr>
          <w:noProof/>
        </w:rPr>
        <w:t>(BBC, 2019)</w:t>
      </w:r>
      <w:r w:rsidR="004C28E9">
        <w:t>.</w:t>
      </w:r>
    </w:p>
    <w:p w14:paraId="6C77DE77" w14:textId="7E23FC37" w:rsidR="00AA11FC" w:rsidRPr="007928E6" w:rsidRDefault="00AA11FC" w:rsidP="00AA11FC">
      <w:pPr>
        <w:jc w:val="both"/>
      </w:pPr>
      <w:r w:rsidRPr="007928E6">
        <w:rPr>
          <w:b/>
          <w:bCs/>
        </w:rPr>
        <w:t xml:space="preserve">2011: </w:t>
      </w:r>
      <w:r w:rsidRPr="007928E6">
        <w:t xml:space="preserve">Jamie </w:t>
      </w:r>
      <w:proofErr w:type="spellStart"/>
      <w:r w:rsidRPr="007928E6">
        <w:t>Hubbley</w:t>
      </w:r>
      <w:proofErr w:type="spellEnd"/>
      <w:r w:rsidRPr="007928E6">
        <w:t xml:space="preserve">, the son of Ottawa city councillor commits suicide following anti-gay bullying at school. This leads to the Legislative Assembly of Ontario passing stiffer penalties for bullying in schools in 2012 </w:t>
      </w:r>
      <w:r w:rsidR="00E31F8B">
        <w:rPr>
          <w:noProof/>
        </w:rPr>
        <w:t>(CBC News, 2011)</w:t>
      </w:r>
      <w:r w:rsidR="004A5962">
        <w:t>.</w:t>
      </w:r>
      <w:r w:rsidRPr="007928E6">
        <w:t xml:space="preserve"> </w:t>
      </w:r>
    </w:p>
    <w:p w14:paraId="4D9E5C69" w14:textId="0911843F" w:rsidR="00AA11FC" w:rsidRPr="007928E6" w:rsidRDefault="00AA11FC" w:rsidP="00AA11FC">
      <w:pPr>
        <w:jc w:val="both"/>
        <w:rPr>
          <w:lang w:val="en-US"/>
        </w:rPr>
      </w:pPr>
      <w:r w:rsidRPr="007928E6">
        <w:rPr>
          <w:b/>
          <w:bCs/>
        </w:rPr>
        <w:lastRenderedPageBreak/>
        <w:t>2011 – 2012</w:t>
      </w:r>
      <w:r w:rsidRPr="007928E6">
        <w:t xml:space="preserve">: An increase in homophobic violent incidents in Montreal’s gay village prompts Montreal’s non-profit Gai </w:t>
      </w:r>
      <w:proofErr w:type="spellStart"/>
      <w:r w:rsidRPr="007928E6">
        <w:rPr>
          <w:lang w:val="en-US"/>
        </w:rPr>
        <w:t>Écoute</w:t>
      </w:r>
      <w:proofErr w:type="spellEnd"/>
      <w:r w:rsidRPr="007928E6">
        <w:rPr>
          <w:lang w:val="en-US"/>
        </w:rPr>
        <w:t xml:space="preserve"> (now </w:t>
      </w:r>
      <w:proofErr w:type="spellStart"/>
      <w:r w:rsidRPr="007928E6">
        <w:rPr>
          <w:lang w:val="en-US"/>
        </w:rPr>
        <w:t>Interligne</w:t>
      </w:r>
      <w:proofErr w:type="spellEnd"/>
      <w:r w:rsidRPr="007928E6">
        <w:rPr>
          <w:lang w:val="en-US"/>
        </w:rPr>
        <w:t xml:space="preserve">) to launch the Acts of Homophobia registry </w:t>
      </w:r>
      <w:r w:rsidR="00E31F8B">
        <w:rPr>
          <w:noProof/>
          <w:lang w:val="en-US"/>
        </w:rPr>
        <w:t>(Newsdesk, 2012)</w:t>
      </w:r>
      <w:r w:rsidR="00AD6342">
        <w:rPr>
          <w:lang w:val="en-US"/>
        </w:rPr>
        <w:t>.</w:t>
      </w:r>
    </w:p>
    <w:p w14:paraId="4F4C189C" w14:textId="017AD40E" w:rsidR="00AA11FC" w:rsidRPr="007928E6" w:rsidRDefault="00AA11FC" w:rsidP="00AA11FC">
      <w:pPr>
        <w:jc w:val="both"/>
      </w:pPr>
      <w:r w:rsidRPr="007928E6">
        <w:rPr>
          <w:b/>
          <w:bCs/>
        </w:rPr>
        <w:t>2015</w:t>
      </w:r>
      <w:r w:rsidRPr="007928E6">
        <w:t xml:space="preserve">: The Truth and Reconciliation Committee presents its final report, including 94 calls to action to further reconciliation between Canadians and Indigenous Peoples </w:t>
      </w:r>
      <w:r w:rsidR="00E31F8B">
        <w:rPr>
          <w:noProof/>
        </w:rPr>
        <w:t>(Mas, 2015)</w:t>
      </w:r>
      <w:r w:rsidRPr="007928E6">
        <w:t xml:space="preserve">. According to Indigenous Watchdog </w:t>
      </w:r>
      <w:r w:rsidR="00E31F8B">
        <w:rPr>
          <w:noProof/>
        </w:rPr>
        <w:t>(2023)</w:t>
      </w:r>
      <w:r w:rsidRPr="007928E6">
        <w:t xml:space="preserve">, a federally registered non-profit, as of </w:t>
      </w:r>
      <w:r w:rsidR="0001741B" w:rsidRPr="007928E6">
        <w:t>September</w:t>
      </w:r>
      <w:r w:rsidRPr="007928E6">
        <w:t xml:space="preserve"> 2023, 14% of those action to calls have been completed. </w:t>
      </w:r>
    </w:p>
    <w:p w14:paraId="35590B2A" w14:textId="5999D0F3" w:rsidR="00AA11FC" w:rsidRPr="007928E6" w:rsidRDefault="00AA11FC" w:rsidP="00AA11FC">
      <w:pPr>
        <w:jc w:val="both"/>
      </w:pPr>
      <w:r w:rsidRPr="007928E6">
        <w:rPr>
          <w:b/>
          <w:bCs/>
        </w:rPr>
        <w:t xml:space="preserve">2016: </w:t>
      </w:r>
      <w:r w:rsidRPr="007928E6">
        <w:t>Prime Minister Justin Trudeau apologizes for the SS Komagata Maru incident of 1914, in which 376 passengers from India aboard the ship were</w:t>
      </w:r>
      <w:r w:rsidRPr="007928E6">
        <w:rPr>
          <w:b/>
          <w:bCs/>
        </w:rPr>
        <w:t xml:space="preserve"> </w:t>
      </w:r>
      <w:r w:rsidRPr="007928E6">
        <w:t xml:space="preserve">not allowed to enter Vancouver </w:t>
      </w:r>
      <w:r w:rsidR="00E31F8B">
        <w:rPr>
          <w:noProof/>
        </w:rPr>
        <w:t>(McRae, 2017b)</w:t>
      </w:r>
      <w:r w:rsidR="00F27B2B">
        <w:t>.</w:t>
      </w:r>
    </w:p>
    <w:p w14:paraId="340E12B7" w14:textId="7017605E" w:rsidR="00AA11FC" w:rsidRPr="007928E6" w:rsidRDefault="00AA11FC" w:rsidP="00AA11FC">
      <w:pPr>
        <w:jc w:val="both"/>
      </w:pPr>
      <w:r w:rsidRPr="007928E6">
        <w:rPr>
          <w:b/>
          <w:bCs/>
        </w:rPr>
        <w:t>2016</w:t>
      </w:r>
      <w:r w:rsidRPr="007928E6">
        <w:t xml:space="preserve">: A Canadian Institute of Health Social Research Centre report finds that Canadian mainstream newspapers feature Black immigrant men in articles four times more often than would be warranted based on the proportion of defendants they represent in cases of HIV criminalization </w:t>
      </w:r>
      <w:r w:rsidR="00E31F8B">
        <w:rPr>
          <w:noProof/>
        </w:rPr>
        <w:t>(Mykhalovskiy et al., 2016)</w:t>
      </w:r>
    </w:p>
    <w:p w14:paraId="1AF0C2C3" w14:textId="26BB8FC2" w:rsidR="00AA11FC" w:rsidRPr="007928E6" w:rsidRDefault="00AA11FC" w:rsidP="00AA11FC">
      <w:pPr>
        <w:jc w:val="both"/>
        <w:rPr>
          <w:b/>
          <w:bCs/>
        </w:rPr>
      </w:pPr>
      <w:r w:rsidRPr="007928E6">
        <w:rPr>
          <w:b/>
          <w:bCs/>
        </w:rPr>
        <w:t>2017</w:t>
      </w:r>
      <w:r w:rsidRPr="007928E6">
        <w:t xml:space="preserve">: HIV Annual Report for British Columbia shows that the proportion of new HIV cases is highest among gay, bisexual and men who have sex with men (GBM). Of these, 7.9% are among Indigenous men (up from 5.5% in 2008) and 15% among Asian men (up from 11.6% in 2008) </w:t>
      </w:r>
      <w:r w:rsidR="00E31F8B">
        <w:rPr>
          <w:noProof/>
        </w:rPr>
        <w:t>(BC Centre for Disease Control, 2019)</w:t>
      </w:r>
      <w:r w:rsidR="00A43508">
        <w:t>.</w:t>
      </w:r>
    </w:p>
    <w:p w14:paraId="216C62DF" w14:textId="07A59F4D" w:rsidR="00AA11FC" w:rsidRPr="007928E6" w:rsidRDefault="00AA11FC" w:rsidP="00AA11FC">
      <w:pPr>
        <w:jc w:val="both"/>
      </w:pPr>
      <w:r w:rsidRPr="007928E6">
        <w:rPr>
          <w:b/>
          <w:bCs/>
        </w:rPr>
        <w:t>2019</w:t>
      </w:r>
      <w:r w:rsidRPr="007928E6">
        <w:t xml:space="preserve">:  A Canadian Centre for Policy Alternatives report using 2016 census data shows the racialization of income inequality in Canada (20.8% of racialized families were below the low-income measure compared to 12.2% for non-racialized families. Those identifying as Arab, West Asian, Korean had nearly three times higher poverty rates compared to non-racialized families. Relative to non-racialized immigrant men, racialized immigrant men earned 71 cents per $1, non-racialized immigrant women earned 66 cents per $1, and racialized immigrant women earned 52 cents per $1) </w:t>
      </w:r>
      <w:r w:rsidR="00E31F8B">
        <w:rPr>
          <w:noProof/>
        </w:rPr>
        <w:t>(Block et al., 2019)</w:t>
      </w:r>
      <w:r w:rsidR="00BB3428">
        <w:t>.</w:t>
      </w:r>
    </w:p>
    <w:p w14:paraId="5619C90C" w14:textId="25D8167A" w:rsidR="00AA11FC" w:rsidRPr="007928E6" w:rsidRDefault="00AA11FC" w:rsidP="00AA11FC">
      <w:pPr>
        <w:jc w:val="both"/>
      </w:pPr>
      <w:r w:rsidRPr="007928E6">
        <w:rPr>
          <w:b/>
          <w:bCs/>
        </w:rPr>
        <w:t xml:space="preserve">2020: </w:t>
      </w:r>
      <w:r w:rsidRPr="007928E6">
        <w:t>Canadians of Asian ethnicity find themselves the targets of widespread racism and accusations of complicity in the release of the coronavirus</w:t>
      </w:r>
      <w:r w:rsidRPr="007928E6">
        <w:rPr>
          <w:b/>
          <w:bCs/>
        </w:rPr>
        <w:t xml:space="preserve">. </w:t>
      </w:r>
      <w:r w:rsidRPr="007928E6">
        <w:t>In Vancouver,</w:t>
      </w:r>
      <w:r w:rsidRPr="007928E6">
        <w:rPr>
          <w:b/>
          <w:bCs/>
        </w:rPr>
        <w:t xml:space="preserve"> </w:t>
      </w:r>
      <w:r w:rsidRPr="007928E6">
        <w:t xml:space="preserve">anti-Asian hate crimes increase by 717% between 2019 and 2020 </w:t>
      </w:r>
      <w:r w:rsidR="00E31F8B">
        <w:rPr>
          <w:noProof/>
        </w:rPr>
        <w:t>(Zussman, 2021)</w:t>
      </w:r>
      <w:r w:rsidR="00C52BBB">
        <w:t>.</w:t>
      </w:r>
    </w:p>
    <w:p w14:paraId="3642A880" w14:textId="275A03A4" w:rsidR="00AA11FC" w:rsidRPr="007928E6" w:rsidRDefault="00AA11FC" w:rsidP="00AA11FC">
      <w:pPr>
        <w:jc w:val="both"/>
      </w:pPr>
      <w:r w:rsidRPr="007928E6">
        <w:rPr>
          <w:b/>
          <w:bCs/>
        </w:rPr>
        <w:t xml:space="preserve">2020: </w:t>
      </w:r>
      <w:r w:rsidRPr="007928E6">
        <w:t xml:space="preserve">Joyce </w:t>
      </w:r>
      <w:proofErr w:type="spellStart"/>
      <w:r w:rsidRPr="007928E6">
        <w:t>Echaquan</w:t>
      </w:r>
      <w:proofErr w:type="spellEnd"/>
      <w:r w:rsidRPr="007928E6">
        <w:t>, a 37-year-old</w:t>
      </w:r>
      <w:r w:rsidRPr="007928E6">
        <w:rPr>
          <w:b/>
          <w:bCs/>
        </w:rPr>
        <w:t xml:space="preserve"> </w:t>
      </w:r>
      <w:proofErr w:type="spellStart"/>
      <w:r w:rsidRPr="007928E6">
        <w:t>Atikamekv</w:t>
      </w:r>
      <w:proofErr w:type="spellEnd"/>
      <w:r w:rsidRPr="007928E6">
        <w:t xml:space="preserve"> woman</w:t>
      </w:r>
      <w:r w:rsidRPr="007928E6">
        <w:rPr>
          <w:b/>
          <w:bCs/>
        </w:rPr>
        <w:t xml:space="preserve"> </w:t>
      </w:r>
      <w:r w:rsidRPr="007928E6">
        <w:t xml:space="preserve">dies in a Quebec hospital. Before her death, she faces racist taunts by the health care staff </w:t>
      </w:r>
      <w:r w:rsidR="00E31F8B">
        <w:rPr>
          <w:noProof/>
        </w:rPr>
        <w:t>(APTN National News, 2020)</w:t>
      </w:r>
      <w:r w:rsidR="004A69C4">
        <w:t xml:space="preserve">. </w:t>
      </w:r>
      <w:r w:rsidRPr="007928E6">
        <w:t xml:space="preserve">British Columbia publishes, “In Plain Sight” </w:t>
      </w:r>
      <w:r w:rsidR="00E31F8B">
        <w:rPr>
          <w:noProof/>
        </w:rPr>
        <w:t>(Government of British Columbia, 2020)</w:t>
      </w:r>
      <w:r w:rsidRPr="007928E6">
        <w:t>, in which a survey of 2,780 Indigenous Peoples individuals highlights widespread stereotyping and racism in health care.</w:t>
      </w:r>
    </w:p>
    <w:p w14:paraId="5F6C1DC6" w14:textId="61B530E0" w:rsidR="00A355B3" w:rsidRDefault="00AA11FC" w:rsidP="00AA11FC">
      <w:pPr>
        <w:jc w:val="both"/>
      </w:pPr>
      <w:r w:rsidRPr="007928E6">
        <w:rPr>
          <w:b/>
          <w:bCs/>
        </w:rPr>
        <w:t xml:space="preserve">2020:  </w:t>
      </w:r>
      <w:r w:rsidRPr="007928E6">
        <w:t xml:space="preserve"> The</w:t>
      </w:r>
      <w:r w:rsidRPr="007928E6">
        <w:rPr>
          <w:b/>
          <w:bCs/>
        </w:rPr>
        <w:t xml:space="preserve"> </w:t>
      </w:r>
      <w:r w:rsidRPr="007928E6">
        <w:t xml:space="preserve">HIV Annual Report for Ontario shows that the proportion of new HIV cases is highest among GBM. Proportions among Black GBM increased from 12.5% in 2016 to 17.1% in 2020, and for Latino/x GBM increased from 10.2% in 2016 to 15.6% in 2020 </w:t>
      </w:r>
      <w:r w:rsidR="00E31F8B">
        <w:rPr>
          <w:noProof/>
        </w:rPr>
        <w:t>(Ontario HIV Epidemiology and Surveillance Initiative, 2022)</w:t>
      </w:r>
      <w:r w:rsidR="00485D12">
        <w:t>.</w:t>
      </w:r>
    </w:p>
    <w:p w14:paraId="60B7BADA" w14:textId="6A1C96DA" w:rsidR="00AA11FC" w:rsidRPr="007928E6" w:rsidRDefault="00AA11FC" w:rsidP="00AA11FC">
      <w:pPr>
        <w:jc w:val="both"/>
        <w:rPr>
          <w:b/>
          <w:bCs/>
        </w:rPr>
      </w:pPr>
      <w:r w:rsidRPr="007928E6">
        <w:rPr>
          <w:b/>
          <w:bCs/>
        </w:rPr>
        <w:t xml:space="preserve">2021:  </w:t>
      </w:r>
      <w:r w:rsidRPr="007928E6">
        <w:t xml:space="preserve">Conversion therapy is banned in Canada </w:t>
      </w:r>
      <w:r w:rsidR="00E31F8B">
        <w:rPr>
          <w:noProof/>
        </w:rPr>
        <w:t>(Treisman, 2021)</w:t>
      </w:r>
      <w:r w:rsidRPr="007928E6">
        <w:t>.</w:t>
      </w:r>
      <w:r w:rsidRPr="007928E6">
        <w:rPr>
          <w:b/>
          <w:bCs/>
        </w:rPr>
        <w:t xml:space="preserve"> </w:t>
      </w:r>
      <w:r w:rsidRPr="007928E6">
        <w:t xml:space="preserve">However, it is still actively being practiced under the guise of medical and mental health care, or behind religious authorities, according to </w:t>
      </w:r>
      <w:proofErr w:type="spellStart"/>
      <w:r w:rsidRPr="007928E6">
        <w:t>Fondation</w:t>
      </w:r>
      <w:proofErr w:type="spellEnd"/>
      <w:r w:rsidRPr="007928E6">
        <w:t xml:space="preserve"> </w:t>
      </w:r>
      <w:proofErr w:type="spellStart"/>
      <w:r w:rsidRPr="007928E6">
        <w:t>Émergence</w:t>
      </w:r>
      <w:proofErr w:type="spellEnd"/>
      <w:r w:rsidRPr="007928E6">
        <w:t xml:space="preserve"> </w:t>
      </w:r>
      <w:r w:rsidR="00E31F8B">
        <w:rPr>
          <w:noProof/>
        </w:rPr>
        <w:t>(2023)</w:t>
      </w:r>
      <w:r w:rsidRPr="007928E6">
        <w:t xml:space="preserve">, a non-profit based in Quebec. </w:t>
      </w:r>
    </w:p>
    <w:p w14:paraId="561E7B19" w14:textId="3330D5FA" w:rsidR="00744D90" w:rsidRDefault="00AA11FC" w:rsidP="00AA11FC">
      <w:pPr>
        <w:jc w:val="both"/>
      </w:pPr>
      <w:r w:rsidRPr="007928E6">
        <w:rPr>
          <w:b/>
          <w:bCs/>
        </w:rPr>
        <w:t xml:space="preserve">2022: </w:t>
      </w:r>
      <w:r w:rsidRPr="007928E6">
        <w:t>The</w:t>
      </w:r>
      <w:r w:rsidRPr="007928E6">
        <w:rPr>
          <w:b/>
          <w:bCs/>
        </w:rPr>
        <w:t xml:space="preserve"> </w:t>
      </w:r>
      <w:r w:rsidRPr="007928E6">
        <w:t xml:space="preserve">Canadian government removes deferral period for men who have sex with men (MSM) to donate blood, if they test negative for HIV. Until then Canada had deferral periods for MSM to donate blood (5-years from last sexual intercourse till 2016, 1-year till 2019, 3-months till Sep 2022) </w:t>
      </w:r>
      <w:proofErr w:type="gramStart"/>
      <w:r w:rsidRPr="007928E6">
        <w:t>(</w:t>
      </w:r>
      <w:r w:rsidR="00E31F8B">
        <w:rPr>
          <w:noProof/>
        </w:rPr>
        <w:t xml:space="preserve"> (</w:t>
      </w:r>
      <w:proofErr w:type="gramEnd"/>
      <w:r w:rsidR="00E31F8B">
        <w:rPr>
          <w:noProof/>
        </w:rPr>
        <w:t>Branch, 2022)</w:t>
      </w:r>
      <w:r w:rsidR="00744D90">
        <w:t>.</w:t>
      </w:r>
    </w:p>
    <w:p w14:paraId="18E54F0E" w14:textId="14AEA33A" w:rsidR="00AA11FC" w:rsidRPr="007928E6" w:rsidRDefault="00AA11FC" w:rsidP="00AA11FC">
      <w:pPr>
        <w:jc w:val="both"/>
        <w:rPr>
          <w:b/>
          <w:bCs/>
        </w:rPr>
      </w:pPr>
      <w:r w:rsidRPr="007928E6">
        <w:rPr>
          <w:b/>
          <w:bCs/>
        </w:rPr>
        <w:lastRenderedPageBreak/>
        <w:t>2022</w:t>
      </w:r>
      <w:r w:rsidRPr="007928E6">
        <w:t xml:space="preserve">: The Government of Canada launches a public consultation to reform the criminal law regarding HIV non-disclosure </w:t>
      </w:r>
      <w:r w:rsidR="00E31F8B">
        <w:rPr>
          <w:noProof/>
        </w:rPr>
        <w:t>(Government of Canada, 2023b)</w:t>
      </w:r>
      <w:r w:rsidR="00482ABB">
        <w:t xml:space="preserve">. </w:t>
      </w:r>
      <w:r w:rsidRPr="007928E6">
        <w:t xml:space="preserve">There have been at least 224 prosecutions to date in Canada for HIV non-disclosure, most of them as aggravated sexual assault. The 70% conviction rate in HIV non-disclosure cases is higher than the rate for other sexual assault cases (one of the highest in the world) and prison sentences are more than double the average sentence for sexual assault </w:t>
      </w:r>
      <w:r w:rsidR="00E31F8B">
        <w:rPr>
          <w:noProof/>
        </w:rPr>
        <w:t>(Csete et al., 2023)</w:t>
      </w:r>
      <w:r w:rsidR="00751DC0">
        <w:t>.</w:t>
      </w:r>
    </w:p>
    <w:p w14:paraId="30167E97" w14:textId="4DFD906F" w:rsidR="00AA11FC" w:rsidRPr="007928E6" w:rsidRDefault="00AA11FC" w:rsidP="00AA11FC">
      <w:pPr>
        <w:jc w:val="both"/>
      </w:pPr>
      <w:r w:rsidRPr="007928E6">
        <w:rPr>
          <w:b/>
          <w:bCs/>
        </w:rPr>
        <w:t>2022</w:t>
      </w:r>
      <w:r w:rsidRPr="007928E6">
        <w:t xml:space="preserve">: A report by Public Safety Canada </w:t>
      </w:r>
      <w:r w:rsidR="00E31F8B">
        <w:rPr>
          <w:noProof/>
        </w:rPr>
        <w:t>(2023)</w:t>
      </w:r>
      <w:r w:rsidR="00F56487">
        <w:t xml:space="preserve"> </w:t>
      </w:r>
      <w:r w:rsidRPr="007928E6">
        <w:t xml:space="preserve">shows 26.1% of all prisoners being Indigenous (Indigenous Peoples constitute 5.0% of Canada’s population) and 8.1% being Black (Black individuals account for 3.5% of Canada’s population). </w:t>
      </w:r>
    </w:p>
    <w:p w14:paraId="6A032AAA" w14:textId="685DE8CE" w:rsidR="00AA11FC" w:rsidRPr="007928E6" w:rsidRDefault="00AA11FC" w:rsidP="00AA11FC">
      <w:pPr>
        <w:jc w:val="both"/>
      </w:pPr>
      <w:r w:rsidRPr="007928E6">
        <w:rPr>
          <w:b/>
          <w:bCs/>
        </w:rPr>
        <w:t xml:space="preserve">2022 to present: </w:t>
      </w:r>
      <w:r w:rsidRPr="007928E6">
        <w:t xml:space="preserve">Drag queen story hours at libraries across Canada are targeted by anti-gay activists </w:t>
      </w:r>
      <w:r w:rsidR="00E31F8B">
        <w:rPr>
          <w:noProof/>
        </w:rPr>
        <w:t>(McGinn, 2023)</w:t>
      </w:r>
      <w:r w:rsidR="00734DF4">
        <w:t>.</w:t>
      </w:r>
    </w:p>
    <w:p w14:paraId="1688A45C" w14:textId="793EEFB7" w:rsidR="00AA11FC" w:rsidRPr="007928E6" w:rsidRDefault="00AA11FC" w:rsidP="00AA11FC">
      <w:pPr>
        <w:jc w:val="both"/>
      </w:pPr>
      <w:r w:rsidRPr="007928E6">
        <w:rPr>
          <w:b/>
          <w:bCs/>
        </w:rPr>
        <w:t>2023</w:t>
      </w:r>
      <w:r w:rsidRPr="007928E6">
        <w:t xml:space="preserve">: A report by Statistics Canada shows that between 2020 and 2021, police-reported hate crimes motivated by sexual orientation increase by 64%, hate crimes motivated by race or ethnicity increase by 6% (after rising by 83% between 2019-2020). Hate crimes against East and Southeast Asians increase by 16%, South Asian 21%, and West Asian &amp; Arab by 46% in the same period </w:t>
      </w:r>
      <w:r w:rsidR="00E31F8B">
        <w:rPr>
          <w:noProof/>
        </w:rPr>
        <w:t>(Statistics Canada, 2023)</w:t>
      </w:r>
      <w:r w:rsidR="000169AF">
        <w:t>.</w:t>
      </w:r>
    </w:p>
    <w:p w14:paraId="040E469E" w14:textId="77777777" w:rsidR="00D56705" w:rsidRPr="007928E6" w:rsidRDefault="00D56705" w:rsidP="00732713">
      <w:pPr>
        <w:pStyle w:val="NoSpacing"/>
        <w:ind w:firstLine="720"/>
        <w:jc w:val="both"/>
        <w:rPr>
          <w:rFonts w:cstheme="minorHAnsi"/>
        </w:rPr>
        <w:sectPr w:rsidR="00D56705" w:rsidRPr="007928E6">
          <w:pgSz w:w="12240" w:h="15840"/>
          <w:pgMar w:top="1440" w:right="1440" w:bottom="1440" w:left="1440" w:header="708" w:footer="708" w:gutter="0"/>
          <w:cols w:space="708"/>
          <w:docGrid w:linePitch="360"/>
        </w:sectPr>
      </w:pPr>
    </w:p>
    <w:p w14:paraId="1A6FCF36" w14:textId="12713DA6" w:rsidR="00E554C1" w:rsidRDefault="00767939" w:rsidP="00FF681B">
      <w:pPr>
        <w:pStyle w:val="EndNoteBibliography"/>
        <w:spacing w:after="0"/>
        <w:ind w:left="720" w:hanging="720"/>
        <w:rPr>
          <w:rFonts w:asciiTheme="minorHAnsi" w:hAnsiTheme="minorHAnsi" w:cstheme="minorHAnsi"/>
          <w:b/>
          <w:bCs/>
        </w:rPr>
      </w:pPr>
      <w:r>
        <w:rPr>
          <w:rFonts w:asciiTheme="minorHAnsi" w:hAnsiTheme="minorHAnsi" w:cstheme="minorHAnsi"/>
          <w:b/>
          <w:bCs/>
        </w:rPr>
        <w:lastRenderedPageBreak/>
        <w:t>References</w:t>
      </w:r>
      <w:r w:rsidR="00147E8C">
        <w:rPr>
          <w:rFonts w:asciiTheme="minorHAnsi" w:hAnsiTheme="minorHAnsi" w:cstheme="minorHAnsi"/>
          <w:b/>
          <w:bCs/>
        </w:rPr>
        <w:t xml:space="preserve"> </w:t>
      </w:r>
    </w:p>
    <w:p w14:paraId="7C43BD0C" w14:textId="77777777" w:rsidR="005F1B83" w:rsidRDefault="005F1B83" w:rsidP="00FF681B">
      <w:pPr>
        <w:pStyle w:val="EndNoteBibliography"/>
        <w:spacing w:after="0"/>
        <w:ind w:left="720" w:hanging="720"/>
        <w:rPr>
          <w:rFonts w:asciiTheme="minorHAnsi" w:hAnsiTheme="minorHAnsi" w:cstheme="minorHAnsi"/>
          <w:b/>
          <w:bCs/>
        </w:rPr>
      </w:pPr>
    </w:p>
    <w:p w14:paraId="097ED81A" w14:textId="2C96B811" w:rsidR="00255C5C" w:rsidRDefault="00796AFB" w:rsidP="00255C5C">
      <w:pPr>
        <w:pStyle w:val="EndNoteBibliography"/>
        <w:spacing w:after="0"/>
        <w:ind w:left="720" w:hanging="720"/>
      </w:pPr>
      <w:r w:rsidRPr="00E040E7">
        <w:rPr>
          <w:b/>
          <w:bCs/>
        </w:rPr>
        <w:t xml:space="preserve">Adach K and Eifling S </w:t>
      </w:r>
      <w:r w:rsidRPr="00796AFB">
        <w:t xml:space="preserve">(2011) </w:t>
      </w:r>
      <w:r w:rsidRPr="00796AFB">
        <w:rPr>
          <w:i/>
        </w:rPr>
        <w:t>Ten Years After Aaron Webster’s Death, What’s Changed?</w:t>
      </w:r>
      <w:r w:rsidRPr="00796AFB">
        <w:t xml:space="preserve"> Available at: </w:t>
      </w:r>
      <w:r w:rsidRPr="00E31F8B">
        <w:t>https://thetyee.ca/News/2011/11/17/Homophobic-Hate-Crimes/</w:t>
      </w:r>
      <w:r w:rsidRPr="00796AFB">
        <w:t xml:space="preserve"> (accessed 18 March)</w:t>
      </w:r>
      <w:r w:rsidR="00255C5C">
        <w:t>.</w:t>
      </w:r>
    </w:p>
    <w:p w14:paraId="10D813B2" w14:textId="1D0E2B4E" w:rsidR="00796AFB" w:rsidRPr="00796AFB" w:rsidRDefault="00796AFB" w:rsidP="00796AFB">
      <w:pPr>
        <w:pStyle w:val="EndNoteBibliography"/>
        <w:spacing w:after="0"/>
        <w:ind w:left="720" w:hanging="720"/>
      </w:pPr>
      <w:r w:rsidRPr="00E040E7">
        <w:rPr>
          <w:b/>
          <w:bCs/>
        </w:rPr>
        <w:t>Alberta Civil Liberties Research Centre</w:t>
      </w:r>
      <w:r w:rsidRPr="00796AFB">
        <w:t xml:space="preserve"> (2021) </w:t>
      </w:r>
      <w:r w:rsidRPr="00796AFB">
        <w:rPr>
          <w:i/>
        </w:rPr>
        <w:t>Racialization</w:t>
      </w:r>
      <w:r w:rsidRPr="00796AFB">
        <w:t xml:space="preserve">. Available at: </w:t>
      </w:r>
      <w:r w:rsidRPr="00E31F8B">
        <w:t>https://www.aclrc.com/racialization</w:t>
      </w:r>
      <w:r w:rsidRPr="00796AFB">
        <w:t xml:space="preserve"> (accessed 01 May).</w:t>
      </w:r>
    </w:p>
    <w:p w14:paraId="410B36AF" w14:textId="60207466" w:rsidR="00796AFB" w:rsidRPr="00796AFB" w:rsidRDefault="00796AFB" w:rsidP="00796AFB">
      <w:pPr>
        <w:pStyle w:val="EndNoteBibliography"/>
        <w:spacing w:after="0"/>
        <w:ind w:left="720" w:hanging="720"/>
      </w:pPr>
      <w:r w:rsidRPr="004C0989">
        <w:rPr>
          <w:b/>
          <w:bCs/>
        </w:rPr>
        <w:t>Allen K</w:t>
      </w:r>
      <w:r w:rsidRPr="00796AFB">
        <w:t xml:space="preserve"> (2020) </w:t>
      </w:r>
      <w:r w:rsidRPr="00796AFB">
        <w:rPr>
          <w:i/>
        </w:rPr>
        <w:t>AIDS 1988: lighting a fire under Health Minister Epp</w:t>
      </w:r>
      <w:r w:rsidRPr="00796AFB">
        <w:t xml:space="preserve">. Available at: </w:t>
      </w:r>
      <w:r w:rsidRPr="00E31F8B">
        <w:t>https://calgarygayhistory.ca/2020/04/10/aids-1988-lighting-a-fire-under-health-minister-epp/</w:t>
      </w:r>
      <w:r w:rsidRPr="00796AFB">
        <w:t xml:space="preserve"> (accessed 20 March).</w:t>
      </w:r>
    </w:p>
    <w:p w14:paraId="68DE04F6" w14:textId="61EB5FC8" w:rsidR="00796AFB" w:rsidRPr="00796AFB" w:rsidRDefault="00796AFB" w:rsidP="00796AFB">
      <w:pPr>
        <w:pStyle w:val="EndNoteBibliography"/>
        <w:spacing w:after="0"/>
        <w:ind w:left="720" w:hanging="720"/>
      </w:pPr>
      <w:r w:rsidRPr="004C0989">
        <w:rPr>
          <w:b/>
          <w:bCs/>
        </w:rPr>
        <w:t>American Psychological Association</w:t>
      </w:r>
      <w:r w:rsidRPr="00796AFB">
        <w:t xml:space="preserve"> (2023) </w:t>
      </w:r>
      <w:r w:rsidRPr="00796AFB">
        <w:rPr>
          <w:i/>
        </w:rPr>
        <w:t>APA Dictionary of Psychology: racism</w:t>
      </w:r>
      <w:r w:rsidRPr="00796AFB">
        <w:t xml:space="preserve">. Available at: </w:t>
      </w:r>
      <w:r w:rsidRPr="00E31F8B">
        <w:t>https://dictionary.apa.org/racism?_ga=2.96995095.900644839.1684184268-2086010642.1674612759</w:t>
      </w:r>
      <w:r w:rsidRPr="00796AFB">
        <w:t xml:space="preserve"> (accessed 02 May).</w:t>
      </w:r>
    </w:p>
    <w:p w14:paraId="37260EC1" w14:textId="148D546B" w:rsidR="00796AFB" w:rsidRPr="00796AFB" w:rsidRDefault="00796AFB" w:rsidP="00796AFB">
      <w:pPr>
        <w:pStyle w:val="EndNoteBibliography"/>
        <w:spacing w:after="0"/>
        <w:ind w:left="720" w:hanging="720"/>
      </w:pPr>
      <w:r w:rsidRPr="004C0989">
        <w:rPr>
          <w:b/>
          <w:bCs/>
        </w:rPr>
        <w:t>APTN National News</w:t>
      </w:r>
      <w:r w:rsidRPr="00796AFB">
        <w:t xml:space="preserve"> (2020) </w:t>
      </w:r>
      <w:r w:rsidRPr="00796AFB">
        <w:rPr>
          <w:i/>
        </w:rPr>
        <w:t>Joyce Echaquan</w:t>
      </w:r>
      <w:r w:rsidRPr="00796AFB">
        <w:t xml:space="preserve">. Available at: </w:t>
      </w:r>
      <w:r w:rsidRPr="00E31F8B">
        <w:t>https://www.aptnnews.ca/topic/joyce-echaquan/</w:t>
      </w:r>
      <w:r w:rsidRPr="00796AFB">
        <w:t xml:space="preserve"> (accessed 30 March).</w:t>
      </w:r>
    </w:p>
    <w:p w14:paraId="5CAA6BA5" w14:textId="1DBBEE16" w:rsidR="00796AFB" w:rsidRPr="00796AFB" w:rsidRDefault="00796AFB" w:rsidP="00796AFB">
      <w:pPr>
        <w:pStyle w:val="EndNoteBibliography"/>
        <w:spacing w:after="0"/>
        <w:ind w:left="720" w:hanging="720"/>
      </w:pPr>
      <w:r w:rsidRPr="004C0989">
        <w:rPr>
          <w:b/>
          <w:bCs/>
        </w:rPr>
        <w:t>Bauer GR and Scheim AI</w:t>
      </w:r>
      <w:r w:rsidRPr="00796AFB">
        <w:t xml:space="preserve"> (2019) Advancing quantitative intersectionality research methods: Intracategorical and intercategorical approaches to shared and differential constructs. </w:t>
      </w:r>
      <w:r w:rsidRPr="00796AFB">
        <w:rPr>
          <w:i/>
        </w:rPr>
        <w:t>Soc</w:t>
      </w:r>
      <w:r w:rsidR="00A17DB0">
        <w:rPr>
          <w:i/>
        </w:rPr>
        <w:t>ial</w:t>
      </w:r>
      <w:r w:rsidRPr="00796AFB">
        <w:rPr>
          <w:i/>
        </w:rPr>
        <w:t xml:space="preserve"> Sci</w:t>
      </w:r>
      <w:r w:rsidR="00A17DB0">
        <w:rPr>
          <w:i/>
        </w:rPr>
        <w:t>ence &amp;</w:t>
      </w:r>
      <w:r w:rsidRPr="00796AFB">
        <w:rPr>
          <w:i/>
        </w:rPr>
        <w:t xml:space="preserve"> Med</w:t>
      </w:r>
      <w:r w:rsidR="00A17DB0">
        <w:rPr>
          <w:i/>
        </w:rPr>
        <w:t>icine</w:t>
      </w:r>
      <w:r w:rsidRPr="00796AFB">
        <w:t xml:space="preserve"> 226: 260-262.</w:t>
      </w:r>
    </w:p>
    <w:p w14:paraId="778C5075" w14:textId="6C850973" w:rsidR="00796AFB" w:rsidRPr="00796AFB" w:rsidRDefault="00796AFB" w:rsidP="00796AFB">
      <w:pPr>
        <w:pStyle w:val="EndNoteBibliography"/>
        <w:spacing w:after="0"/>
        <w:ind w:left="720" w:hanging="720"/>
      </w:pPr>
      <w:r w:rsidRPr="004C0989">
        <w:rPr>
          <w:b/>
          <w:bCs/>
        </w:rPr>
        <w:t>BBC</w:t>
      </w:r>
      <w:r w:rsidRPr="00796AFB">
        <w:t xml:space="preserve"> (2019) </w:t>
      </w:r>
      <w:r w:rsidRPr="00796AFB">
        <w:rPr>
          <w:i/>
        </w:rPr>
        <w:t>Bruce McArthur: Canadian landscaper admits eight murders</w:t>
      </w:r>
      <w:r w:rsidRPr="00796AFB">
        <w:t xml:space="preserve">. Available at: </w:t>
      </w:r>
      <w:r w:rsidRPr="00E31F8B">
        <w:t>https://www.bbc.com/news/world-us-canada-47047394</w:t>
      </w:r>
      <w:r w:rsidRPr="00796AFB">
        <w:t xml:space="preserve"> (accessed 19 March).</w:t>
      </w:r>
    </w:p>
    <w:p w14:paraId="2260540F" w14:textId="4AD935AE" w:rsidR="00796AFB" w:rsidRPr="00796AFB" w:rsidRDefault="00796AFB" w:rsidP="00796AFB">
      <w:pPr>
        <w:pStyle w:val="EndNoteBibliography"/>
        <w:spacing w:after="0"/>
        <w:ind w:left="720" w:hanging="720"/>
      </w:pPr>
      <w:r w:rsidRPr="004C0989">
        <w:rPr>
          <w:b/>
          <w:bCs/>
        </w:rPr>
        <w:t>BC Centre for Disease Control</w:t>
      </w:r>
      <w:r w:rsidRPr="00796AFB">
        <w:t xml:space="preserve"> (2019) </w:t>
      </w:r>
      <w:r w:rsidRPr="00796AFB">
        <w:rPr>
          <w:i/>
        </w:rPr>
        <w:t xml:space="preserve">HIV in Bristish Columbia: Annual Surveillance Report 2017. Retrieved from </w:t>
      </w:r>
      <w:r w:rsidRPr="00E31F8B">
        <w:rPr>
          <w:i/>
        </w:rPr>
        <w:t>http://www.bccdc.ca/health-professionals/data-reports/hiv-aids-reports</w:t>
      </w:r>
      <w:r w:rsidRPr="00796AFB">
        <w:t>.  (accessed 1 June).</w:t>
      </w:r>
    </w:p>
    <w:p w14:paraId="3CE5614D" w14:textId="7DCBCA86" w:rsidR="00796AFB" w:rsidRPr="00796AFB" w:rsidRDefault="00796AFB" w:rsidP="00796AFB">
      <w:pPr>
        <w:pStyle w:val="EndNoteBibliography"/>
        <w:spacing w:after="0"/>
        <w:ind w:left="720" w:hanging="720"/>
      </w:pPr>
      <w:r w:rsidRPr="00FF7C08">
        <w:rPr>
          <w:b/>
          <w:bCs/>
        </w:rPr>
        <w:t>Block S, Galabuzi G-E and Tranjan R</w:t>
      </w:r>
      <w:r w:rsidRPr="00796AFB">
        <w:t xml:space="preserve"> (2019) </w:t>
      </w:r>
      <w:r w:rsidRPr="00796AFB">
        <w:rPr>
          <w:i/>
        </w:rPr>
        <w:t>Canada's Colour Coded Income Inequality</w:t>
      </w:r>
      <w:r w:rsidRPr="00796AFB">
        <w:t xml:space="preserve">. Available at: </w:t>
      </w:r>
      <w:r w:rsidRPr="00E31F8B">
        <w:t>https://policyalternatives.ca/sites/default/files/uploads/publications/National%20Office/2019/12/Canada%27s%20Colour%20Coded%20Income%20Inequality.pdf</w:t>
      </w:r>
      <w:r w:rsidRPr="00796AFB">
        <w:t xml:space="preserve"> (accessed 2 May).</w:t>
      </w:r>
    </w:p>
    <w:p w14:paraId="130315BF" w14:textId="51288C44" w:rsidR="00796AFB" w:rsidRPr="00796AFB" w:rsidRDefault="00796AFB" w:rsidP="00796AFB">
      <w:pPr>
        <w:pStyle w:val="EndNoteBibliography"/>
        <w:spacing w:after="0"/>
        <w:ind w:left="720" w:hanging="720"/>
      </w:pPr>
      <w:r w:rsidRPr="00FF7C08">
        <w:rPr>
          <w:b/>
          <w:bCs/>
        </w:rPr>
        <w:t>Branch H</w:t>
      </w:r>
      <w:r w:rsidRPr="00796AFB">
        <w:t xml:space="preserve"> (2022) </w:t>
      </w:r>
      <w:r w:rsidRPr="00796AFB">
        <w:rPr>
          <w:i/>
        </w:rPr>
        <w:t>CIHR Canadian HIV Trials Network: Blood donation criteria due to change for men who have sex with men</w:t>
      </w:r>
      <w:r w:rsidRPr="00796AFB">
        <w:t xml:space="preserve">. Available at: </w:t>
      </w:r>
      <w:r w:rsidRPr="00E31F8B">
        <w:t>https://www.hivnet.ubc.ca/news/2022/08/blood-donation-criteria-due-to-change-for-men-who-have-sex-with-men/</w:t>
      </w:r>
      <w:r w:rsidRPr="00796AFB">
        <w:t xml:space="preserve"> (accessed 10 April).</w:t>
      </w:r>
    </w:p>
    <w:p w14:paraId="284B2D3F" w14:textId="70F10E96" w:rsidR="00796AFB" w:rsidRPr="00796AFB" w:rsidRDefault="00796AFB" w:rsidP="00796AFB">
      <w:pPr>
        <w:pStyle w:val="EndNoteBibliography"/>
        <w:spacing w:after="0"/>
        <w:ind w:left="720" w:hanging="720"/>
      </w:pPr>
      <w:r w:rsidRPr="00C53D58">
        <w:rPr>
          <w:b/>
          <w:bCs/>
        </w:rPr>
        <w:t>CBC Listen</w:t>
      </w:r>
      <w:r w:rsidRPr="00796AFB">
        <w:t xml:space="preserve"> (2022) </w:t>
      </w:r>
      <w:r w:rsidRPr="00796AFB">
        <w:rPr>
          <w:i/>
        </w:rPr>
        <w:t>The Village: The Montreal Murders</w:t>
      </w:r>
      <w:r w:rsidRPr="00796AFB">
        <w:t xml:space="preserve">. Available at: </w:t>
      </w:r>
      <w:r w:rsidRPr="00E31F8B">
        <w:t>https://www.cbc.ca/radio/podcastnews/the-village-the-montreal-murders-transcripts-listen-1.6479960</w:t>
      </w:r>
      <w:r w:rsidRPr="00796AFB">
        <w:t xml:space="preserve"> (accessed 19 March).</w:t>
      </w:r>
    </w:p>
    <w:p w14:paraId="6D14D266" w14:textId="76FA7EBC" w:rsidR="00796AFB" w:rsidRPr="00796AFB" w:rsidRDefault="00796AFB" w:rsidP="00796AFB">
      <w:pPr>
        <w:pStyle w:val="EndNoteBibliography"/>
        <w:spacing w:after="0"/>
        <w:ind w:left="720" w:hanging="720"/>
      </w:pPr>
      <w:r w:rsidRPr="00C53D58">
        <w:rPr>
          <w:b/>
          <w:bCs/>
        </w:rPr>
        <w:t>CBC News</w:t>
      </w:r>
      <w:r w:rsidRPr="00796AFB">
        <w:t xml:space="preserve"> (2010) </w:t>
      </w:r>
      <w:r w:rsidRPr="00796AFB">
        <w:rPr>
          <w:i/>
        </w:rPr>
        <w:t>Homosexuality pulled from Alberta disorders guide</w:t>
      </w:r>
      <w:r w:rsidRPr="00796AFB">
        <w:t xml:space="preserve">. Available at: </w:t>
      </w:r>
      <w:r w:rsidRPr="00E31F8B">
        <w:t>https://www.cbc.ca/news/canada/edmonton/homosexuality-pulled-from-alberta-disorders-guide-1.939190</w:t>
      </w:r>
      <w:r w:rsidRPr="00796AFB">
        <w:t xml:space="preserve"> (accessed 20 March).</w:t>
      </w:r>
    </w:p>
    <w:p w14:paraId="55578D9C" w14:textId="4155C492" w:rsidR="00796AFB" w:rsidRPr="00796AFB" w:rsidRDefault="00796AFB" w:rsidP="00796AFB">
      <w:pPr>
        <w:pStyle w:val="EndNoteBibliography"/>
        <w:spacing w:after="0"/>
        <w:ind w:left="720" w:hanging="720"/>
      </w:pPr>
      <w:r w:rsidRPr="00C53D58">
        <w:rPr>
          <w:b/>
          <w:bCs/>
        </w:rPr>
        <w:t>CBC News</w:t>
      </w:r>
      <w:r w:rsidRPr="00796AFB">
        <w:t xml:space="preserve"> (2011) </w:t>
      </w:r>
      <w:r w:rsidRPr="00796AFB">
        <w:rPr>
          <w:i/>
        </w:rPr>
        <w:t>Gay Ottawa teen who killed himself was bullied</w:t>
      </w:r>
      <w:r w:rsidRPr="00796AFB">
        <w:t xml:space="preserve">. Available at: </w:t>
      </w:r>
      <w:r w:rsidRPr="00E31F8B">
        <w:t>https://www.cbc.ca/news/canada/ottawa/gay-ottawa-teen-who-killed-himself-was-bullied-1.1009474</w:t>
      </w:r>
      <w:r w:rsidRPr="00796AFB">
        <w:t xml:space="preserve"> (accessed 11 May).</w:t>
      </w:r>
    </w:p>
    <w:p w14:paraId="5972644D" w14:textId="3ED4AE38" w:rsidR="00796AFB" w:rsidRPr="00796AFB" w:rsidRDefault="00796AFB" w:rsidP="00796AFB">
      <w:pPr>
        <w:pStyle w:val="EndNoteBibliography"/>
        <w:spacing w:after="0"/>
        <w:ind w:left="720" w:hanging="720"/>
      </w:pPr>
      <w:r w:rsidRPr="00C53D58">
        <w:rPr>
          <w:b/>
          <w:bCs/>
        </w:rPr>
        <w:t>CBC News</w:t>
      </w:r>
      <w:r w:rsidRPr="00796AFB">
        <w:t xml:space="preserve"> (2015) </w:t>
      </w:r>
      <w:r w:rsidRPr="00796AFB">
        <w:rPr>
          <w:i/>
        </w:rPr>
        <w:t>Ritch Dowrey, gay-bashing victim at Fountainhead Pub in 2009, dead</w:t>
      </w:r>
      <w:r w:rsidRPr="00796AFB">
        <w:t xml:space="preserve">. Available at: </w:t>
      </w:r>
      <w:r w:rsidRPr="00E31F8B">
        <w:t>https://www.cbc.ca/news/canada/british-columbia/ritch-dowrey-gay-bashing-victim-at-fountainhead-pub-in-2009-dead-1.2942640</w:t>
      </w:r>
      <w:r w:rsidRPr="00796AFB">
        <w:t xml:space="preserve"> (accessed 21 March).</w:t>
      </w:r>
    </w:p>
    <w:p w14:paraId="54150B0A" w14:textId="6B4B783E" w:rsidR="00796AFB" w:rsidRPr="00796AFB" w:rsidRDefault="00796AFB" w:rsidP="00796AFB">
      <w:pPr>
        <w:pStyle w:val="EndNoteBibliography"/>
        <w:spacing w:after="0"/>
        <w:ind w:left="720" w:hanging="720"/>
      </w:pPr>
      <w:r w:rsidRPr="00C53D58">
        <w:rPr>
          <w:b/>
          <w:bCs/>
        </w:rPr>
        <w:t>CBC News</w:t>
      </w:r>
      <w:r w:rsidRPr="00796AFB">
        <w:t xml:space="preserve"> (2018) </w:t>
      </w:r>
      <w:r w:rsidRPr="00796AFB">
        <w:rPr>
          <w:i/>
        </w:rPr>
        <w:t>Phobia about HIV still exists over 30 years after 1st AIDS case in Canada, activists say</w:t>
      </w:r>
      <w:r w:rsidRPr="00796AFB">
        <w:t xml:space="preserve">. Available at: </w:t>
      </w:r>
      <w:r w:rsidRPr="00E31F8B">
        <w:t>https://www.cbc.ca/news/canada/toronto/aids-activism-pride-toronto-35-years-1.4719204</w:t>
      </w:r>
      <w:r w:rsidRPr="00796AFB">
        <w:t xml:space="preserve"> (accessed 19 April).</w:t>
      </w:r>
    </w:p>
    <w:p w14:paraId="4A79B70F" w14:textId="7701D3EE" w:rsidR="00796AFB" w:rsidRPr="00796AFB" w:rsidRDefault="00796AFB" w:rsidP="00796AFB">
      <w:pPr>
        <w:pStyle w:val="EndNoteBibliography"/>
        <w:spacing w:after="0"/>
        <w:ind w:left="720" w:hanging="720"/>
      </w:pPr>
      <w:r w:rsidRPr="00C53D58">
        <w:rPr>
          <w:b/>
          <w:bCs/>
        </w:rPr>
        <w:t>Centers for Disease Control and Prevention</w:t>
      </w:r>
      <w:r w:rsidRPr="00796AFB">
        <w:t xml:space="preserve"> (2021) </w:t>
      </w:r>
      <w:r w:rsidRPr="00796AFB">
        <w:rPr>
          <w:i/>
        </w:rPr>
        <w:t>HIV Stigma and Discrimination: What is HIV stigma?</w:t>
      </w:r>
      <w:r w:rsidRPr="00796AFB">
        <w:t xml:space="preserve"> Available at: </w:t>
      </w:r>
      <w:r w:rsidRPr="00E31F8B">
        <w:t>https://www.cdc.gov/hiv/basics/hiv-stigma/index.html#:~:text=HIV%20discrimination%20is%20the%20act,with%20someone%20living%20with%20HIV</w:t>
      </w:r>
      <w:r w:rsidRPr="00796AFB">
        <w:t xml:space="preserve"> (accessed 02 May).</w:t>
      </w:r>
    </w:p>
    <w:p w14:paraId="4ED3C6CC" w14:textId="417C2B9A" w:rsidR="00796AFB" w:rsidRPr="00796AFB" w:rsidRDefault="00796AFB" w:rsidP="00796AFB">
      <w:pPr>
        <w:pStyle w:val="EndNoteBibliography"/>
        <w:spacing w:after="0"/>
        <w:ind w:left="720" w:hanging="720"/>
      </w:pPr>
      <w:r w:rsidRPr="00C53D58">
        <w:rPr>
          <w:b/>
          <w:bCs/>
        </w:rPr>
        <w:lastRenderedPageBreak/>
        <w:t>Cotler I</w:t>
      </w:r>
      <w:r w:rsidRPr="00796AFB">
        <w:t xml:space="preserve"> (2015) </w:t>
      </w:r>
      <w:r w:rsidRPr="00796AFB">
        <w:rPr>
          <w:i/>
        </w:rPr>
        <w:t>How Canada led the way on same-sex marriage</w:t>
      </w:r>
      <w:r w:rsidRPr="00796AFB">
        <w:t xml:space="preserve">. Available at: </w:t>
      </w:r>
      <w:r w:rsidRPr="00E31F8B">
        <w:t>https://www.thestar.com/opinion/contributors/how-canada-led-the-way-on-same-sex-marriage/article_875ec06c-4268-590f-97a1-e24303778047.html</w:t>
      </w:r>
      <w:r w:rsidRPr="00796AFB">
        <w:t xml:space="preserve"> (accessed 19 March).</w:t>
      </w:r>
    </w:p>
    <w:p w14:paraId="4707B7B1" w14:textId="5B2A17B6" w:rsidR="00796AFB" w:rsidRPr="00796AFB" w:rsidRDefault="00796AFB" w:rsidP="00796AFB">
      <w:pPr>
        <w:pStyle w:val="EndNoteBibliography"/>
        <w:spacing w:after="0"/>
        <w:ind w:left="720" w:hanging="720"/>
      </w:pPr>
      <w:r w:rsidRPr="00C53D58">
        <w:rPr>
          <w:b/>
          <w:bCs/>
        </w:rPr>
        <w:t>Couturier C</w:t>
      </w:r>
      <w:r w:rsidRPr="00796AFB">
        <w:t xml:space="preserve"> (2022) </w:t>
      </w:r>
      <w:r w:rsidRPr="00796AFB">
        <w:rPr>
          <w:i/>
        </w:rPr>
        <w:t>Années 1980: Montréal au coeur de la lutte contre le sida</w:t>
      </w:r>
      <w:r w:rsidRPr="00796AFB">
        <w:t xml:space="preserve">. Available at: </w:t>
      </w:r>
      <w:r w:rsidRPr="00E31F8B">
        <w:t>https://www.ledevoir.com/societe/science/755670/les-annees-1980-montreal-au-coeur-de-la-lutte-contre-le-sida</w:t>
      </w:r>
      <w:r w:rsidRPr="00796AFB">
        <w:t xml:space="preserve"> (accessed 18 March).</w:t>
      </w:r>
    </w:p>
    <w:p w14:paraId="73D83729" w14:textId="77777777" w:rsidR="00796AFB" w:rsidRPr="00796AFB" w:rsidRDefault="00796AFB" w:rsidP="00796AFB">
      <w:pPr>
        <w:pStyle w:val="EndNoteBibliography"/>
        <w:spacing w:after="0"/>
        <w:ind w:left="720" w:hanging="720"/>
      </w:pPr>
      <w:r w:rsidRPr="00193396">
        <w:rPr>
          <w:b/>
          <w:bCs/>
        </w:rPr>
        <w:t>Csete J, Elliott R and Bernard EJ</w:t>
      </w:r>
      <w:r w:rsidRPr="00796AFB">
        <w:t xml:space="preserve"> (2023) So many harms, so little benefit: a global review of the history and harms of HIV criminalisation. </w:t>
      </w:r>
      <w:r w:rsidRPr="00796AFB">
        <w:rPr>
          <w:i/>
        </w:rPr>
        <w:t>Lancet HIV</w:t>
      </w:r>
      <w:r w:rsidRPr="00796AFB">
        <w:t xml:space="preserve"> 10(1): e52-e61.</w:t>
      </w:r>
    </w:p>
    <w:p w14:paraId="66DE5108" w14:textId="77777777" w:rsidR="00796AFB" w:rsidRPr="00796AFB" w:rsidRDefault="00796AFB" w:rsidP="00796AFB">
      <w:pPr>
        <w:pStyle w:val="EndNoteBibliography"/>
        <w:spacing w:after="0"/>
        <w:ind w:left="720" w:hanging="720"/>
      </w:pPr>
      <w:r w:rsidRPr="00193396">
        <w:rPr>
          <w:b/>
          <w:bCs/>
        </w:rPr>
        <w:t>Doebler S</w:t>
      </w:r>
      <w:r w:rsidRPr="00796AFB">
        <w:t xml:space="preserve"> (2015) Relationships between Religion and Two Forms of Homonegativity in Europe--A Multilevel Analysis of Effects of Believing, Belonging and Religious Practice. </w:t>
      </w:r>
      <w:r w:rsidRPr="00796AFB">
        <w:rPr>
          <w:i/>
        </w:rPr>
        <w:t>PLoS One</w:t>
      </w:r>
      <w:r w:rsidRPr="00796AFB">
        <w:t xml:space="preserve"> 10(8): e0133538.</w:t>
      </w:r>
    </w:p>
    <w:p w14:paraId="60095B38" w14:textId="46FBB1DA" w:rsidR="00796AFB" w:rsidRPr="00796AFB" w:rsidRDefault="00796AFB" w:rsidP="00796AFB">
      <w:pPr>
        <w:pStyle w:val="EndNoteBibliography"/>
        <w:spacing w:after="0"/>
        <w:ind w:left="720" w:hanging="720"/>
      </w:pPr>
      <w:r w:rsidRPr="00193396">
        <w:rPr>
          <w:b/>
          <w:bCs/>
        </w:rPr>
        <w:t>Falconers LLP</w:t>
      </w:r>
      <w:r w:rsidRPr="00796AFB">
        <w:t xml:space="preserve"> (1989) </w:t>
      </w:r>
      <w:r w:rsidRPr="00796AFB">
        <w:rPr>
          <w:i/>
        </w:rPr>
        <w:t>Lester Donaldson Inquest</w:t>
      </w:r>
      <w:r w:rsidRPr="00796AFB">
        <w:t xml:space="preserve">. Available at: </w:t>
      </w:r>
      <w:r w:rsidRPr="00E31F8B">
        <w:t>https://falconers.ca/casestudy/lester-donaldson-inquest/</w:t>
      </w:r>
      <w:r w:rsidRPr="00796AFB">
        <w:t xml:space="preserve"> (accessed 10 March).</w:t>
      </w:r>
    </w:p>
    <w:p w14:paraId="1F3DAA0C" w14:textId="638F82AA" w:rsidR="00796AFB" w:rsidRPr="00796AFB" w:rsidRDefault="00796AFB" w:rsidP="00796AFB">
      <w:pPr>
        <w:pStyle w:val="EndNoteBibliography"/>
        <w:spacing w:after="0"/>
        <w:ind w:left="720" w:hanging="720"/>
      </w:pPr>
      <w:r w:rsidRPr="00193396">
        <w:rPr>
          <w:b/>
          <w:bCs/>
        </w:rPr>
        <w:t>Filice M</w:t>
      </w:r>
      <w:r w:rsidRPr="00796AFB">
        <w:t xml:space="preserve"> (2015) </w:t>
      </w:r>
      <w:r w:rsidRPr="00796AFB">
        <w:rPr>
          <w:i/>
        </w:rPr>
        <w:t>The Canadian Encylopedia: Two-Spirit</w:t>
      </w:r>
      <w:r w:rsidRPr="00796AFB">
        <w:t xml:space="preserve">. Available at: </w:t>
      </w:r>
      <w:r w:rsidRPr="00E31F8B">
        <w:t>https://www.thecanadianencyclopedia.ca/en/article/two-spirit</w:t>
      </w:r>
      <w:r w:rsidRPr="00796AFB">
        <w:t xml:space="preserve"> (accessed 19 March).</w:t>
      </w:r>
    </w:p>
    <w:p w14:paraId="7D791AE8" w14:textId="0086184E" w:rsidR="00796AFB" w:rsidRPr="00796AFB" w:rsidRDefault="00796AFB" w:rsidP="00796AFB">
      <w:pPr>
        <w:pStyle w:val="EndNoteBibliography"/>
        <w:spacing w:after="0"/>
        <w:ind w:left="720" w:hanging="720"/>
      </w:pPr>
      <w:r w:rsidRPr="00193396">
        <w:rPr>
          <w:b/>
          <w:bCs/>
        </w:rPr>
        <w:t>Fondation Émergence</w:t>
      </w:r>
      <w:r w:rsidRPr="00796AFB">
        <w:t xml:space="preserve"> (2023) </w:t>
      </w:r>
      <w:r w:rsidRPr="00796AFB">
        <w:rPr>
          <w:i/>
        </w:rPr>
        <w:t>En finir avec les thérapies de conversion</w:t>
      </w:r>
      <w:r w:rsidRPr="00796AFB">
        <w:t xml:space="preserve">. Available at: </w:t>
      </w:r>
      <w:r w:rsidRPr="00E31F8B">
        <w:t>https://www.fondationemergence.org/therapie-de-conversion</w:t>
      </w:r>
      <w:r w:rsidRPr="00796AFB">
        <w:t xml:space="preserve"> (accessed 20 April).</w:t>
      </w:r>
    </w:p>
    <w:p w14:paraId="457F014A" w14:textId="6C13B7D2" w:rsidR="00796AFB" w:rsidRPr="00796AFB" w:rsidRDefault="00796AFB" w:rsidP="00796AFB">
      <w:pPr>
        <w:pStyle w:val="EndNoteBibliography"/>
        <w:spacing w:after="0"/>
        <w:ind w:left="720" w:hanging="720"/>
      </w:pPr>
      <w:r w:rsidRPr="00193396">
        <w:rPr>
          <w:b/>
          <w:bCs/>
        </w:rPr>
        <w:t>Fudge Schormans A</w:t>
      </w:r>
      <w:r w:rsidRPr="00796AFB">
        <w:t xml:space="preserve"> (2014) Stigmatization. In: Michalos AC (ed) </w:t>
      </w:r>
      <w:r w:rsidRPr="00796AFB">
        <w:rPr>
          <w:i/>
        </w:rPr>
        <w:t>Encyclopedia of Quality of Life and Well-Being Research</w:t>
      </w:r>
      <w:r w:rsidR="00193396">
        <w:t xml:space="preserve">, </w:t>
      </w:r>
      <w:r w:rsidR="00193396" w:rsidRPr="00796AFB">
        <w:t>pp.6336-6341</w:t>
      </w:r>
      <w:r w:rsidR="002C21F2">
        <w:t xml:space="preserve">. </w:t>
      </w:r>
      <w:r w:rsidRPr="00796AFB">
        <w:t>Dordrecht: Springer Netherlands.</w:t>
      </w:r>
    </w:p>
    <w:p w14:paraId="122E5908" w14:textId="0F92ED4A" w:rsidR="00796AFB" w:rsidRPr="00796AFB" w:rsidRDefault="00796AFB" w:rsidP="00796AFB">
      <w:pPr>
        <w:pStyle w:val="EndNoteBibliography"/>
        <w:spacing w:after="0"/>
        <w:ind w:left="720" w:hanging="720"/>
      </w:pPr>
      <w:r w:rsidRPr="00627FCB">
        <w:rPr>
          <w:b/>
          <w:bCs/>
        </w:rPr>
        <w:t>Government of British Columbia</w:t>
      </w:r>
      <w:r w:rsidRPr="00796AFB">
        <w:t xml:space="preserve"> (2020) </w:t>
      </w:r>
      <w:r w:rsidRPr="00796AFB">
        <w:rPr>
          <w:i/>
        </w:rPr>
        <w:t>In Plain Sight: Addressing Indigenous-specific Racism and Discrimination in B.C. Health Care</w:t>
      </w:r>
      <w:r w:rsidRPr="00796AFB">
        <w:t xml:space="preserve">. Available at: </w:t>
      </w:r>
      <w:r w:rsidRPr="00E31F8B">
        <w:t>https://engage.gov.bc.ca/app/uploads/sites/613/2020/11/In-Plain-Sight-Full-Report-2020.pdf</w:t>
      </w:r>
      <w:r w:rsidRPr="00796AFB">
        <w:t xml:space="preserve"> (accessed 1 June).</w:t>
      </w:r>
    </w:p>
    <w:p w14:paraId="3E1FEE51" w14:textId="365B6320" w:rsidR="00796AFB" w:rsidRPr="00796AFB" w:rsidRDefault="00796AFB" w:rsidP="00796AFB">
      <w:pPr>
        <w:pStyle w:val="EndNoteBibliography"/>
        <w:spacing w:after="0"/>
        <w:ind w:left="720" w:hanging="720"/>
      </w:pPr>
      <w:r w:rsidRPr="00627FCB">
        <w:rPr>
          <w:b/>
          <w:bCs/>
        </w:rPr>
        <w:t>Government of Canada</w:t>
      </w:r>
      <w:r w:rsidRPr="00796AFB">
        <w:t xml:space="preserve"> (2023a) </w:t>
      </w:r>
      <w:r w:rsidRPr="00796AFB">
        <w:rPr>
          <w:i/>
        </w:rPr>
        <w:t>Anti-racism lexicon</w:t>
      </w:r>
      <w:r w:rsidRPr="00796AFB">
        <w:t xml:space="preserve">. Available at: </w:t>
      </w:r>
      <w:r w:rsidRPr="00E31F8B">
        <w:t>https://www.canada.ca/en/department-national-defence/services/systemic-racism-discrimination/anti-racism-toolkit/anti-racism-lexicon.html#toc17</w:t>
      </w:r>
      <w:r w:rsidRPr="00796AFB">
        <w:t xml:space="preserve"> (accessed 20 April).</w:t>
      </w:r>
    </w:p>
    <w:p w14:paraId="2A4FD1A1" w14:textId="13E915B3" w:rsidR="00796AFB" w:rsidRPr="00796AFB" w:rsidRDefault="00796AFB" w:rsidP="00796AFB">
      <w:pPr>
        <w:pStyle w:val="EndNoteBibliography"/>
        <w:spacing w:after="0"/>
        <w:ind w:left="720" w:hanging="720"/>
      </w:pPr>
      <w:r w:rsidRPr="00627FCB">
        <w:rPr>
          <w:b/>
          <w:bCs/>
        </w:rPr>
        <w:t>Government of Canada</w:t>
      </w:r>
      <w:r w:rsidRPr="00796AFB">
        <w:t xml:space="preserve"> (2023b) </w:t>
      </w:r>
      <w:r w:rsidRPr="00796AFB">
        <w:rPr>
          <w:i/>
        </w:rPr>
        <w:t>Reforming the criminal law regarding HIV non-disclosure – Online Public Consultation</w:t>
      </w:r>
      <w:r w:rsidRPr="00796AFB">
        <w:t xml:space="preserve">. Available at: </w:t>
      </w:r>
      <w:r w:rsidRPr="00E31F8B">
        <w:t>https://www.justice.gc.ca/eng/cons/hiv-vih/index.html</w:t>
      </w:r>
      <w:r w:rsidRPr="00796AFB">
        <w:t xml:space="preserve"> (accessed 20 April).</w:t>
      </w:r>
    </w:p>
    <w:p w14:paraId="087FBFFF" w14:textId="388DC308" w:rsidR="00796AFB" w:rsidRPr="00796AFB" w:rsidRDefault="00796AFB" w:rsidP="00796AFB">
      <w:pPr>
        <w:pStyle w:val="EndNoteBibliography"/>
        <w:spacing w:after="0"/>
        <w:ind w:left="720" w:hanging="720"/>
      </w:pPr>
      <w:r w:rsidRPr="00627FCB">
        <w:rPr>
          <w:b/>
          <w:bCs/>
        </w:rPr>
        <w:t>Harris K</w:t>
      </w:r>
      <w:r w:rsidRPr="00796AFB">
        <w:t xml:space="preserve"> (2017) </w:t>
      </w:r>
      <w:r w:rsidRPr="00796AFB">
        <w:rPr>
          <w:i/>
        </w:rPr>
        <w:t>'Our collective shame': Trudeau delivers historic apology to LGBT Canadians</w:t>
      </w:r>
      <w:r w:rsidRPr="00796AFB">
        <w:t xml:space="preserve">. Available at: </w:t>
      </w:r>
      <w:r w:rsidRPr="00E31F8B">
        <w:t>https://www.cbc.ca/news/politics/homosexual-offences-exunge-records-1.4422546</w:t>
      </w:r>
      <w:r w:rsidRPr="00796AFB">
        <w:t xml:space="preserve"> (accessed 19 May).</w:t>
      </w:r>
    </w:p>
    <w:p w14:paraId="03773223" w14:textId="77777777" w:rsidR="00DE57F5" w:rsidRDefault="008565A7" w:rsidP="00796AFB">
      <w:pPr>
        <w:pStyle w:val="EndNoteBibliography"/>
        <w:spacing w:after="0"/>
        <w:ind w:left="720" w:hanging="720"/>
      </w:pPr>
      <w:r w:rsidRPr="008565A7">
        <w:rPr>
          <w:b/>
          <w:bCs/>
        </w:rPr>
        <w:t>Hyman I, O'Campo P, Ansara DL, Siddiqi A, Forte T, Smylie J, Mahabir DF and McKenzie K</w:t>
      </w:r>
      <w:r w:rsidRPr="008565A7">
        <w:t xml:space="preserve"> </w:t>
      </w:r>
      <w:r w:rsidR="00796AFB" w:rsidRPr="00796AFB">
        <w:t xml:space="preserve">(2019) </w:t>
      </w:r>
      <w:r w:rsidR="00DE57F5" w:rsidRPr="00DE57F5">
        <w:t>Prevalence and Predictors of Everyday Discrimination in Canada: Findings from the Canadian Community Health Survey. Wellesly Institute.</w:t>
      </w:r>
    </w:p>
    <w:p w14:paraId="31B333E9" w14:textId="75BD8A7F" w:rsidR="00796AFB" w:rsidRPr="00796AFB" w:rsidRDefault="00796AFB" w:rsidP="00796AFB">
      <w:pPr>
        <w:pStyle w:val="EndNoteBibliography"/>
        <w:spacing w:after="0"/>
        <w:ind w:left="720" w:hanging="720"/>
      </w:pPr>
      <w:r w:rsidRPr="006D095E">
        <w:rPr>
          <w:b/>
          <w:bCs/>
        </w:rPr>
        <w:t>Indigenous Watchdog</w:t>
      </w:r>
      <w:r w:rsidRPr="00796AFB">
        <w:t xml:space="preserve"> (2023) </w:t>
      </w:r>
      <w:r w:rsidRPr="00796AFB">
        <w:rPr>
          <w:i/>
        </w:rPr>
        <w:t>Calls to Action: The Truth and Reconciliation Commission of Canada</w:t>
      </w:r>
      <w:r w:rsidRPr="00796AFB">
        <w:t xml:space="preserve">. Available at: </w:t>
      </w:r>
      <w:r w:rsidRPr="00E31F8B">
        <w:t>https://www.indigenouswatchdog.org/calls-to-action/</w:t>
      </w:r>
      <w:r w:rsidRPr="00796AFB">
        <w:t xml:space="preserve"> (accessed April 27).</w:t>
      </w:r>
    </w:p>
    <w:p w14:paraId="708A15A0" w14:textId="77777777" w:rsidR="00796AFB" w:rsidRPr="00796AFB" w:rsidRDefault="00796AFB" w:rsidP="00796AFB">
      <w:pPr>
        <w:pStyle w:val="EndNoteBibliography"/>
        <w:spacing w:after="0"/>
        <w:ind w:left="720" w:hanging="720"/>
      </w:pPr>
      <w:r w:rsidRPr="006D095E">
        <w:rPr>
          <w:b/>
          <w:bCs/>
        </w:rPr>
        <w:t>Janoff DV</w:t>
      </w:r>
      <w:r w:rsidRPr="00796AFB">
        <w:t xml:space="preserve"> (2005) </w:t>
      </w:r>
      <w:r w:rsidRPr="00796AFB">
        <w:rPr>
          <w:i/>
        </w:rPr>
        <w:t>Pink Blood : Homophobic Violence in Canada.</w:t>
      </w:r>
      <w:r w:rsidRPr="00796AFB">
        <w:t xml:space="preserve"> University of Toronto Press.</w:t>
      </w:r>
    </w:p>
    <w:p w14:paraId="0ADAFC10" w14:textId="1A6160D6" w:rsidR="006D095E" w:rsidRDefault="006D095E" w:rsidP="00796AFB">
      <w:pPr>
        <w:pStyle w:val="EndNoteBibliography"/>
        <w:spacing w:after="0"/>
        <w:ind w:left="720" w:hanging="720"/>
      </w:pPr>
      <w:r w:rsidRPr="006D095E">
        <w:rPr>
          <w:b/>
          <w:bCs/>
        </w:rPr>
        <w:t>Kessler RC, Amminger GP, Aguilar-Gaxiola S, Alonso J, Lee S and Ustün TB</w:t>
      </w:r>
      <w:r w:rsidRPr="006D095E">
        <w:t xml:space="preserve"> (2007) Age of onset of mental disorders: a review of recent literature</w:t>
      </w:r>
      <w:r w:rsidRPr="000A3F05">
        <w:rPr>
          <w:i/>
          <w:iCs/>
        </w:rPr>
        <w:t>. Curr</w:t>
      </w:r>
      <w:r w:rsidR="00C62EA9" w:rsidRPr="000A3F05">
        <w:rPr>
          <w:i/>
          <w:iCs/>
        </w:rPr>
        <w:t>ent</w:t>
      </w:r>
      <w:r w:rsidRPr="000A3F05">
        <w:rPr>
          <w:i/>
          <w:iCs/>
        </w:rPr>
        <w:t xml:space="preserve"> Opin</w:t>
      </w:r>
      <w:r w:rsidR="00C62EA9" w:rsidRPr="000A3F05">
        <w:rPr>
          <w:i/>
          <w:iCs/>
        </w:rPr>
        <w:t xml:space="preserve">ion in </w:t>
      </w:r>
      <w:r w:rsidRPr="000A3F05">
        <w:rPr>
          <w:i/>
          <w:iCs/>
        </w:rPr>
        <w:t>Psychiatry</w:t>
      </w:r>
      <w:r w:rsidRPr="006D095E">
        <w:t xml:space="preserve"> 20(4), 359-364. </w:t>
      </w:r>
      <w:hyperlink r:id="rId10" w:history="1">
        <w:r w:rsidRPr="00B93670">
          <w:rPr>
            <w:rStyle w:val="Hyperlink"/>
          </w:rPr>
          <w:t>https://doi.org/10.1097/YCO.0b013e32816ebc8c</w:t>
        </w:r>
      </w:hyperlink>
      <w:r w:rsidRPr="006D095E">
        <w:t>.</w:t>
      </w:r>
    </w:p>
    <w:p w14:paraId="6D1C4404" w14:textId="77777777" w:rsidR="00D5674B" w:rsidRDefault="00D5674B" w:rsidP="00796AFB">
      <w:pPr>
        <w:pStyle w:val="EndNoteBibliography"/>
        <w:spacing w:after="0"/>
        <w:ind w:left="720" w:hanging="720"/>
      </w:pPr>
      <w:r w:rsidRPr="00D5674B">
        <w:rPr>
          <w:b/>
          <w:bCs/>
        </w:rPr>
        <w:t>Kinitz DJ, Gould WA, Shahidi FV, MacEachen E, Mitchell C, Craig-Venturi D and Ross LE</w:t>
      </w:r>
      <w:r w:rsidRPr="00D5674B">
        <w:t xml:space="preserve"> (2023) Addressing knowledge gaps about skills of 2SLGBTQ+ people in Canada: A scoping review and qualitative inquiry. A report for Employment and Social Development Canada. Retrieved from: https://lgbtqhealth.ca/projects/foundationaltransferableskills.php.</w:t>
      </w:r>
      <w:r w:rsidRPr="00D5674B">
        <w:t xml:space="preserve"> </w:t>
      </w:r>
    </w:p>
    <w:p w14:paraId="22644AF1" w14:textId="254C7703" w:rsidR="00796AFB" w:rsidRPr="00796AFB" w:rsidRDefault="00796AFB" w:rsidP="00796AFB">
      <w:pPr>
        <w:pStyle w:val="EndNoteBibliography"/>
        <w:spacing w:after="0"/>
        <w:ind w:left="720" w:hanging="720"/>
      </w:pPr>
      <w:r w:rsidRPr="00D5674B">
        <w:rPr>
          <w:b/>
          <w:bCs/>
        </w:rPr>
        <w:t>Lange T, Vansteelandt S and Bekaert M</w:t>
      </w:r>
      <w:r w:rsidRPr="00796AFB">
        <w:t xml:space="preserve"> (2012) A simple unified approach for estimating natural direct and indirect effects. </w:t>
      </w:r>
      <w:r w:rsidRPr="00796AFB">
        <w:rPr>
          <w:i/>
        </w:rPr>
        <w:t>Am</w:t>
      </w:r>
      <w:r w:rsidR="00D5674B">
        <w:rPr>
          <w:i/>
        </w:rPr>
        <w:t>erican</w:t>
      </w:r>
      <w:r w:rsidRPr="00796AFB">
        <w:rPr>
          <w:i/>
        </w:rPr>
        <w:t xml:space="preserve"> J</w:t>
      </w:r>
      <w:r w:rsidR="00D5674B">
        <w:rPr>
          <w:i/>
        </w:rPr>
        <w:t>ournal of</w:t>
      </w:r>
      <w:r w:rsidRPr="00796AFB">
        <w:rPr>
          <w:i/>
        </w:rPr>
        <w:t xml:space="preserve"> Epidemiol</w:t>
      </w:r>
      <w:r w:rsidR="00D5674B">
        <w:rPr>
          <w:i/>
        </w:rPr>
        <w:t>ogy</w:t>
      </w:r>
      <w:r w:rsidRPr="00796AFB">
        <w:t xml:space="preserve"> 176(3): 190-195.</w:t>
      </w:r>
    </w:p>
    <w:p w14:paraId="018B1E89" w14:textId="77777777" w:rsidR="00796AFB" w:rsidRPr="00796AFB" w:rsidRDefault="00796AFB" w:rsidP="00796AFB">
      <w:pPr>
        <w:pStyle w:val="EndNoteBibliography"/>
        <w:spacing w:after="0"/>
        <w:ind w:left="720" w:hanging="720"/>
      </w:pPr>
      <w:r w:rsidRPr="008D0964">
        <w:rPr>
          <w:b/>
          <w:bCs/>
        </w:rPr>
        <w:t>Lazarus RS and Folkman S</w:t>
      </w:r>
      <w:r w:rsidRPr="00796AFB">
        <w:t xml:space="preserve"> (1984) </w:t>
      </w:r>
      <w:r w:rsidRPr="00796AFB">
        <w:rPr>
          <w:i/>
        </w:rPr>
        <w:t xml:space="preserve">Stress, appraisal, and coping. </w:t>
      </w:r>
      <w:r w:rsidRPr="00796AFB">
        <w:t>New York: Springer Publishing Company.</w:t>
      </w:r>
    </w:p>
    <w:p w14:paraId="379BA0EB" w14:textId="2E3B75F1" w:rsidR="00796AFB" w:rsidRPr="00796AFB" w:rsidRDefault="00796AFB" w:rsidP="00796AFB">
      <w:pPr>
        <w:pStyle w:val="EndNoteBibliography"/>
        <w:spacing w:after="0"/>
        <w:ind w:left="720" w:hanging="720"/>
      </w:pPr>
      <w:r w:rsidRPr="008D0964">
        <w:rPr>
          <w:b/>
          <w:bCs/>
        </w:rPr>
        <w:lastRenderedPageBreak/>
        <w:t>LGBT Purge Fund</w:t>
      </w:r>
      <w:r w:rsidRPr="00796AFB">
        <w:t xml:space="preserve"> (2023) </w:t>
      </w:r>
      <w:r w:rsidRPr="00796AFB">
        <w:rPr>
          <w:i/>
        </w:rPr>
        <w:t>LGBT Purge Fund: Commemorate. Educate. Advance</w:t>
      </w:r>
      <w:r w:rsidRPr="00796AFB">
        <w:t xml:space="preserve">. Available at: </w:t>
      </w:r>
      <w:r w:rsidRPr="00E31F8B">
        <w:t>https://lgbtpurgefund.com/</w:t>
      </w:r>
      <w:r w:rsidRPr="00796AFB">
        <w:t xml:space="preserve"> (accessed 19 March).</w:t>
      </w:r>
    </w:p>
    <w:p w14:paraId="772575E3" w14:textId="1BFD1BDB" w:rsidR="00450FC1" w:rsidRDefault="00450FC1" w:rsidP="00796AFB">
      <w:pPr>
        <w:pStyle w:val="EndNoteBibliography"/>
        <w:spacing w:after="0"/>
        <w:ind w:left="720" w:hanging="720"/>
      </w:pPr>
      <w:r w:rsidRPr="00450FC1">
        <w:rPr>
          <w:b/>
          <w:bCs/>
        </w:rPr>
        <w:t>Loeys T, Moerkerke B, De Smet O, Buysse A, Steen J and Vansteelandt S</w:t>
      </w:r>
      <w:r w:rsidRPr="00450FC1">
        <w:t xml:space="preserve"> (2013) Flexible Mediation Analysis in the Presence of Nonlinear Relations: Beyond the Mediation Formula. </w:t>
      </w:r>
      <w:r w:rsidRPr="000A3F05">
        <w:rPr>
          <w:i/>
          <w:iCs/>
        </w:rPr>
        <w:t>Multivariate Behav</w:t>
      </w:r>
      <w:r w:rsidR="001E420D" w:rsidRPr="000A3F05">
        <w:rPr>
          <w:i/>
          <w:iCs/>
        </w:rPr>
        <w:t>ioral</w:t>
      </w:r>
      <w:r w:rsidRPr="000A3F05">
        <w:rPr>
          <w:i/>
          <w:iCs/>
        </w:rPr>
        <w:t xml:space="preserve"> Res</w:t>
      </w:r>
      <w:r w:rsidR="001E420D" w:rsidRPr="000A3F05">
        <w:rPr>
          <w:i/>
          <w:iCs/>
        </w:rPr>
        <w:t>earch</w:t>
      </w:r>
      <w:r w:rsidRPr="00450FC1">
        <w:t xml:space="preserve"> 48(6), 871-894. https://doi.org/10.1080/00273171.2013.832132.</w:t>
      </w:r>
      <w:r w:rsidRPr="00450FC1">
        <w:t xml:space="preserve"> </w:t>
      </w:r>
    </w:p>
    <w:p w14:paraId="612ED054" w14:textId="202644AD" w:rsidR="00796AFB" w:rsidRPr="00796AFB" w:rsidRDefault="00796AFB" w:rsidP="00796AFB">
      <w:pPr>
        <w:pStyle w:val="EndNoteBibliography"/>
        <w:spacing w:after="0"/>
        <w:ind w:left="720" w:hanging="720"/>
      </w:pPr>
      <w:r w:rsidRPr="001E420D">
        <w:rPr>
          <w:b/>
          <w:bCs/>
        </w:rPr>
        <w:t>MacFarlane J</w:t>
      </w:r>
      <w:r w:rsidRPr="00796AFB">
        <w:t xml:space="preserve"> (2019) </w:t>
      </w:r>
      <w:r w:rsidRPr="00796AFB">
        <w:rPr>
          <w:i/>
        </w:rPr>
        <w:t>30 years later, Montreal's gay community reflects on the murder of Joe Rose</w:t>
      </w:r>
      <w:r w:rsidRPr="00796AFB">
        <w:t xml:space="preserve">. Available at: </w:t>
      </w:r>
      <w:r w:rsidRPr="00E31F8B">
        <w:t>https://www.cbc.ca/news/canada/montreal/joe-rose-murder-30-years-1.5062744</w:t>
      </w:r>
      <w:r w:rsidRPr="00796AFB">
        <w:t xml:space="preserve"> (accessed 19 April).</w:t>
      </w:r>
    </w:p>
    <w:p w14:paraId="0B25D839" w14:textId="77777777" w:rsidR="00796AFB" w:rsidRPr="00796AFB" w:rsidRDefault="00796AFB" w:rsidP="00796AFB">
      <w:pPr>
        <w:pStyle w:val="EndNoteBibliography"/>
        <w:spacing w:after="0"/>
        <w:ind w:left="720" w:hanging="720"/>
      </w:pPr>
      <w:r w:rsidRPr="001E420D">
        <w:rPr>
          <w:b/>
          <w:bCs/>
        </w:rPr>
        <w:t>Major B, Dovidio JF and Link BG</w:t>
      </w:r>
      <w:r w:rsidRPr="00796AFB">
        <w:t xml:space="preserve"> (2017) The Oxford handbook of stigma, discrimination, and health. New York, N.Y.: Oxford University Press.</w:t>
      </w:r>
    </w:p>
    <w:p w14:paraId="75869434" w14:textId="20B71093" w:rsidR="00796AFB" w:rsidRPr="00796AFB" w:rsidRDefault="00796AFB" w:rsidP="00796AFB">
      <w:pPr>
        <w:pStyle w:val="EndNoteBibliography"/>
        <w:spacing w:after="0"/>
        <w:ind w:left="720" w:hanging="720"/>
      </w:pPr>
      <w:r w:rsidRPr="001E420D">
        <w:rPr>
          <w:b/>
          <w:bCs/>
        </w:rPr>
        <w:t>Mas S</w:t>
      </w:r>
      <w:r w:rsidRPr="00796AFB">
        <w:t xml:space="preserve"> (2015) </w:t>
      </w:r>
      <w:r w:rsidRPr="00796AFB">
        <w:rPr>
          <w:i/>
        </w:rPr>
        <w:t>Truth and Reconciliation offers 94 'calls to action'</w:t>
      </w:r>
      <w:r w:rsidRPr="00796AFB">
        <w:t xml:space="preserve">. Available at: </w:t>
      </w:r>
      <w:r w:rsidRPr="00E31F8B">
        <w:t>https://www.cbc.ca/news/politics/truth-and-reconciliation-94-calls-to-action-1.3362258</w:t>
      </w:r>
      <w:r w:rsidRPr="00796AFB">
        <w:t xml:space="preserve"> (accessed 10 May).</w:t>
      </w:r>
    </w:p>
    <w:p w14:paraId="31F787E7" w14:textId="510BF07C" w:rsidR="00796AFB" w:rsidRPr="00796AFB" w:rsidRDefault="00796AFB" w:rsidP="00796AFB">
      <w:pPr>
        <w:pStyle w:val="EndNoteBibliography"/>
        <w:spacing w:after="0"/>
        <w:ind w:left="720" w:hanging="720"/>
      </w:pPr>
      <w:r w:rsidRPr="001E420D">
        <w:rPr>
          <w:b/>
          <w:bCs/>
        </w:rPr>
        <w:t>McGinn D</w:t>
      </w:r>
      <w:r w:rsidRPr="00796AFB">
        <w:t xml:space="preserve"> (2023) </w:t>
      </w:r>
      <w:r w:rsidRPr="00796AFB">
        <w:rPr>
          <w:i/>
        </w:rPr>
        <w:t>Anti-gay activists target children’s libraries and drag queen story hours</w:t>
      </w:r>
      <w:r w:rsidRPr="00796AFB">
        <w:t xml:space="preserve">. Available at: </w:t>
      </w:r>
      <w:r w:rsidRPr="00E31F8B">
        <w:t>https://www.theglobeandmail.com/canada/article-anti-gay-activists-target-childrens-libraries-and-drag-queen-story/</w:t>
      </w:r>
      <w:r w:rsidRPr="00796AFB">
        <w:t xml:space="preserve"> (accessed 12 April).</w:t>
      </w:r>
    </w:p>
    <w:p w14:paraId="2F4BC2B8" w14:textId="4D4BAEE3" w:rsidR="00796AFB" w:rsidRPr="00796AFB" w:rsidRDefault="00796AFB" w:rsidP="00796AFB">
      <w:pPr>
        <w:pStyle w:val="EndNoteBibliography"/>
        <w:spacing w:after="0"/>
        <w:ind w:left="720" w:hanging="720"/>
      </w:pPr>
      <w:r w:rsidRPr="001E420D">
        <w:rPr>
          <w:b/>
          <w:bCs/>
        </w:rPr>
        <w:t>McRae M</w:t>
      </w:r>
      <w:r w:rsidRPr="00796AFB">
        <w:t xml:space="preserve"> (2017a) </w:t>
      </w:r>
      <w:r w:rsidRPr="00796AFB">
        <w:rPr>
          <w:i/>
        </w:rPr>
        <w:t>Japanese Canadian internment and the struggle for redress</w:t>
      </w:r>
      <w:r w:rsidRPr="00796AFB">
        <w:t xml:space="preserve">. Available at: </w:t>
      </w:r>
      <w:r w:rsidRPr="00E31F8B">
        <w:t>https://humanrights.ca/story/japanese-canadian-internment-and-struggle-redress</w:t>
      </w:r>
      <w:r w:rsidRPr="00796AFB">
        <w:t xml:space="preserve"> (accessed 18 March).</w:t>
      </w:r>
    </w:p>
    <w:p w14:paraId="06ED54E1" w14:textId="20BEBB99" w:rsidR="00796AFB" w:rsidRPr="00796AFB" w:rsidRDefault="00796AFB" w:rsidP="00796AFB">
      <w:pPr>
        <w:pStyle w:val="EndNoteBibliography"/>
        <w:spacing w:after="0"/>
        <w:ind w:left="720" w:hanging="720"/>
      </w:pPr>
      <w:r w:rsidRPr="001E420D">
        <w:rPr>
          <w:b/>
          <w:bCs/>
        </w:rPr>
        <w:t>McRae M</w:t>
      </w:r>
      <w:r w:rsidRPr="00796AFB">
        <w:t xml:space="preserve"> (2017b) </w:t>
      </w:r>
      <w:r w:rsidRPr="00796AFB">
        <w:rPr>
          <w:i/>
        </w:rPr>
        <w:t>The story of the Komagata Maru</w:t>
      </w:r>
      <w:r w:rsidRPr="00796AFB">
        <w:t xml:space="preserve">. Available at: </w:t>
      </w:r>
      <w:r w:rsidRPr="00E31F8B">
        <w:t>https://humanrights.ca/story/story-komagata-maru</w:t>
      </w:r>
      <w:r w:rsidRPr="00796AFB">
        <w:t xml:space="preserve"> (accessed 18 March).</w:t>
      </w:r>
    </w:p>
    <w:p w14:paraId="6AA98F45" w14:textId="175849C0" w:rsidR="00D857DD" w:rsidRDefault="00D857DD" w:rsidP="00796AFB">
      <w:pPr>
        <w:pStyle w:val="EndNoteBibliography"/>
        <w:spacing w:after="0"/>
        <w:ind w:left="720" w:hanging="720"/>
      </w:pPr>
      <w:r w:rsidRPr="00D857DD">
        <w:rPr>
          <w:b/>
          <w:bCs/>
        </w:rPr>
        <w:t>Mykhalovskiy E, Hastings C, Sanders T, Hayman M and Bisaillon L</w:t>
      </w:r>
      <w:r w:rsidRPr="00D857DD">
        <w:t xml:space="preserve"> (2016) 'Callous, Cold and Deliberately Duplicitous': Racialization, immigration and the Representation of HIV Criminalization in Canadian Mainstream Newspapers. Available at SSRN: https://ssrn.com/abstract=2874409 or </w:t>
      </w:r>
      <w:hyperlink r:id="rId11" w:history="1">
        <w:r w:rsidRPr="00B93670">
          <w:rPr>
            <w:rStyle w:val="Hyperlink"/>
          </w:rPr>
          <w:t>http://dx.doi.org/10.2139/ssrn.2874409</w:t>
        </w:r>
      </w:hyperlink>
      <w:r w:rsidRPr="00D857DD">
        <w:t>.</w:t>
      </w:r>
    </w:p>
    <w:p w14:paraId="005014EA" w14:textId="43388741" w:rsidR="00796AFB" w:rsidRPr="00796AFB" w:rsidRDefault="00796AFB" w:rsidP="00796AFB">
      <w:pPr>
        <w:pStyle w:val="EndNoteBibliography"/>
        <w:spacing w:after="0"/>
        <w:ind w:left="720" w:hanging="720"/>
      </w:pPr>
      <w:r w:rsidRPr="00D857DD">
        <w:rPr>
          <w:b/>
          <w:bCs/>
        </w:rPr>
        <w:t>Nerestant A, Codrington D and Leader C</w:t>
      </w:r>
      <w:r w:rsidRPr="00796AFB">
        <w:t xml:space="preserve"> (2017) </w:t>
      </w:r>
      <w:r w:rsidRPr="00796AFB">
        <w:rPr>
          <w:i/>
        </w:rPr>
        <w:t>A 'senseless' death, but have things changed? Remembering police shooting victim Anthony Griffin</w:t>
      </w:r>
      <w:r w:rsidRPr="00796AFB">
        <w:t xml:space="preserve">. Available at: </w:t>
      </w:r>
      <w:r w:rsidRPr="00E31F8B">
        <w:t>https://www.cbc.ca/news/canada/montreal/anthony-griffin-30-year-anniversary-1.4387950</w:t>
      </w:r>
      <w:r w:rsidRPr="00796AFB">
        <w:t xml:space="preserve"> (accessed 24 March).</w:t>
      </w:r>
    </w:p>
    <w:p w14:paraId="705A3956" w14:textId="50BB5DCE" w:rsidR="00796AFB" w:rsidRPr="00796AFB" w:rsidRDefault="00796AFB" w:rsidP="00796AFB">
      <w:pPr>
        <w:pStyle w:val="EndNoteBibliography"/>
        <w:spacing w:after="0"/>
        <w:ind w:left="720" w:hanging="720"/>
      </w:pPr>
      <w:r w:rsidRPr="00D857DD">
        <w:rPr>
          <w:b/>
          <w:bCs/>
        </w:rPr>
        <w:t>Newsdesk</w:t>
      </w:r>
      <w:r w:rsidRPr="00796AFB">
        <w:t xml:space="preserve"> (2012) </w:t>
      </w:r>
      <w:r w:rsidRPr="00796AFB">
        <w:rPr>
          <w:i/>
        </w:rPr>
        <w:t>Quebec Creates Registry to Track homophobia</w:t>
      </w:r>
      <w:r w:rsidRPr="00796AFB">
        <w:t xml:space="preserve">. Available at: </w:t>
      </w:r>
      <w:r w:rsidRPr="00E31F8B">
        <w:t>https://outnewsglobal.com/quebec-creates-registry-to-track-homophobia/</w:t>
      </w:r>
      <w:r w:rsidRPr="00796AFB">
        <w:t xml:space="preserve"> (accessed 19 May).</w:t>
      </w:r>
    </w:p>
    <w:p w14:paraId="16779DAC" w14:textId="32C3860D" w:rsidR="00796AFB" w:rsidRPr="00796AFB" w:rsidRDefault="00796AFB" w:rsidP="00796AFB">
      <w:pPr>
        <w:pStyle w:val="EndNoteBibliography"/>
        <w:spacing w:after="0"/>
        <w:ind w:left="720" w:hanging="720"/>
      </w:pPr>
      <w:r w:rsidRPr="00D857DD">
        <w:rPr>
          <w:b/>
          <w:bCs/>
        </w:rPr>
        <w:t>Noël B</w:t>
      </w:r>
      <w:r w:rsidRPr="00796AFB">
        <w:t xml:space="preserve"> (2018) </w:t>
      </w:r>
      <w:r w:rsidRPr="00796AFB">
        <w:rPr>
          <w:i/>
        </w:rPr>
        <w:t>Why Montreal Was a Hotbed for Neo-Nazis in the 90s</w:t>
      </w:r>
      <w:r w:rsidRPr="00796AFB">
        <w:t xml:space="preserve">. Available at: </w:t>
      </w:r>
      <w:r w:rsidRPr="00E31F8B">
        <w:t>https://www.vice.com/en/article/qvwav7/why-montreal-was-a-hotbed-for-neo-nazis-in-the-90s</w:t>
      </w:r>
      <w:r w:rsidRPr="00796AFB">
        <w:t xml:space="preserve"> (accessed 19 March).</w:t>
      </w:r>
    </w:p>
    <w:p w14:paraId="42DB35B7" w14:textId="7F020B12" w:rsidR="00796AFB" w:rsidRPr="00796AFB" w:rsidRDefault="00796AFB" w:rsidP="00796AFB">
      <w:pPr>
        <w:pStyle w:val="EndNoteBibliography"/>
        <w:spacing w:after="0"/>
        <w:ind w:left="720" w:hanging="720"/>
      </w:pPr>
      <w:r w:rsidRPr="00D857DD">
        <w:rPr>
          <w:b/>
          <w:bCs/>
        </w:rPr>
        <w:t>Ontario HIV Epidemiology and Surveillance Initiative</w:t>
      </w:r>
      <w:r w:rsidRPr="00796AFB">
        <w:t xml:space="preserve"> (2022) </w:t>
      </w:r>
      <w:r w:rsidRPr="00796AFB">
        <w:rPr>
          <w:i/>
        </w:rPr>
        <w:t>HIV diagnoses in Ontario, 2020</w:t>
      </w:r>
      <w:r w:rsidRPr="00796AFB">
        <w:t xml:space="preserve">. Available at: </w:t>
      </w:r>
      <w:r w:rsidRPr="00E31F8B">
        <w:t>https://www.ohesi.ca/wp-content/uploads/2022/08/HIV-diagnoses-in-Ontario-2020-REPORT-FINAL-1.pdf</w:t>
      </w:r>
      <w:r w:rsidRPr="00796AFB">
        <w:t xml:space="preserve"> (accessed 2 June).</w:t>
      </w:r>
    </w:p>
    <w:p w14:paraId="6005C185" w14:textId="6AF8097E" w:rsidR="00796AFB" w:rsidRPr="00796AFB" w:rsidRDefault="00796AFB" w:rsidP="00796AFB">
      <w:pPr>
        <w:pStyle w:val="EndNoteBibliography"/>
        <w:spacing w:after="0"/>
        <w:ind w:left="720" w:hanging="720"/>
      </w:pPr>
      <w:r w:rsidRPr="00D857DD">
        <w:rPr>
          <w:b/>
          <w:bCs/>
        </w:rPr>
        <w:t>Ontario Human Rights Commission</w:t>
      </w:r>
      <w:r w:rsidRPr="00796AFB">
        <w:t xml:space="preserve"> (2018) </w:t>
      </w:r>
      <w:r w:rsidRPr="00796AFB">
        <w:rPr>
          <w:i/>
        </w:rPr>
        <w:t>Timeline of racial discrimination and racial profiling of Black persons by the Toronto Police Service, and OHRC initiatives related to the Toronto Police</w:t>
      </w:r>
      <w:r w:rsidRPr="00796AFB">
        <w:t xml:space="preserve">. Available at: </w:t>
      </w:r>
      <w:r w:rsidRPr="00E31F8B">
        <w:t>https://www.ohrc.on.ca/en/book/export/html/23851</w:t>
      </w:r>
      <w:r w:rsidRPr="00796AFB">
        <w:t xml:space="preserve"> (accessed 19 March).</w:t>
      </w:r>
    </w:p>
    <w:p w14:paraId="42054387" w14:textId="0C32C83A" w:rsidR="00796AFB" w:rsidRPr="00796AFB" w:rsidRDefault="00796AFB" w:rsidP="00796AFB">
      <w:pPr>
        <w:pStyle w:val="EndNoteBibliography"/>
        <w:spacing w:after="0"/>
        <w:ind w:left="720" w:hanging="720"/>
      </w:pPr>
      <w:r w:rsidRPr="00D857DD">
        <w:rPr>
          <w:b/>
          <w:bCs/>
        </w:rPr>
        <w:t>Public Safety Canada</w:t>
      </w:r>
      <w:r w:rsidRPr="00796AFB">
        <w:t xml:space="preserve"> (2023) </w:t>
      </w:r>
      <w:r w:rsidRPr="00796AFB">
        <w:rPr>
          <w:i/>
        </w:rPr>
        <w:t>Corrections and Conditional Release Statistical Overview: 2021 Annual Report</w:t>
      </w:r>
      <w:r w:rsidRPr="00796AFB">
        <w:t xml:space="preserve">. Available at: </w:t>
      </w:r>
      <w:r w:rsidRPr="00E31F8B">
        <w:t>https://www.publicsafety.gc.ca/cnt/rsrcs/pblctns/ccrso-2021/ccrso-2021-en.pdf</w:t>
      </w:r>
      <w:r w:rsidRPr="00796AFB">
        <w:t xml:space="preserve"> (accessed 10 May).</w:t>
      </w:r>
    </w:p>
    <w:p w14:paraId="0DE1F172" w14:textId="381E4394" w:rsidR="00796AFB" w:rsidRPr="00796AFB" w:rsidRDefault="00796AFB" w:rsidP="00796AFB">
      <w:pPr>
        <w:pStyle w:val="EndNoteBibliography"/>
        <w:spacing w:after="0"/>
        <w:ind w:left="720" w:hanging="720"/>
      </w:pPr>
      <w:r w:rsidRPr="00D857DD">
        <w:rPr>
          <w:b/>
          <w:bCs/>
        </w:rPr>
        <w:t>Queer Events</w:t>
      </w:r>
      <w:r w:rsidRPr="00796AFB">
        <w:t xml:space="preserve"> (2021) </w:t>
      </w:r>
      <w:r w:rsidRPr="00796AFB">
        <w:rPr>
          <w:i/>
        </w:rPr>
        <w:t>Canadian Queer History: The Pursuit of LGBT2Q+ Acceptance</w:t>
      </w:r>
      <w:r w:rsidRPr="00796AFB">
        <w:t xml:space="preserve">. Available at: </w:t>
      </w:r>
      <w:r w:rsidRPr="00E31F8B">
        <w:t>https://www.queerevents.ca/queer-history/canadian-history-timeline</w:t>
      </w:r>
      <w:r w:rsidRPr="00796AFB">
        <w:t xml:space="preserve"> (accessed 10 April).</w:t>
      </w:r>
    </w:p>
    <w:p w14:paraId="0B832A79" w14:textId="44F0E63A" w:rsidR="00796AFB" w:rsidRPr="00796AFB" w:rsidRDefault="00796AFB" w:rsidP="00796AFB">
      <w:pPr>
        <w:pStyle w:val="EndNoteBibliography"/>
        <w:spacing w:after="0"/>
        <w:ind w:left="720" w:hanging="720"/>
      </w:pPr>
      <w:r w:rsidRPr="00D857DD">
        <w:rPr>
          <w:b/>
          <w:bCs/>
        </w:rPr>
        <w:t>Queer Events Editorial Staff</w:t>
      </w:r>
      <w:r w:rsidRPr="00796AFB">
        <w:t xml:space="preserve"> (2019) </w:t>
      </w:r>
      <w:r w:rsidRPr="00796AFB">
        <w:rPr>
          <w:i/>
        </w:rPr>
        <w:t>The Tipping Point: Four Key Protests in Canadian LGBT2Q+ History</w:t>
      </w:r>
      <w:r w:rsidRPr="00796AFB">
        <w:t xml:space="preserve">. Available at: </w:t>
      </w:r>
      <w:r w:rsidRPr="00E31F8B">
        <w:t>https://www.queerevents.ca/queer-history/articles/tipping-points/key-protest-lgbt-history</w:t>
      </w:r>
      <w:r w:rsidRPr="00796AFB">
        <w:t xml:space="preserve"> (accessed 10 April).</w:t>
      </w:r>
    </w:p>
    <w:p w14:paraId="311108E1" w14:textId="364CA5A1" w:rsidR="00796AFB" w:rsidRPr="00796AFB" w:rsidRDefault="00796AFB" w:rsidP="00796AFB">
      <w:pPr>
        <w:pStyle w:val="EndNoteBibliography"/>
        <w:spacing w:after="0"/>
        <w:ind w:left="720" w:hanging="720"/>
      </w:pPr>
      <w:r w:rsidRPr="00D857DD">
        <w:rPr>
          <w:b/>
          <w:bCs/>
        </w:rPr>
        <w:lastRenderedPageBreak/>
        <w:t>Rosella L</w:t>
      </w:r>
      <w:r w:rsidRPr="00796AFB">
        <w:t xml:space="preserve"> (2015) </w:t>
      </w:r>
      <w:r w:rsidRPr="00796AFB">
        <w:rPr>
          <w:i/>
        </w:rPr>
        <w:t>50TH ANNIVERSARY: Black teen killed by two white cops in 1988</w:t>
      </w:r>
      <w:r w:rsidRPr="00796AFB">
        <w:t xml:space="preserve">. Available at: </w:t>
      </w:r>
      <w:r w:rsidRPr="00E31F8B">
        <w:t>https://www.mississauga.com/news/50th-anniversary-black-teen-killed-by-two-white-cops-in-1988/article_c9675649-687b-503e-a4b1-c756526a7a6d.html</w:t>
      </w:r>
      <w:r w:rsidRPr="00796AFB">
        <w:t xml:space="preserve"> (accessed 10 April).</w:t>
      </w:r>
    </w:p>
    <w:p w14:paraId="123C8715" w14:textId="67BF2E55" w:rsidR="00B76962" w:rsidRDefault="00B76962" w:rsidP="00796AFB">
      <w:pPr>
        <w:pStyle w:val="EndNoteBibliography"/>
        <w:spacing w:after="0"/>
        <w:ind w:left="720" w:hanging="720"/>
      </w:pPr>
      <w:r w:rsidRPr="00B76962">
        <w:rPr>
          <w:b/>
          <w:bCs/>
        </w:rPr>
        <w:t>Ruble DN, Taylor LJ, Cyphers L, Greulich FK, Lurye LE and Shrout PE</w:t>
      </w:r>
      <w:r w:rsidRPr="00B76962">
        <w:t xml:space="preserve"> (2007) The role of gender constancy in early gender development. </w:t>
      </w:r>
      <w:r w:rsidRPr="000C4FDE">
        <w:rPr>
          <w:i/>
          <w:iCs/>
        </w:rPr>
        <w:t>Child Dev</w:t>
      </w:r>
      <w:r w:rsidR="00201F29" w:rsidRPr="000C4FDE">
        <w:rPr>
          <w:i/>
          <w:iCs/>
        </w:rPr>
        <w:t>elopment</w:t>
      </w:r>
      <w:r w:rsidRPr="00B76962">
        <w:t xml:space="preserve"> 78(4), 1121-1136. </w:t>
      </w:r>
      <w:hyperlink r:id="rId12" w:history="1">
        <w:r w:rsidRPr="00B93670">
          <w:rPr>
            <w:rStyle w:val="Hyperlink"/>
          </w:rPr>
          <w:t>https://doi.org/10.1111/j.1467-8624.2007.01056.x</w:t>
        </w:r>
      </w:hyperlink>
      <w:r w:rsidRPr="00B76962">
        <w:t>.</w:t>
      </w:r>
    </w:p>
    <w:p w14:paraId="772100A9" w14:textId="48C8C4FD" w:rsidR="00796AFB" w:rsidRPr="00796AFB" w:rsidRDefault="00796AFB" w:rsidP="00796AFB">
      <w:pPr>
        <w:pStyle w:val="EndNoteBibliography"/>
        <w:spacing w:after="0"/>
        <w:ind w:left="720" w:hanging="720"/>
      </w:pPr>
      <w:r w:rsidRPr="006142AA">
        <w:rPr>
          <w:b/>
          <w:bCs/>
        </w:rPr>
        <w:t>Sherbourne CD and Stewart AL</w:t>
      </w:r>
      <w:r w:rsidRPr="00796AFB">
        <w:t xml:space="preserve"> (1991) The MOS social support survey. </w:t>
      </w:r>
      <w:r w:rsidRPr="00796AFB">
        <w:rPr>
          <w:i/>
        </w:rPr>
        <w:t>Soc</w:t>
      </w:r>
      <w:r w:rsidR="006142AA">
        <w:rPr>
          <w:i/>
        </w:rPr>
        <w:t>ial</w:t>
      </w:r>
      <w:r w:rsidRPr="00796AFB">
        <w:rPr>
          <w:i/>
        </w:rPr>
        <w:t xml:space="preserve"> Sci</w:t>
      </w:r>
      <w:r w:rsidR="006142AA">
        <w:rPr>
          <w:i/>
        </w:rPr>
        <w:t>ence &amp;</w:t>
      </w:r>
      <w:r w:rsidRPr="00796AFB">
        <w:rPr>
          <w:i/>
        </w:rPr>
        <w:t xml:space="preserve"> Med</w:t>
      </w:r>
      <w:r w:rsidR="006142AA">
        <w:rPr>
          <w:i/>
        </w:rPr>
        <w:t>icine</w:t>
      </w:r>
      <w:r w:rsidRPr="00796AFB">
        <w:t xml:space="preserve"> 32(6): 705-714.</w:t>
      </w:r>
    </w:p>
    <w:p w14:paraId="45B1A641" w14:textId="01BF022D" w:rsidR="00796AFB" w:rsidRPr="00796AFB" w:rsidRDefault="00796AFB" w:rsidP="00796AFB">
      <w:pPr>
        <w:pStyle w:val="EndNoteBibliography"/>
        <w:spacing w:after="0"/>
        <w:ind w:left="720" w:hanging="720"/>
      </w:pPr>
      <w:r w:rsidRPr="006142AA">
        <w:rPr>
          <w:b/>
          <w:bCs/>
        </w:rPr>
        <w:t>Statistics Canada</w:t>
      </w:r>
      <w:r w:rsidRPr="00796AFB">
        <w:t xml:space="preserve"> (2019) </w:t>
      </w:r>
      <w:r w:rsidRPr="00796AFB">
        <w:rPr>
          <w:i/>
        </w:rPr>
        <w:t>Trends in the Citizenship Rate Among New Immigrants to Canada</w:t>
      </w:r>
      <w:r w:rsidRPr="00796AFB">
        <w:t xml:space="preserve">. Available at: </w:t>
      </w:r>
      <w:r w:rsidRPr="00E31F8B">
        <w:t>https://www150.statcan.gc.ca/n1/pub/11-626-x/11-626-x2019015-eng.htm</w:t>
      </w:r>
      <w:r w:rsidRPr="00796AFB">
        <w:t xml:space="preserve"> (accessed 20 November).</w:t>
      </w:r>
    </w:p>
    <w:p w14:paraId="07E01824" w14:textId="21D0AA90" w:rsidR="00796AFB" w:rsidRPr="00796AFB" w:rsidRDefault="00796AFB" w:rsidP="00796AFB">
      <w:pPr>
        <w:pStyle w:val="EndNoteBibliography"/>
        <w:spacing w:after="0"/>
        <w:ind w:left="720" w:hanging="720"/>
      </w:pPr>
      <w:r w:rsidRPr="006142AA">
        <w:rPr>
          <w:b/>
          <w:bCs/>
        </w:rPr>
        <w:t>Statistics Canada</w:t>
      </w:r>
      <w:r w:rsidRPr="00796AFB">
        <w:t xml:space="preserve"> (2023) </w:t>
      </w:r>
      <w:r w:rsidRPr="00796AFB">
        <w:rPr>
          <w:i/>
        </w:rPr>
        <w:t>Police-reported hate crime, 2021</w:t>
      </w:r>
      <w:r w:rsidRPr="00796AFB">
        <w:t xml:space="preserve">. Available at: </w:t>
      </w:r>
      <w:r w:rsidRPr="00E31F8B">
        <w:t>https://www150.statcan.gc.ca/n1/daily-quotidien/230322/dq230322a-eng.htm</w:t>
      </w:r>
      <w:r w:rsidRPr="00796AFB">
        <w:t xml:space="preserve"> (accessed 20 April).</w:t>
      </w:r>
    </w:p>
    <w:p w14:paraId="773BAF08" w14:textId="77777777" w:rsidR="000D1F0D" w:rsidRDefault="000D1F0D" w:rsidP="00796AFB">
      <w:pPr>
        <w:pStyle w:val="EndNoteBibliography"/>
        <w:spacing w:after="0"/>
        <w:ind w:left="720" w:hanging="720"/>
      </w:pPr>
      <w:r w:rsidRPr="000D1F0D">
        <w:rPr>
          <w:b/>
          <w:bCs/>
        </w:rPr>
        <w:t>Steen J, Loeys T, Moerkerke B and Vansteelandt S</w:t>
      </w:r>
      <w:r w:rsidRPr="000D1F0D">
        <w:t xml:space="preserve"> (2017) medflex: An R Package for Flexible Mediation Analysis using Natural Effect Models. </w:t>
      </w:r>
      <w:r w:rsidRPr="000D1F0D">
        <w:rPr>
          <w:i/>
          <w:iCs/>
        </w:rPr>
        <w:t>Journal of Statistical Software</w:t>
      </w:r>
      <w:r w:rsidRPr="000D1F0D">
        <w:t xml:space="preserve"> 76(11), 1 - 46. https://doi.org/10.18637/jss.v076.i11.</w:t>
      </w:r>
      <w:r w:rsidRPr="000D1F0D">
        <w:t xml:space="preserve"> </w:t>
      </w:r>
    </w:p>
    <w:p w14:paraId="0450FE64" w14:textId="52E00564" w:rsidR="00796AFB" w:rsidRPr="00796AFB" w:rsidRDefault="00796AFB" w:rsidP="00796AFB">
      <w:pPr>
        <w:pStyle w:val="EndNoteBibliography"/>
        <w:spacing w:after="0"/>
        <w:ind w:left="720" w:hanging="720"/>
      </w:pPr>
      <w:r w:rsidRPr="000D1F0D">
        <w:rPr>
          <w:b/>
          <w:bCs/>
        </w:rPr>
        <w:t>Sudbury.com Staff</w:t>
      </w:r>
      <w:r w:rsidRPr="00796AFB">
        <w:t xml:space="preserve"> (2021) </w:t>
      </w:r>
      <w:r w:rsidRPr="00796AFB">
        <w:rPr>
          <w:i/>
        </w:rPr>
        <w:t>Perennial Sudbury candidate found guilty of hate speech is running for office once again</w:t>
      </w:r>
      <w:r w:rsidRPr="00796AFB">
        <w:t xml:space="preserve">. Available at: </w:t>
      </w:r>
      <w:r w:rsidRPr="00E31F8B">
        <w:t>https://www.sudbury.com/local-news/perennial-sudbury-candidate-found-guilty-of-hate-speech-is-running-for-office-once-again-4271445</w:t>
      </w:r>
      <w:r w:rsidRPr="00796AFB">
        <w:t xml:space="preserve"> (accessed 10 April).</w:t>
      </w:r>
    </w:p>
    <w:p w14:paraId="355E69CD" w14:textId="66D4936B" w:rsidR="00796AFB" w:rsidRPr="00796AFB" w:rsidRDefault="00796AFB" w:rsidP="00796AFB">
      <w:pPr>
        <w:pStyle w:val="EndNoteBibliography"/>
        <w:spacing w:after="0"/>
        <w:ind w:left="720" w:hanging="720"/>
      </w:pPr>
      <w:r w:rsidRPr="000D1F0D">
        <w:rPr>
          <w:b/>
          <w:bCs/>
        </w:rPr>
        <w:t>Tchetgen Tchetgen EJ</w:t>
      </w:r>
      <w:r w:rsidRPr="00796AFB">
        <w:t xml:space="preserve"> (2014) A Note on formulae for causal mediation analysis in an odds ratio</w:t>
      </w:r>
      <w:r w:rsidR="000D1F0D">
        <w:t xml:space="preserve"> </w:t>
      </w:r>
      <w:r w:rsidRPr="00796AFB">
        <w:t xml:space="preserve">context. </w:t>
      </w:r>
      <w:r w:rsidRPr="00796AFB">
        <w:rPr>
          <w:i/>
        </w:rPr>
        <w:t>Epidemiol</w:t>
      </w:r>
      <w:r w:rsidR="00D707F6">
        <w:rPr>
          <w:i/>
        </w:rPr>
        <w:t>ogic</w:t>
      </w:r>
      <w:r w:rsidRPr="00796AFB">
        <w:rPr>
          <w:i/>
        </w:rPr>
        <w:t xml:space="preserve"> Methods</w:t>
      </w:r>
      <w:r w:rsidRPr="00796AFB">
        <w:t xml:space="preserve"> 2(1): 21-31.</w:t>
      </w:r>
    </w:p>
    <w:p w14:paraId="5EF15B44" w14:textId="300F56E4" w:rsidR="00796AFB" w:rsidRPr="00796AFB" w:rsidRDefault="00796AFB" w:rsidP="00796AFB">
      <w:pPr>
        <w:pStyle w:val="EndNoteBibliography"/>
        <w:spacing w:after="0"/>
        <w:ind w:left="720" w:hanging="720"/>
      </w:pPr>
      <w:r w:rsidRPr="000D1F0D">
        <w:rPr>
          <w:b/>
          <w:bCs/>
        </w:rPr>
        <w:t xml:space="preserve">Treisman R </w:t>
      </w:r>
      <w:r w:rsidRPr="00796AFB">
        <w:t xml:space="preserve">(2021) </w:t>
      </w:r>
      <w:r w:rsidRPr="00796AFB">
        <w:rPr>
          <w:i/>
        </w:rPr>
        <w:t>After two failed attempts, Canada bans conversion therapy</w:t>
      </w:r>
      <w:r w:rsidRPr="00796AFB">
        <w:t xml:space="preserve">. Available at: </w:t>
      </w:r>
      <w:r w:rsidRPr="00E31F8B">
        <w:t>https://www.npr.org/2021/12/09/1062720266/canada-bans-conversion-therapy</w:t>
      </w:r>
      <w:r w:rsidRPr="00796AFB">
        <w:t xml:space="preserve"> (accessed 12 April).</w:t>
      </w:r>
    </w:p>
    <w:p w14:paraId="7D1868FB" w14:textId="270A6BBA" w:rsidR="00796AFB" w:rsidRPr="00796AFB" w:rsidRDefault="00796AFB" w:rsidP="00796AFB">
      <w:pPr>
        <w:pStyle w:val="EndNoteBibliography"/>
        <w:spacing w:after="0"/>
        <w:ind w:left="720" w:hanging="720"/>
      </w:pPr>
      <w:r w:rsidRPr="000D1F0D">
        <w:rPr>
          <w:b/>
          <w:bCs/>
        </w:rPr>
        <w:t>UNAIDS</w:t>
      </w:r>
      <w:r w:rsidRPr="00796AFB">
        <w:t xml:space="preserve"> (2022) </w:t>
      </w:r>
      <w:r w:rsidRPr="00796AFB">
        <w:rPr>
          <w:i/>
        </w:rPr>
        <w:t>Global Partnership for Action to Eliminate All Forms of HIV-related Stigma and Discrimination</w:t>
      </w:r>
      <w:r w:rsidRPr="00796AFB">
        <w:t xml:space="preserve">. Available at: </w:t>
      </w:r>
      <w:r w:rsidRPr="00E31F8B">
        <w:t>https://www.unaids.org/sites/default/files/media_asset/global-partnership-hiv-stigma-discrimination_en.pdf</w:t>
      </w:r>
      <w:r w:rsidRPr="00796AFB">
        <w:t xml:space="preserve"> (accessed 1 June).</w:t>
      </w:r>
    </w:p>
    <w:p w14:paraId="4D59C176" w14:textId="09D7B172" w:rsidR="00796AFB" w:rsidRPr="00796AFB" w:rsidRDefault="00796AFB" w:rsidP="00796AFB">
      <w:pPr>
        <w:pStyle w:val="EndNoteBibliography"/>
        <w:spacing w:after="0"/>
        <w:ind w:left="720" w:hanging="720"/>
      </w:pPr>
      <w:r w:rsidRPr="000D1F0D">
        <w:rPr>
          <w:b/>
          <w:bCs/>
        </w:rPr>
        <w:t>Vaishnavi S, Connor K and Davidson JR</w:t>
      </w:r>
      <w:r w:rsidRPr="00796AFB">
        <w:t xml:space="preserve"> (2007) An abbreviated version of the Connor-Davidson Resilience Scale (CD-RISC), the CD-RISC2: psychometric properties and applications in psychopharmacological trials. </w:t>
      </w:r>
      <w:r w:rsidRPr="00796AFB">
        <w:rPr>
          <w:i/>
        </w:rPr>
        <w:t>Psychiatry Res</w:t>
      </w:r>
      <w:r w:rsidR="009829CF">
        <w:rPr>
          <w:i/>
        </w:rPr>
        <w:t>earch</w:t>
      </w:r>
      <w:r w:rsidRPr="00796AFB">
        <w:t xml:space="preserve"> 152(2-3): 293-297.</w:t>
      </w:r>
    </w:p>
    <w:p w14:paraId="6DC5BAF6" w14:textId="77777777" w:rsidR="00796AFB" w:rsidRPr="00796AFB" w:rsidRDefault="00796AFB" w:rsidP="00796AFB">
      <w:pPr>
        <w:pStyle w:val="EndNoteBibliography"/>
        <w:spacing w:after="0"/>
        <w:ind w:left="720" w:hanging="720"/>
      </w:pPr>
      <w:r w:rsidRPr="009829CF">
        <w:rPr>
          <w:b/>
          <w:bCs/>
        </w:rPr>
        <w:t>VanderWeele TJ</w:t>
      </w:r>
      <w:r w:rsidRPr="00796AFB">
        <w:t xml:space="preserve"> (2013) A three-way decomposition of a total effect into direct, indirect, and interactive effects. </w:t>
      </w:r>
      <w:r w:rsidRPr="00796AFB">
        <w:rPr>
          <w:i/>
        </w:rPr>
        <w:t>Epidemiology</w:t>
      </w:r>
      <w:r w:rsidRPr="00796AFB">
        <w:t xml:space="preserve"> 24(2): 224-232.</w:t>
      </w:r>
    </w:p>
    <w:p w14:paraId="53C1843C" w14:textId="05DBEF09" w:rsidR="00796AFB" w:rsidRPr="00796AFB" w:rsidRDefault="00796AFB" w:rsidP="00796AFB">
      <w:pPr>
        <w:pStyle w:val="EndNoteBibliography"/>
        <w:spacing w:after="0"/>
        <w:ind w:left="720" w:hanging="720"/>
      </w:pPr>
      <w:r w:rsidRPr="009829CF">
        <w:rPr>
          <w:b/>
          <w:bCs/>
        </w:rPr>
        <w:t>VanderWeele TJ</w:t>
      </w:r>
      <w:r w:rsidRPr="00796AFB">
        <w:t xml:space="preserve"> (2016) Mediation Analysis: A Practitioner's Guide. </w:t>
      </w:r>
      <w:r w:rsidRPr="00796AFB">
        <w:rPr>
          <w:i/>
        </w:rPr>
        <w:t>Annu</w:t>
      </w:r>
      <w:r w:rsidR="009829CF">
        <w:rPr>
          <w:i/>
        </w:rPr>
        <w:t>al</w:t>
      </w:r>
      <w:r w:rsidRPr="00796AFB">
        <w:rPr>
          <w:i/>
        </w:rPr>
        <w:t xml:space="preserve"> Rev</w:t>
      </w:r>
      <w:r w:rsidR="009829CF">
        <w:rPr>
          <w:i/>
        </w:rPr>
        <w:t>iew of</w:t>
      </w:r>
      <w:r w:rsidRPr="00796AFB">
        <w:rPr>
          <w:i/>
        </w:rPr>
        <w:t xml:space="preserve"> Public Health</w:t>
      </w:r>
      <w:r w:rsidRPr="00796AFB">
        <w:t xml:space="preserve"> 37: 17-32.</w:t>
      </w:r>
    </w:p>
    <w:p w14:paraId="22EB8B87" w14:textId="77777777" w:rsidR="00796AFB" w:rsidRPr="00796AFB" w:rsidRDefault="00796AFB" w:rsidP="00796AFB">
      <w:pPr>
        <w:pStyle w:val="EndNoteBibliography"/>
        <w:spacing w:after="0"/>
        <w:ind w:left="720" w:hanging="720"/>
      </w:pPr>
      <w:r w:rsidRPr="00481ACC">
        <w:rPr>
          <w:b/>
          <w:bCs/>
        </w:rPr>
        <w:t>VanderWeele TJ and Robinson WR</w:t>
      </w:r>
      <w:r w:rsidRPr="00796AFB">
        <w:t xml:space="preserve"> (2014) On the causal interpretation of race in regressions adjusting for confounding and mediating variables. </w:t>
      </w:r>
      <w:r w:rsidRPr="00796AFB">
        <w:rPr>
          <w:i/>
        </w:rPr>
        <w:t>Epidemiology</w:t>
      </w:r>
      <w:r w:rsidRPr="00796AFB">
        <w:t xml:space="preserve"> 25(4): 473-484.</w:t>
      </w:r>
    </w:p>
    <w:p w14:paraId="5F8FD243" w14:textId="77777777" w:rsidR="00796AFB" w:rsidRPr="00796AFB" w:rsidRDefault="00796AFB" w:rsidP="00796AFB">
      <w:pPr>
        <w:pStyle w:val="EndNoteBibliography"/>
        <w:spacing w:after="0"/>
        <w:ind w:left="720" w:hanging="720"/>
      </w:pPr>
      <w:r w:rsidRPr="00481ACC">
        <w:rPr>
          <w:b/>
          <w:bCs/>
        </w:rPr>
        <w:t>Vansteelandt S, Bekaert M and Lange T</w:t>
      </w:r>
      <w:r w:rsidRPr="00796AFB">
        <w:t xml:space="preserve"> (2012) Imputation Strategies for the Estimation of Natural Direct and Indirect Effects. </w:t>
      </w:r>
      <w:r w:rsidRPr="00796AFB">
        <w:rPr>
          <w:i/>
        </w:rPr>
        <w:t>Epidemiologic Methods</w:t>
      </w:r>
      <w:r w:rsidRPr="00796AFB">
        <w:t xml:space="preserve"> 1(1): 131-158.</w:t>
      </w:r>
    </w:p>
    <w:p w14:paraId="321DFA78" w14:textId="77777777" w:rsidR="00796AFB" w:rsidRPr="00796AFB" w:rsidRDefault="00796AFB" w:rsidP="00796AFB">
      <w:pPr>
        <w:pStyle w:val="EndNoteBibliography"/>
        <w:spacing w:after="0"/>
        <w:ind w:left="720" w:hanging="720"/>
      </w:pPr>
      <w:r w:rsidRPr="00CF7E00">
        <w:rPr>
          <w:b/>
          <w:bCs/>
        </w:rPr>
        <w:t>Waite S, Ecker J and Ross LE</w:t>
      </w:r>
      <w:r w:rsidRPr="00796AFB">
        <w:t xml:space="preserve"> (2019) A systematic review and thematic synthesis of Canada's LGBTQ2S+ employment, labour market and earnings literature. </w:t>
      </w:r>
      <w:r w:rsidRPr="00796AFB">
        <w:rPr>
          <w:i/>
        </w:rPr>
        <w:t>PLoS One</w:t>
      </w:r>
      <w:r w:rsidRPr="00796AFB">
        <w:t xml:space="preserve"> 14(10): e0223372.</w:t>
      </w:r>
    </w:p>
    <w:p w14:paraId="12585452" w14:textId="77777777" w:rsidR="00796AFB" w:rsidRPr="00796AFB" w:rsidRDefault="00796AFB" w:rsidP="00796AFB">
      <w:pPr>
        <w:pStyle w:val="EndNoteBibliography"/>
        <w:spacing w:after="0"/>
        <w:ind w:left="720" w:hanging="720"/>
      </w:pPr>
      <w:r w:rsidRPr="00CF7E00">
        <w:rPr>
          <w:b/>
          <w:bCs/>
        </w:rPr>
        <w:t>Westreich D and Greenland S</w:t>
      </w:r>
      <w:r w:rsidRPr="00796AFB">
        <w:t xml:space="preserve"> (2013) The Table 2 Fallacy: Presenting and Interpreting Confounder and Modifier Coefficients. </w:t>
      </w:r>
      <w:r w:rsidRPr="00796AFB">
        <w:rPr>
          <w:i/>
        </w:rPr>
        <w:t>American Journal of Epidemiology</w:t>
      </w:r>
      <w:r w:rsidRPr="00796AFB">
        <w:t xml:space="preserve"> 177(4): 292-298.</w:t>
      </w:r>
    </w:p>
    <w:p w14:paraId="6F254048" w14:textId="2B7192A7" w:rsidR="0077326A" w:rsidRDefault="0077326A" w:rsidP="00796AFB">
      <w:pPr>
        <w:pStyle w:val="EndNoteBibliography"/>
        <w:spacing w:after="0"/>
        <w:ind w:left="720" w:hanging="720"/>
      </w:pPr>
      <w:r w:rsidRPr="0077326A">
        <w:rPr>
          <w:b/>
          <w:bCs/>
        </w:rPr>
        <w:t>Willems S, Schat A, van Noorden MS and Fiocco M</w:t>
      </w:r>
      <w:r w:rsidRPr="0077326A">
        <w:t xml:space="preserve"> (2018) Correcting for dependent censoring in routine outcome monitoring data by applying the inverse probability censoring weighted estimator. </w:t>
      </w:r>
      <w:r w:rsidRPr="0077326A">
        <w:rPr>
          <w:i/>
          <w:iCs/>
        </w:rPr>
        <w:t>Stat</w:t>
      </w:r>
      <w:r w:rsidRPr="0077326A">
        <w:rPr>
          <w:i/>
          <w:iCs/>
        </w:rPr>
        <w:t>istical</w:t>
      </w:r>
      <w:r w:rsidRPr="0077326A">
        <w:rPr>
          <w:i/>
          <w:iCs/>
        </w:rPr>
        <w:t xml:space="preserve"> Methods </w:t>
      </w:r>
      <w:r w:rsidRPr="0077326A">
        <w:rPr>
          <w:i/>
          <w:iCs/>
        </w:rPr>
        <w:t xml:space="preserve">in </w:t>
      </w:r>
      <w:r w:rsidRPr="0077326A">
        <w:rPr>
          <w:i/>
          <w:iCs/>
        </w:rPr>
        <w:t>Med</w:t>
      </w:r>
      <w:r w:rsidRPr="0077326A">
        <w:rPr>
          <w:i/>
          <w:iCs/>
        </w:rPr>
        <w:t>ical</w:t>
      </w:r>
      <w:r w:rsidRPr="0077326A">
        <w:rPr>
          <w:i/>
          <w:iCs/>
        </w:rPr>
        <w:t xml:space="preserve"> Res</w:t>
      </w:r>
      <w:r w:rsidRPr="0077326A">
        <w:rPr>
          <w:i/>
          <w:iCs/>
        </w:rPr>
        <w:t>earch</w:t>
      </w:r>
      <w:r w:rsidRPr="0077326A">
        <w:t xml:space="preserve"> 27(2), 323-335. https://doi.org/10.1177/0962280216628900.</w:t>
      </w:r>
      <w:r w:rsidRPr="0077326A">
        <w:t xml:space="preserve"> </w:t>
      </w:r>
    </w:p>
    <w:p w14:paraId="6863633F" w14:textId="4A16FE44" w:rsidR="00796AFB" w:rsidRPr="00796AFB" w:rsidRDefault="00796AFB" w:rsidP="00796AFB">
      <w:pPr>
        <w:pStyle w:val="EndNoteBibliography"/>
        <w:spacing w:after="0"/>
        <w:ind w:left="720" w:hanging="720"/>
      </w:pPr>
      <w:r w:rsidRPr="001C26E3">
        <w:rPr>
          <w:b/>
          <w:bCs/>
        </w:rPr>
        <w:lastRenderedPageBreak/>
        <w:t>Yu A</w:t>
      </w:r>
      <w:r w:rsidRPr="00796AFB">
        <w:t xml:space="preserve"> (2019) </w:t>
      </w:r>
      <w:r w:rsidRPr="00796AFB">
        <w:rPr>
          <w:i/>
        </w:rPr>
        <w:t>The enduring legacy of Canada’s racist head tax on Chinese-Canadians</w:t>
      </w:r>
      <w:r w:rsidRPr="00796AFB">
        <w:t xml:space="preserve">. Available at: </w:t>
      </w:r>
      <w:r w:rsidRPr="00E31F8B">
        <w:t>https://macleans.ca/society/the-enduring-legacy-of-canadas-racist-head-tax-on-chinese-canadians/#:~:text=On%20June%2022%2C%202006%2C%20Stephen,to%20the%20country%20until%201947</w:t>
      </w:r>
      <w:r w:rsidRPr="00796AFB">
        <w:t xml:space="preserve"> (accessed 5 May).</w:t>
      </w:r>
    </w:p>
    <w:p w14:paraId="6F7E0206" w14:textId="3CBA9D3E" w:rsidR="00796AFB" w:rsidRPr="00796AFB" w:rsidRDefault="00796AFB" w:rsidP="00796AFB">
      <w:pPr>
        <w:pStyle w:val="EndNoteBibliography"/>
        <w:ind w:left="720" w:hanging="720"/>
      </w:pPr>
      <w:r w:rsidRPr="001C26E3">
        <w:rPr>
          <w:b/>
          <w:bCs/>
        </w:rPr>
        <w:t>Zussman R</w:t>
      </w:r>
      <w:r w:rsidRPr="00796AFB">
        <w:t xml:space="preserve"> (2021) </w:t>
      </w:r>
      <w:r w:rsidRPr="00796AFB">
        <w:rPr>
          <w:i/>
        </w:rPr>
        <w:t>Horgan ‘deeply’ troubled by 717% increase in anti-Asian hate crimes in Vancouver</w:t>
      </w:r>
      <w:r w:rsidRPr="00796AFB">
        <w:t xml:space="preserve">. Available at: </w:t>
      </w:r>
      <w:r w:rsidRPr="00E31F8B">
        <w:t>https://globalnews.ca/news/7647135/horgan-bc-presser-feb-18/</w:t>
      </w:r>
      <w:r w:rsidRPr="00796AFB">
        <w:t xml:space="preserve"> (accessed 28 March).</w:t>
      </w:r>
    </w:p>
    <w:p w14:paraId="4590602B" w14:textId="23B67F86" w:rsidR="00E554C1" w:rsidRDefault="00E554C1" w:rsidP="00FF681B">
      <w:pPr>
        <w:pStyle w:val="EndNoteBibliography"/>
        <w:spacing w:after="0"/>
        <w:ind w:left="720" w:hanging="720"/>
        <w:rPr>
          <w:rFonts w:asciiTheme="minorHAnsi" w:hAnsiTheme="minorHAnsi" w:cstheme="minorHAnsi"/>
          <w:b/>
          <w:bCs/>
        </w:rPr>
      </w:pPr>
    </w:p>
    <w:sectPr w:rsidR="00E554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7996" w14:textId="77777777" w:rsidR="00205521" w:rsidRDefault="00205521" w:rsidP="002E1B0D">
      <w:pPr>
        <w:spacing w:after="0" w:line="240" w:lineRule="auto"/>
      </w:pPr>
      <w:r>
        <w:separator/>
      </w:r>
    </w:p>
  </w:endnote>
  <w:endnote w:type="continuationSeparator" w:id="0">
    <w:p w14:paraId="0538ABD0" w14:textId="77777777" w:rsidR="00205521" w:rsidRDefault="00205521" w:rsidP="002E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22571"/>
      <w:docPartObj>
        <w:docPartGallery w:val="Page Numbers (Bottom of Page)"/>
        <w:docPartUnique/>
      </w:docPartObj>
    </w:sdtPr>
    <w:sdtEndPr/>
    <w:sdtContent>
      <w:sdt>
        <w:sdtPr>
          <w:id w:val="-1769616900"/>
          <w:docPartObj>
            <w:docPartGallery w:val="Page Numbers (Top of Page)"/>
            <w:docPartUnique/>
          </w:docPartObj>
        </w:sdtPr>
        <w:sdtEndPr/>
        <w:sdtContent>
          <w:p w14:paraId="7D83A4BA" w14:textId="026FDFDB" w:rsidR="00606327" w:rsidRDefault="006063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078475" w14:textId="77777777" w:rsidR="00606327" w:rsidRDefault="0060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69CF" w14:textId="77777777" w:rsidR="00205521" w:rsidRDefault="00205521" w:rsidP="002E1B0D">
      <w:pPr>
        <w:spacing w:after="0" w:line="240" w:lineRule="auto"/>
      </w:pPr>
      <w:r>
        <w:separator/>
      </w:r>
    </w:p>
  </w:footnote>
  <w:footnote w:type="continuationSeparator" w:id="0">
    <w:p w14:paraId="3893F0B4" w14:textId="77777777" w:rsidR="00205521" w:rsidRDefault="00205521" w:rsidP="002E1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2430B"/>
    <w:multiLevelType w:val="hybridMultilevel"/>
    <w:tmpl w:val="8E3ABC2C"/>
    <w:lvl w:ilvl="0" w:tplc="9B1ACD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559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tvav5se209xletve1vt900r2atatzfr25t&quot;&gt;References_supplementary&lt;record-ids&gt;&lt;item&gt;1&lt;/item&gt;&lt;item&gt;3&lt;/item&gt;&lt;item&gt;4&lt;/item&gt;&lt;item&gt;5&lt;/item&gt;&lt;item&gt;6&lt;/item&gt;&lt;item&gt;8&lt;/item&gt;&lt;item&gt;9&lt;/item&gt;&lt;item&gt;10&lt;/item&gt;&lt;item&gt;11&lt;/item&gt;&lt;item&gt;12&lt;/item&gt;&lt;item&gt;13&lt;/item&gt;&lt;item&gt;14&lt;/item&gt;&lt;item&gt;15&lt;/item&gt;&lt;item&gt;16&lt;/item&gt;&lt;item&gt;21&lt;/item&gt;&lt;item&gt;22&lt;/item&gt;&lt;item&gt;23&lt;/item&gt;&lt;item&gt;24&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record-ids&gt;&lt;/item&gt;&lt;/Libraries&gt;"/>
  </w:docVars>
  <w:rsids>
    <w:rsidRoot w:val="00AF207D"/>
    <w:rsid w:val="00006FF1"/>
    <w:rsid w:val="000147E5"/>
    <w:rsid w:val="00015EA8"/>
    <w:rsid w:val="000169AF"/>
    <w:rsid w:val="0001741B"/>
    <w:rsid w:val="00021DEE"/>
    <w:rsid w:val="0004364B"/>
    <w:rsid w:val="00044A3A"/>
    <w:rsid w:val="000472EC"/>
    <w:rsid w:val="00047830"/>
    <w:rsid w:val="000618A4"/>
    <w:rsid w:val="000666BD"/>
    <w:rsid w:val="00081A87"/>
    <w:rsid w:val="000901AD"/>
    <w:rsid w:val="00095C6D"/>
    <w:rsid w:val="000A3F05"/>
    <w:rsid w:val="000A5A1E"/>
    <w:rsid w:val="000C4001"/>
    <w:rsid w:val="000C4FDE"/>
    <w:rsid w:val="000D1F0D"/>
    <w:rsid w:val="000D3737"/>
    <w:rsid w:val="000E0066"/>
    <w:rsid w:val="000E2FD7"/>
    <w:rsid w:val="000E3A14"/>
    <w:rsid w:val="001264D0"/>
    <w:rsid w:val="0012669A"/>
    <w:rsid w:val="0014320E"/>
    <w:rsid w:val="00147E8C"/>
    <w:rsid w:val="00154D84"/>
    <w:rsid w:val="0017300F"/>
    <w:rsid w:val="001844CA"/>
    <w:rsid w:val="00193396"/>
    <w:rsid w:val="00195D85"/>
    <w:rsid w:val="001A4E3C"/>
    <w:rsid w:val="001A6F25"/>
    <w:rsid w:val="001C26E3"/>
    <w:rsid w:val="001C41F7"/>
    <w:rsid w:val="001E420D"/>
    <w:rsid w:val="001F13CE"/>
    <w:rsid w:val="001F3188"/>
    <w:rsid w:val="001F3B1C"/>
    <w:rsid w:val="001F4F9D"/>
    <w:rsid w:val="001F5794"/>
    <w:rsid w:val="00201F29"/>
    <w:rsid w:val="0020421F"/>
    <w:rsid w:val="00205521"/>
    <w:rsid w:val="00211FB6"/>
    <w:rsid w:val="00216AD4"/>
    <w:rsid w:val="00223530"/>
    <w:rsid w:val="00233777"/>
    <w:rsid w:val="00237071"/>
    <w:rsid w:val="00237A58"/>
    <w:rsid w:val="0024012B"/>
    <w:rsid w:val="00241859"/>
    <w:rsid w:val="00242CE4"/>
    <w:rsid w:val="00242E53"/>
    <w:rsid w:val="00247099"/>
    <w:rsid w:val="00250E7A"/>
    <w:rsid w:val="0025146C"/>
    <w:rsid w:val="00255C5C"/>
    <w:rsid w:val="0026556A"/>
    <w:rsid w:val="002669FB"/>
    <w:rsid w:val="00266D6E"/>
    <w:rsid w:val="00286DC8"/>
    <w:rsid w:val="00291698"/>
    <w:rsid w:val="00294347"/>
    <w:rsid w:val="002A797D"/>
    <w:rsid w:val="002B29E8"/>
    <w:rsid w:val="002C171F"/>
    <w:rsid w:val="002C21F2"/>
    <w:rsid w:val="002C7E9E"/>
    <w:rsid w:val="002D17BA"/>
    <w:rsid w:val="002D7242"/>
    <w:rsid w:val="002E1B0D"/>
    <w:rsid w:val="002E56DF"/>
    <w:rsid w:val="002F09A4"/>
    <w:rsid w:val="002F4304"/>
    <w:rsid w:val="002F53DD"/>
    <w:rsid w:val="002F7FE6"/>
    <w:rsid w:val="0030738A"/>
    <w:rsid w:val="00307EA6"/>
    <w:rsid w:val="00314900"/>
    <w:rsid w:val="0032493F"/>
    <w:rsid w:val="0033181C"/>
    <w:rsid w:val="003330F2"/>
    <w:rsid w:val="00342DF0"/>
    <w:rsid w:val="003453DF"/>
    <w:rsid w:val="00377E83"/>
    <w:rsid w:val="00380615"/>
    <w:rsid w:val="00386904"/>
    <w:rsid w:val="003C49F0"/>
    <w:rsid w:val="003F6961"/>
    <w:rsid w:val="0040317D"/>
    <w:rsid w:val="0041259F"/>
    <w:rsid w:val="00432074"/>
    <w:rsid w:val="0043576F"/>
    <w:rsid w:val="00450FC1"/>
    <w:rsid w:val="00481ACC"/>
    <w:rsid w:val="00482ABB"/>
    <w:rsid w:val="00485D12"/>
    <w:rsid w:val="004A5962"/>
    <w:rsid w:val="004A69C4"/>
    <w:rsid w:val="004B290E"/>
    <w:rsid w:val="004C0989"/>
    <w:rsid w:val="004C28E9"/>
    <w:rsid w:val="004E1F92"/>
    <w:rsid w:val="00501756"/>
    <w:rsid w:val="00503FE3"/>
    <w:rsid w:val="00514340"/>
    <w:rsid w:val="005162AB"/>
    <w:rsid w:val="00535481"/>
    <w:rsid w:val="005405F1"/>
    <w:rsid w:val="005521AB"/>
    <w:rsid w:val="00565B5D"/>
    <w:rsid w:val="00576E11"/>
    <w:rsid w:val="005806CC"/>
    <w:rsid w:val="0059176B"/>
    <w:rsid w:val="00593561"/>
    <w:rsid w:val="005B0039"/>
    <w:rsid w:val="005B218C"/>
    <w:rsid w:val="005B2CE0"/>
    <w:rsid w:val="005E07BE"/>
    <w:rsid w:val="005E466F"/>
    <w:rsid w:val="005F1B83"/>
    <w:rsid w:val="00604AED"/>
    <w:rsid w:val="00606327"/>
    <w:rsid w:val="006112CC"/>
    <w:rsid w:val="006142AA"/>
    <w:rsid w:val="006223C1"/>
    <w:rsid w:val="00627FCB"/>
    <w:rsid w:val="00632EC2"/>
    <w:rsid w:val="00635906"/>
    <w:rsid w:val="00643C47"/>
    <w:rsid w:val="0065028E"/>
    <w:rsid w:val="00664508"/>
    <w:rsid w:val="00671AF1"/>
    <w:rsid w:val="00672D0E"/>
    <w:rsid w:val="0068419C"/>
    <w:rsid w:val="006A69C5"/>
    <w:rsid w:val="006B49DA"/>
    <w:rsid w:val="006B6303"/>
    <w:rsid w:val="006D095E"/>
    <w:rsid w:val="006D5AE9"/>
    <w:rsid w:val="006D66DC"/>
    <w:rsid w:val="006E3C16"/>
    <w:rsid w:val="00701811"/>
    <w:rsid w:val="00702F82"/>
    <w:rsid w:val="00707959"/>
    <w:rsid w:val="007109F3"/>
    <w:rsid w:val="00714B89"/>
    <w:rsid w:val="00714CE4"/>
    <w:rsid w:val="00720097"/>
    <w:rsid w:val="0073086C"/>
    <w:rsid w:val="00731FFF"/>
    <w:rsid w:val="00732713"/>
    <w:rsid w:val="007349F3"/>
    <w:rsid w:val="00734DF4"/>
    <w:rsid w:val="0074261E"/>
    <w:rsid w:val="00744D90"/>
    <w:rsid w:val="00751DC0"/>
    <w:rsid w:val="00752009"/>
    <w:rsid w:val="0075549D"/>
    <w:rsid w:val="0076284D"/>
    <w:rsid w:val="00763EE0"/>
    <w:rsid w:val="00767939"/>
    <w:rsid w:val="0077326A"/>
    <w:rsid w:val="007749F1"/>
    <w:rsid w:val="00781F42"/>
    <w:rsid w:val="007874EC"/>
    <w:rsid w:val="00790DBD"/>
    <w:rsid w:val="007928E6"/>
    <w:rsid w:val="00795770"/>
    <w:rsid w:val="00796AFB"/>
    <w:rsid w:val="00797175"/>
    <w:rsid w:val="007B6C9F"/>
    <w:rsid w:val="007D05E9"/>
    <w:rsid w:val="007D2AD3"/>
    <w:rsid w:val="007D6535"/>
    <w:rsid w:val="007E16ED"/>
    <w:rsid w:val="007E3B79"/>
    <w:rsid w:val="007E7711"/>
    <w:rsid w:val="0081129F"/>
    <w:rsid w:val="00815F4D"/>
    <w:rsid w:val="00816FDC"/>
    <w:rsid w:val="00821243"/>
    <w:rsid w:val="00834747"/>
    <w:rsid w:val="00853880"/>
    <w:rsid w:val="008565A7"/>
    <w:rsid w:val="00864BFC"/>
    <w:rsid w:val="008872CF"/>
    <w:rsid w:val="00895B5E"/>
    <w:rsid w:val="008A1280"/>
    <w:rsid w:val="008B30A5"/>
    <w:rsid w:val="008C2409"/>
    <w:rsid w:val="008C6328"/>
    <w:rsid w:val="008D0964"/>
    <w:rsid w:val="008E08C9"/>
    <w:rsid w:val="008E4DC5"/>
    <w:rsid w:val="008E65A5"/>
    <w:rsid w:val="008F10A7"/>
    <w:rsid w:val="008F5EA7"/>
    <w:rsid w:val="0090054C"/>
    <w:rsid w:val="00905C3D"/>
    <w:rsid w:val="00906A72"/>
    <w:rsid w:val="00922B5B"/>
    <w:rsid w:val="00950B19"/>
    <w:rsid w:val="00950EA3"/>
    <w:rsid w:val="00950F54"/>
    <w:rsid w:val="0095703C"/>
    <w:rsid w:val="00974094"/>
    <w:rsid w:val="00976133"/>
    <w:rsid w:val="009829CF"/>
    <w:rsid w:val="009A6830"/>
    <w:rsid w:val="009B68CE"/>
    <w:rsid w:val="009C2E3D"/>
    <w:rsid w:val="009D2365"/>
    <w:rsid w:val="009E1DB3"/>
    <w:rsid w:val="009F3296"/>
    <w:rsid w:val="00A12D4A"/>
    <w:rsid w:val="00A17DB0"/>
    <w:rsid w:val="00A355B3"/>
    <w:rsid w:val="00A36BC6"/>
    <w:rsid w:val="00A41D57"/>
    <w:rsid w:val="00A43508"/>
    <w:rsid w:val="00A43F5A"/>
    <w:rsid w:val="00A83A21"/>
    <w:rsid w:val="00A93FF0"/>
    <w:rsid w:val="00AA11FC"/>
    <w:rsid w:val="00AA33BC"/>
    <w:rsid w:val="00AA623A"/>
    <w:rsid w:val="00AC159D"/>
    <w:rsid w:val="00AC476C"/>
    <w:rsid w:val="00AD0E3E"/>
    <w:rsid w:val="00AD6342"/>
    <w:rsid w:val="00AF207D"/>
    <w:rsid w:val="00B15810"/>
    <w:rsid w:val="00B15B77"/>
    <w:rsid w:val="00B15BB5"/>
    <w:rsid w:val="00B16629"/>
    <w:rsid w:val="00B21F28"/>
    <w:rsid w:val="00B2318A"/>
    <w:rsid w:val="00B30517"/>
    <w:rsid w:val="00B34420"/>
    <w:rsid w:val="00B36CC7"/>
    <w:rsid w:val="00B40706"/>
    <w:rsid w:val="00B45DD7"/>
    <w:rsid w:val="00B47B18"/>
    <w:rsid w:val="00B7691B"/>
    <w:rsid w:val="00B76962"/>
    <w:rsid w:val="00B940CF"/>
    <w:rsid w:val="00BA43E0"/>
    <w:rsid w:val="00BB3428"/>
    <w:rsid w:val="00BB7F49"/>
    <w:rsid w:val="00BC0821"/>
    <w:rsid w:val="00BC7A7D"/>
    <w:rsid w:val="00BE2BBB"/>
    <w:rsid w:val="00BE50EC"/>
    <w:rsid w:val="00C02C90"/>
    <w:rsid w:val="00C06387"/>
    <w:rsid w:val="00C07A55"/>
    <w:rsid w:val="00C107BA"/>
    <w:rsid w:val="00C13C7B"/>
    <w:rsid w:val="00C24FEE"/>
    <w:rsid w:val="00C42E24"/>
    <w:rsid w:val="00C449F7"/>
    <w:rsid w:val="00C46AB9"/>
    <w:rsid w:val="00C52BBB"/>
    <w:rsid w:val="00C53D58"/>
    <w:rsid w:val="00C62EA9"/>
    <w:rsid w:val="00C6486F"/>
    <w:rsid w:val="00C733B6"/>
    <w:rsid w:val="00C7744D"/>
    <w:rsid w:val="00C83E0A"/>
    <w:rsid w:val="00CB3F14"/>
    <w:rsid w:val="00CB3F98"/>
    <w:rsid w:val="00CC2151"/>
    <w:rsid w:val="00CD1529"/>
    <w:rsid w:val="00CD70A1"/>
    <w:rsid w:val="00CE592D"/>
    <w:rsid w:val="00CF72B3"/>
    <w:rsid w:val="00CF7E00"/>
    <w:rsid w:val="00D01809"/>
    <w:rsid w:val="00D02AE4"/>
    <w:rsid w:val="00D03F57"/>
    <w:rsid w:val="00D11F7D"/>
    <w:rsid w:val="00D2067D"/>
    <w:rsid w:val="00D56705"/>
    <w:rsid w:val="00D5674B"/>
    <w:rsid w:val="00D6607B"/>
    <w:rsid w:val="00D707F6"/>
    <w:rsid w:val="00D82E69"/>
    <w:rsid w:val="00D857DD"/>
    <w:rsid w:val="00D917C1"/>
    <w:rsid w:val="00DA1E90"/>
    <w:rsid w:val="00DA2924"/>
    <w:rsid w:val="00DE57F5"/>
    <w:rsid w:val="00DF65B5"/>
    <w:rsid w:val="00E008A3"/>
    <w:rsid w:val="00E040E7"/>
    <w:rsid w:val="00E14C3A"/>
    <w:rsid w:val="00E24CB4"/>
    <w:rsid w:val="00E24CFD"/>
    <w:rsid w:val="00E27E51"/>
    <w:rsid w:val="00E31F8B"/>
    <w:rsid w:val="00E33B7D"/>
    <w:rsid w:val="00E35385"/>
    <w:rsid w:val="00E3589E"/>
    <w:rsid w:val="00E35EF2"/>
    <w:rsid w:val="00E36BD5"/>
    <w:rsid w:val="00E404AC"/>
    <w:rsid w:val="00E554C1"/>
    <w:rsid w:val="00E64B45"/>
    <w:rsid w:val="00E84455"/>
    <w:rsid w:val="00E90ADF"/>
    <w:rsid w:val="00E96E4B"/>
    <w:rsid w:val="00EA23E4"/>
    <w:rsid w:val="00EB1FBC"/>
    <w:rsid w:val="00EC1B06"/>
    <w:rsid w:val="00EC1CFE"/>
    <w:rsid w:val="00EE4EA1"/>
    <w:rsid w:val="00EE6E6C"/>
    <w:rsid w:val="00EF3CFA"/>
    <w:rsid w:val="00F1615B"/>
    <w:rsid w:val="00F27B2B"/>
    <w:rsid w:val="00F5191C"/>
    <w:rsid w:val="00F54D55"/>
    <w:rsid w:val="00F56487"/>
    <w:rsid w:val="00FA0F3B"/>
    <w:rsid w:val="00FA3AD1"/>
    <w:rsid w:val="00FB28BE"/>
    <w:rsid w:val="00FB4405"/>
    <w:rsid w:val="00FC7D4B"/>
    <w:rsid w:val="00FD12E3"/>
    <w:rsid w:val="00FE2801"/>
    <w:rsid w:val="00FE7647"/>
    <w:rsid w:val="00FF1D36"/>
    <w:rsid w:val="00FF38A2"/>
    <w:rsid w:val="00FF681B"/>
    <w:rsid w:val="00FF7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8F9D8"/>
  <w15:chartTrackingRefBased/>
  <w15:docId w15:val="{09EF75B9-EF6F-49E6-B384-A0E0D91C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207D"/>
    <w:pPr>
      <w:spacing w:line="256" w:lineRule="auto"/>
      <w:ind w:left="720"/>
      <w:contextualSpacing/>
    </w:pPr>
    <w:rPr>
      <w:kern w:val="0"/>
      <w14:ligatures w14:val="none"/>
    </w:rPr>
  </w:style>
  <w:style w:type="character" w:customStyle="1" w:styleId="ListParagraphChar">
    <w:name w:val="List Paragraph Char"/>
    <w:basedOn w:val="DefaultParagraphFont"/>
    <w:link w:val="ListParagraph"/>
    <w:uiPriority w:val="34"/>
    <w:rsid w:val="00AF207D"/>
    <w:rPr>
      <w:kern w:val="0"/>
      <w14:ligatures w14:val="none"/>
    </w:rPr>
  </w:style>
  <w:style w:type="table" w:styleId="TableGrid">
    <w:name w:val="Table Grid"/>
    <w:basedOn w:val="TableNormal"/>
    <w:uiPriority w:val="39"/>
    <w:rsid w:val="00E36B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6BD5"/>
    <w:pPr>
      <w:spacing w:after="0" w:line="240" w:lineRule="auto"/>
    </w:pPr>
    <w:rPr>
      <w:kern w:val="0"/>
      <w14:ligatures w14:val="none"/>
    </w:rPr>
  </w:style>
  <w:style w:type="character" w:customStyle="1" w:styleId="NoSpacingChar">
    <w:name w:val="No Spacing Char"/>
    <w:basedOn w:val="DefaultParagraphFont"/>
    <w:link w:val="NoSpacing"/>
    <w:uiPriority w:val="1"/>
    <w:rsid w:val="00732713"/>
    <w:rPr>
      <w:kern w:val="0"/>
      <w14:ligatures w14:val="none"/>
    </w:rPr>
  </w:style>
  <w:style w:type="character" w:styleId="CommentReference">
    <w:name w:val="annotation reference"/>
    <w:basedOn w:val="DefaultParagraphFont"/>
    <w:uiPriority w:val="99"/>
    <w:semiHidden/>
    <w:unhideWhenUsed/>
    <w:rsid w:val="003F6961"/>
    <w:rPr>
      <w:sz w:val="16"/>
      <w:szCs w:val="16"/>
    </w:rPr>
  </w:style>
  <w:style w:type="paragraph" w:styleId="CommentText">
    <w:name w:val="annotation text"/>
    <w:basedOn w:val="Normal"/>
    <w:link w:val="CommentTextChar"/>
    <w:uiPriority w:val="99"/>
    <w:unhideWhenUsed/>
    <w:rsid w:val="003F6961"/>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3F6961"/>
    <w:rPr>
      <w:kern w:val="0"/>
      <w:sz w:val="20"/>
      <w:szCs w:val="20"/>
      <w14:ligatures w14:val="none"/>
    </w:rPr>
  </w:style>
  <w:style w:type="paragraph" w:customStyle="1" w:styleId="EndNoteBibliographyTitle">
    <w:name w:val="EndNote Bibliography Title"/>
    <w:basedOn w:val="Normal"/>
    <w:link w:val="EndNoteBibliographyTitleChar"/>
    <w:rsid w:val="00FF681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681B"/>
    <w:rPr>
      <w:rFonts w:ascii="Calibri" w:hAnsi="Calibri" w:cs="Calibri"/>
      <w:noProof/>
      <w:lang w:val="en-US"/>
    </w:rPr>
  </w:style>
  <w:style w:type="paragraph" w:customStyle="1" w:styleId="EndNoteBibliography">
    <w:name w:val="EndNote Bibliography"/>
    <w:basedOn w:val="Normal"/>
    <w:link w:val="EndNoteBibliographyChar"/>
    <w:rsid w:val="00FF681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681B"/>
    <w:rPr>
      <w:rFonts w:ascii="Calibri" w:hAnsi="Calibri" w:cs="Calibri"/>
      <w:noProof/>
      <w:lang w:val="en-US"/>
    </w:rPr>
  </w:style>
  <w:style w:type="character" w:styleId="Hyperlink">
    <w:name w:val="Hyperlink"/>
    <w:basedOn w:val="DefaultParagraphFont"/>
    <w:uiPriority w:val="99"/>
    <w:unhideWhenUsed/>
    <w:rsid w:val="00E33B7D"/>
    <w:rPr>
      <w:color w:val="0563C1" w:themeColor="hyperlink"/>
      <w:u w:val="single"/>
    </w:rPr>
  </w:style>
  <w:style w:type="character" w:styleId="UnresolvedMention">
    <w:name w:val="Unresolved Mention"/>
    <w:basedOn w:val="DefaultParagraphFont"/>
    <w:uiPriority w:val="99"/>
    <w:semiHidden/>
    <w:unhideWhenUsed/>
    <w:rsid w:val="00E33B7D"/>
    <w:rPr>
      <w:color w:val="605E5C"/>
      <w:shd w:val="clear" w:color="auto" w:fill="E1DFDD"/>
    </w:rPr>
  </w:style>
  <w:style w:type="paragraph" w:styleId="Header">
    <w:name w:val="header"/>
    <w:basedOn w:val="Normal"/>
    <w:link w:val="HeaderChar"/>
    <w:uiPriority w:val="99"/>
    <w:unhideWhenUsed/>
    <w:rsid w:val="002E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0D"/>
  </w:style>
  <w:style w:type="paragraph" w:styleId="Footer">
    <w:name w:val="footer"/>
    <w:basedOn w:val="Normal"/>
    <w:link w:val="FooterChar"/>
    <w:uiPriority w:val="99"/>
    <w:unhideWhenUsed/>
    <w:rsid w:val="002E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0D"/>
  </w:style>
  <w:style w:type="paragraph" w:styleId="Caption">
    <w:name w:val="caption"/>
    <w:basedOn w:val="Normal"/>
    <w:next w:val="Normal"/>
    <w:uiPriority w:val="35"/>
    <w:semiHidden/>
    <w:unhideWhenUsed/>
    <w:qFormat/>
    <w:rsid w:val="007E7711"/>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43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111/j.1467-8624.2007.01056.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139/ssrn.2874409" TargetMode="External"/><Relationship Id="rId5" Type="http://schemas.openxmlformats.org/officeDocument/2006/relationships/footnotes" Target="footnotes.xml"/><Relationship Id="rId10" Type="http://schemas.openxmlformats.org/officeDocument/2006/relationships/hyperlink" Target="https://doi.org/10.1097/YCO.0b013e32816ebc8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21</Pages>
  <Words>7968</Words>
  <Characters>45418</Characters>
  <Application>Microsoft Office Word</Application>
  <DocSecurity>0</DocSecurity>
  <Lines>378</Lines>
  <Paragraphs>106</Paragraphs>
  <ScaleCrop>false</ScaleCrop>
  <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Marbaniang</dc:creator>
  <cp:keywords/>
  <dc:description/>
  <cp:lastModifiedBy>Ivan Marbaniang</cp:lastModifiedBy>
  <cp:revision>97</cp:revision>
  <dcterms:created xsi:type="dcterms:W3CDTF">2024-01-18T20:04:00Z</dcterms:created>
  <dcterms:modified xsi:type="dcterms:W3CDTF">2024-01-18T21:52:00Z</dcterms:modified>
</cp:coreProperties>
</file>