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8218" w14:textId="77777777" w:rsidR="009E0DC4" w:rsidRDefault="009E0DC4" w:rsidP="00FB0DC5">
      <w:pPr>
        <w:pStyle w:val="Heading1"/>
        <w:rPr>
          <w:lang w:val="en-US"/>
        </w:rPr>
      </w:pPr>
      <w:bookmarkStart w:id="0" w:name="_Hlk155254583"/>
      <w:bookmarkEnd w:id="0"/>
    </w:p>
    <w:p w14:paraId="35CCFC12" w14:textId="3A5146FA" w:rsidR="009E0DC4" w:rsidRDefault="00235D23" w:rsidP="00FB0DC5">
      <w:pPr>
        <w:pStyle w:val="Heading1"/>
        <w:rPr>
          <w:lang w:val="en-US"/>
        </w:rPr>
      </w:pPr>
      <w:r w:rsidRPr="00235D23">
        <w:rPr>
          <w:lang w:val="en-US"/>
        </w:rPr>
        <w:t>Greater need but reduced access: a population study of planned and elective surgery rates in adult mental health service users.</w:t>
      </w:r>
    </w:p>
    <w:p w14:paraId="40ECEC5A" w14:textId="36F6D16C" w:rsidR="00FB0DC5" w:rsidRDefault="0025412C" w:rsidP="00FB0DC5">
      <w:pPr>
        <w:pStyle w:val="Heading1"/>
        <w:rPr>
          <w:lang w:val="en-US"/>
        </w:rPr>
      </w:pPr>
      <w:r>
        <w:rPr>
          <w:lang w:val="en-US"/>
        </w:rPr>
        <w:t>SUPPLEMENTARY MATERIAL</w:t>
      </w:r>
    </w:p>
    <w:p w14:paraId="795DC478" w14:textId="3BC6C50A" w:rsidR="00235D23" w:rsidRDefault="00235D23" w:rsidP="00FB0DC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Numbers of people, hospital admissions and procedures by mental health group and planned/emergency status</w:t>
      </w:r>
      <w:r w:rsidR="004D1FB1">
        <w:rPr>
          <w:lang w:val="en-US"/>
        </w:rPr>
        <w:t xml:space="preserve">. </w:t>
      </w:r>
    </w:p>
    <w:p w14:paraId="6291DC8F" w14:textId="5B1CC27B" w:rsidR="00FB7284" w:rsidRDefault="00FB0DC5" w:rsidP="00FB0DC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Procedure rates, top 10 blocks within each block group: </w:t>
      </w:r>
    </w:p>
    <w:p w14:paraId="736C781C" w14:textId="1CD6413F" w:rsidR="00FB0DC5" w:rsidRDefault="00FB0DC5" w:rsidP="00FB7284">
      <w:pPr>
        <w:pStyle w:val="ListParagraph"/>
        <w:numPr>
          <w:ilvl w:val="1"/>
          <w:numId w:val="16"/>
        </w:numPr>
        <w:rPr>
          <w:lang w:val="en-US"/>
        </w:rPr>
      </w:pPr>
      <w:r w:rsidRPr="00FB0DC5">
        <w:rPr>
          <w:lang w:val="en-US"/>
        </w:rPr>
        <w:t xml:space="preserve">Cardiovascular, Gastrointestinal and Respiratory </w:t>
      </w:r>
    </w:p>
    <w:p w14:paraId="26AC1F88" w14:textId="77777777" w:rsidR="006100C5" w:rsidRDefault="00FB7284" w:rsidP="00991E50">
      <w:pPr>
        <w:pStyle w:val="ListParagraph"/>
        <w:numPr>
          <w:ilvl w:val="1"/>
          <w:numId w:val="16"/>
        </w:numPr>
        <w:rPr>
          <w:lang w:val="en-US"/>
        </w:rPr>
      </w:pPr>
      <w:r w:rsidRPr="006100C5">
        <w:rPr>
          <w:lang w:val="en-US"/>
        </w:rPr>
        <w:t xml:space="preserve">Muskuloskeletal, Skin and Plastics, Genito-urinary </w:t>
      </w:r>
    </w:p>
    <w:p w14:paraId="709F85DB" w14:textId="5B2AC1FF" w:rsidR="006100C5" w:rsidRDefault="006100C5" w:rsidP="00991E50">
      <w:pPr>
        <w:pStyle w:val="ListParagraph"/>
        <w:numPr>
          <w:ilvl w:val="1"/>
          <w:numId w:val="16"/>
        </w:numPr>
        <w:rPr>
          <w:lang w:val="en-US"/>
        </w:rPr>
      </w:pPr>
      <w:r w:rsidRPr="006100C5">
        <w:rPr>
          <w:lang w:val="en-US"/>
        </w:rPr>
        <w:t xml:space="preserve">Nervous system, Eye, Nose and Mouth </w:t>
      </w:r>
    </w:p>
    <w:p w14:paraId="12613C51" w14:textId="5E2E7721" w:rsidR="006100C5" w:rsidRDefault="006100C5" w:rsidP="00991E50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Gynaecological, Breast, Endocrine, Blood-forming organs</w:t>
      </w:r>
    </w:p>
    <w:p w14:paraId="0C447DD5" w14:textId="1A44EB8C" w:rsidR="00235D23" w:rsidRDefault="00235D23" w:rsidP="006100C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Subgroup analysis, surgical procedure rates and counts in people with Severe and Persistent Mental Illness, other mental health service users and the rest of the NSW adult population. </w:t>
      </w:r>
    </w:p>
    <w:p w14:paraId="379D185D" w14:textId="1229AC66" w:rsidR="006100C5" w:rsidRDefault="006100C5" w:rsidP="006100C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Subgroup analysis: </w:t>
      </w:r>
      <w:r w:rsidR="00235D23">
        <w:rPr>
          <w:lang w:val="en-US"/>
        </w:rPr>
        <w:t xml:space="preserve">adjusted Incidence Rate Ratios </w:t>
      </w:r>
      <w:r w:rsidR="00C74D2E">
        <w:rPr>
          <w:lang w:val="en-US"/>
        </w:rPr>
        <w:t xml:space="preserve">for people with </w:t>
      </w:r>
      <w:r>
        <w:rPr>
          <w:lang w:val="en-US"/>
        </w:rPr>
        <w:t xml:space="preserve">Severe or Persistent Mental Illness (SPMI) </w:t>
      </w:r>
      <w:r w:rsidR="00C74D2E">
        <w:rPr>
          <w:lang w:val="en-US"/>
        </w:rPr>
        <w:t xml:space="preserve">and </w:t>
      </w:r>
      <w:r>
        <w:rPr>
          <w:lang w:val="en-US"/>
        </w:rPr>
        <w:t>other mental health service users</w:t>
      </w:r>
      <w:r w:rsidR="00C74D2E">
        <w:rPr>
          <w:lang w:val="en-US"/>
        </w:rPr>
        <w:t xml:space="preserve"> compared separately to other NSW adults without MH service use. </w:t>
      </w:r>
    </w:p>
    <w:p w14:paraId="39D3CBEA" w14:textId="34425ABB" w:rsidR="00FB0DC5" w:rsidRPr="006100C5" w:rsidRDefault="0025412C" w:rsidP="00991E50">
      <w:pPr>
        <w:pStyle w:val="ListParagraph"/>
        <w:numPr>
          <w:ilvl w:val="1"/>
          <w:numId w:val="16"/>
        </w:numPr>
        <w:rPr>
          <w:lang w:val="en-US"/>
        </w:rPr>
      </w:pPr>
      <w:r w:rsidRPr="006100C5">
        <w:rPr>
          <w:lang w:val="en-US"/>
        </w:rPr>
        <w:br w:type="page"/>
      </w:r>
    </w:p>
    <w:p w14:paraId="104826E1" w14:textId="77777777" w:rsidR="0025412C" w:rsidRDefault="0025412C" w:rsidP="0025412C">
      <w:pPr>
        <w:spacing w:line="360" w:lineRule="auto"/>
        <w:rPr>
          <w:lang w:val="en-US"/>
        </w:rPr>
        <w:sectPr w:rsidR="0025412C" w:rsidSect="002B70F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267953" w14:textId="5DD57D8F" w:rsidR="00630375" w:rsidRDefault="00630375" w:rsidP="00630375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S1: Numbers of people, hospital admissions and procedures by mental health group and planned/emergency </w:t>
      </w:r>
      <w:proofErr w:type="gramStart"/>
      <w:r>
        <w:rPr>
          <w:lang w:val="en-US"/>
        </w:rPr>
        <w:t>status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829"/>
        <w:gridCol w:w="1157"/>
        <w:gridCol w:w="1107"/>
        <w:gridCol w:w="1108"/>
        <w:gridCol w:w="1128"/>
        <w:gridCol w:w="1128"/>
        <w:gridCol w:w="1116"/>
        <w:gridCol w:w="1129"/>
        <w:gridCol w:w="1129"/>
        <w:gridCol w:w="1117"/>
      </w:tblGrid>
      <w:tr w:rsidR="00C62CBD" w:rsidRPr="00C62CBD" w14:paraId="58803E99" w14:textId="77777777" w:rsidTr="00C62CBD">
        <w:trPr>
          <w:trHeight w:val="30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DD641C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Procedure type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25647D0" w14:textId="77777777" w:rsidR="00C62CBD" w:rsidRPr="00C62CBD" w:rsidRDefault="00C62CBD" w:rsidP="00C6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All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30DC589" w14:textId="77777777" w:rsidR="00C62CBD" w:rsidRPr="00C62CBD" w:rsidRDefault="00C62CBD" w:rsidP="00C6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Emergency 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26003D8" w14:textId="77777777" w:rsidR="00C62CBD" w:rsidRPr="00C62CBD" w:rsidRDefault="00C62CBD" w:rsidP="00C62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Planned</w:t>
            </w:r>
          </w:p>
        </w:tc>
      </w:tr>
      <w:tr w:rsidR="00C62CBD" w:rsidRPr="00C62CBD" w14:paraId="2FF32747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EE5836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Group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BAE74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All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147A2E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No MH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23BE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MH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C011D01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All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1C2A006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No MH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81AA3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MH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36C0E58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All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36F3B4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No MH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30A6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b/>
                <w:bCs/>
                <w:lang w:eastAsia="en-AU"/>
              </w:rPr>
              <w:t>MH</w:t>
            </w:r>
          </w:p>
        </w:tc>
      </w:tr>
      <w:tr w:rsidR="00C62CBD" w:rsidRPr="00C62CBD" w14:paraId="7FE68BED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8D10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Population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E501E" w14:textId="4743F92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6,304,963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564E" w14:textId="283DDDD8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6,228,643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CC25" w14:textId="346D29F4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76,320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912A" w14:textId="524ED155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6,304,96</w:t>
            </w:r>
            <w:r w:rsidR="0095442A">
              <w:rPr>
                <w:rFonts w:ascii="Calibri" w:eastAsia="Times New Roman" w:hAnsi="Calibri" w:cs="Calibri"/>
                <w:lang w:eastAsia="en-AU"/>
              </w:rPr>
              <w:t>1</w:t>
            </w: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DD7D" w14:textId="3591E5F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6,228,64</w:t>
            </w:r>
            <w:r w:rsidR="00D8165E">
              <w:rPr>
                <w:rFonts w:ascii="Calibri" w:eastAsia="Times New Roman" w:hAnsi="Calibri" w:cs="Calibri"/>
                <w:lang w:eastAsia="en-AU"/>
              </w:rPr>
              <w:t>1</w:t>
            </w: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C719" w14:textId="762FBFC2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 76,320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D6E1" w14:textId="4BADCC48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6,304,963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77CE9" w14:textId="23C02651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6,228,643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C432" w14:textId="044C3E85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76,320 </w:t>
            </w:r>
          </w:p>
        </w:tc>
      </w:tr>
      <w:tr w:rsidR="00C62CBD" w:rsidRPr="00C62CBD" w14:paraId="4F03BD12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2F42A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People with any procedure 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CCD9" w14:textId="1C8DD64F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485,656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4F49" w14:textId="1D39B48F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478,322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950A" w14:textId="408CA644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    7,334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723B" w14:textId="438764D5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  83,307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13DC" w14:textId="49001F28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  80,646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8AE7" w14:textId="41C89E6E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   2,661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B1AA" w14:textId="1A77DE0E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423,121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6FE4" w14:textId="1A172FD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417,882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7351" w14:textId="60308EE4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 xml:space="preserve">5,239 </w:t>
            </w:r>
          </w:p>
        </w:tc>
      </w:tr>
      <w:tr w:rsidR="00C62CBD" w:rsidRPr="00C62CBD" w14:paraId="32847EB9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942CA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Percent with any procedure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24C4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7.7%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1D77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7.7%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22CA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9.6%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80F0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1.3%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640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1.3%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6A5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3.5%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669A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6.7%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DC3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6.7%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F623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6.9%</w:t>
            </w:r>
          </w:p>
        </w:tc>
      </w:tr>
      <w:tr w:rsidR="00C62CBD" w:rsidRPr="00C62CBD" w14:paraId="32262C61" w14:textId="77777777" w:rsidTr="00C62CBD">
        <w:trPr>
          <w:trHeight w:val="30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492A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Hospital episodes with a procedure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8E72" w14:textId="4F247D6B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636,924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A27A" w14:textId="0D915F8E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626,988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EDEC" w14:textId="7D8D76EB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9,936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5B23" w14:textId="64D8AA3C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93,943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36D7" w14:textId="63BC63A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90,703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A9E0" w14:textId="4B9C6BE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3,240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D310" w14:textId="5EEA2BB1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542,981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DABD" w14:textId="19F52633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536,285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5AE7" w14:textId="7A093B6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6,696 </w:t>
            </w:r>
          </w:p>
        </w:tc>
      </w:tr>
      <w:tr w:rsidR="00C62CBD" w:rsidRPr="00C62CBD" w14:paraId="1537EB46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1649E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Hospital episodes per 1000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E0A5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101.0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937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100.7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E5FF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130.2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23B55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14.9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B019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14.6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1CA0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42.5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C225C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86.1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EDD32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86.1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7C5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87.7</w:t>
            </w:r>
          </w:p>
        </w:tc>
      </w:tr>
      <w:tr w:rsidR="00C62CBD" w:rsidRPr="00C62CBD" w14:paraId="1B865EA4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8B90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Procedures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D075" w14:textId="3DE08DB9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1,221,149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D460" w14:textId="23359D2E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1,201,845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1F60" w14:textId="4674E95B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19,304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57B4" w14:textId="31A9B3F5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166,368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6636" w14:textId="163EFED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160,271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0CF2" w14:textId="3FC9A1C5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6,097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65E7" w14:textId="090DC8EA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1,054,781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F50F" w14:textId="77FE6120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1,041,574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0562" w14:textId="52B8EEC9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13,207 </w:t>
            </w:r>
          </w:p>
        </w:tc>
      </w:tr>
      <w:tr w:rsidR="00C62CBD" w:rsidRPr="00C62CBD" w14:paraId="3DCF80E7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6B7C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Procedures per 1,000 people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267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193.7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D329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193.0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B89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252.9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4E62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26.4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B5E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25.7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4B5F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79.9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5940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167.3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A8A5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167.2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84DA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173.0</w:t>
            </w:r>
          </w:p>
        </w:tc>
      </w:tr>
      <w:tr w:rsidR="00C62CBD" w:rsidRPr="00C62CBD" w14:paraId="320506F7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F25C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Procedures per person with a procedure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A876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8611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13CA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0F84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FA57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CF12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BBDC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A3F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FC2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</w:tr>
      <w:tr w:rsidR="00C62CBD" w:rsidRPr="00C62CBD" w14:paraId="7CA7F32A" w14:textId="77777777" w:rsidTr="00C62CBD">
        <w:trPr>
          <w:trHeight w:val="30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9098D" w14:textId="77777777" w:rsidR="00C62CBD" w:rsidRPr="00C62CBD" w:rsidRDefault="00C62CBD" w:rsidP="00C62CB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lang w:eastAsia="en-AU"/>
              </w:rPr>
              <w:t>Procedures per hospital episode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01534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A4175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0FFB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7C7ED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DD4B2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8568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BD155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A68BE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2A13" w14:textId="77777777" w:rsidR="00C62CBD" w:rsidRPr="00C62CBD" w:rsidRDefault="00C62CBD" w:rsidP="00C62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2CBD">
              <w:rPr>
                <w:rFonts w:ascii="Calibri" w:eastAsia="Times New Roman" w:hAnsi="Calibri" w:cs="Calibri"/>
                <w:color w:val="000000"/>
                <w:lang w:eastAsia="en-AU"/>
              </w:rPr>
              <w:t>2.0</w:t>
            </w:r>
          </w:p>
        </w:tc>
      </w:tr>
    </w:tbl>
    <w:p w14:paraId="6B0223DB" w14:textId="77777777" w:rsidR="00630375" w:rsidRDefault="00630375">
      <w:pPr>
        <w:rPr>
          <w:lang w:val="en-US"/>
        </w:rPr>
      </w:pPr>
      <w:r>
        <w:rPr>
          <w:lang w:val="en-US"/>
        </w:rPr>
        <w:br w:type="page"/>
      </w:r>
    </w:p>
    <w:p w14:paraId="12FF6CF9" w14:textId="1E669523" w:rsidR="00E33E46" w:rsidRDefault="00FB0DC5" w:rsidP="00FB0DC5">
      <w:pPr>
        <w:spacing w:line="240" w:lineRule="auto"/>
        <w:rPr>
          <w:lang w:val="en-US"/>
        </w:rPr>
      </w:pPr>
      <w:r>
        <w:rPr>
          <w:lang w:val="en-US"/>
        </w:rPr>
        <w:lastRenderedPageBreak/>
        <w:t>Table S</w:t>
      </w:r>
      <w:r w:rsidR="00630375">
        <w:rPr>
          <w:lang w:val="en-US"/>
        </w:rPr>
        <w:t>2</w:t>
      </w:r>
      <w:r w:rsidR="00FB7284">
        <w:rPr>
          <w:lang w:val="en-US"/>
        </w:rPr>
        <w:t>a</w:t>
      </w:r>
      <w:r>
        <w:rPr>
          <w:lang w:val="en-US"/>
        </w:rPr>
        <w:t xml:space="preserve"> </w:t>
      </w:r>
      <w:r w:rsidR="0026033F">
        <w:rPr>
          <w:lang w:val="en-US"/>
        </w:rPr>
        <w:t xml:space="preserve">Top ten procedure </w:t>
      </w:r>
      <w:r w:rsidR="0043728D">
        <w:rPr>
          <w:lang w:val="en-US"/>
        </w:rPr>
        <w:t>blocks</w:t>
      </w:r>
      <w:r w:rsidR="0026033F">
        <w:rPr>
          <w:lang w:val="en-US"/>
        </w:rPr>
        <w:t xml:space="preserve"> within each </w:t>
      </w:r>
      <w:r w:rsidR="0043728D">
        <w:rPr>
          <w:lang w:val="en-US"/>
        </w:rPr>
        <w:t xml:space="preserve">procedure </w:t>
      </w:r>
      <w:r w:rsidR="008448FF">
        <w:rPr>
          <w:lang w:val="en-US"/>
        </w:rPr>
        <w:t xml:space="preserve">block </w:t>
      </w:r>
      <w:r w:rsidR="0043728D">
        <w:rPr>
          <w:lang w:val="en-US"/>
        </w:rPr>
        <w:t>group</w:t>
      </w:r>
      <w:r>
        <w:rPr>
          <w:lang w:val="en-US"/>
        </w:rPr>
        <w:t xml:space="preserve">, comparing mental health service users (MH) to other NSW residents (No MH): Cardiovascular, Gastrointestinal and Respiratory procedure blocks. </w:t>
      </w:r>
      <w:r w:rsidR="00853725">
        <w:rPr>
          <w:lang w:val="en-US"/>
        </w:rPr>
        <w:t xml:space="preserve">Adjusted incidence rate ratio (aIRR) after standardisation for age, </w:t>
      </w:r>
      <w:r w:rsidR="00865FF7">
        <w:rPr>
          <w:lang w:val="en-US"/>
        </w:rPr>
        <w:t>sex,</w:t>
      </w:r>
      <w:r w:rsidR="00853725">
        <w:rPr>
          <w:lang w:val="en-US"/>
        </w:rPr>
        <w:t xml:space="preserve"> and socioeconomic disadvantage. </w:t>
      </w:r>
      <w:r w:rsidR="008448FF">
        <w:rPr>
          <w:lang w:val="en-US"/>
        </w:rPr>
        <w:t>Block not shown</w:t>
      </w:r>
      <w:r w:rsidR="00853725">
        <w:rPr>
          <w:lang w:val="en-US"/>
        </w:rPr>
        <w:t xml:space="preserve"> and</w:t>
      </w:r>
      <w:r w:rsidR="009C7AEA">
        <w:rPr>
          <w:lang w:val="en-US"/>
        </w:rPr>
        <w:t>/or</w:t>
      </w:r>
      <w:r w:rsidR="00853725">
        <w:rPr>
          <w:lang w:val="en-US"/>
        </w:rPr>
        <w:t xml:space="preserve"> </w:t>
      </w:r>
      <w:r w:rsidR="009C7AEA">
        <w:rPr>
          <w:lang w:val="en-US"/>
        </w:rPr>
        <w:t xml:space="preserve">standardised rates not calculated when </w:t>
      </w:r>
      <w:r w:rsidR="008448FF">
        <w:rPr>
          <w:lang w:val="en-US"/>
        </w:rPr>
        <w:t xml:space="preserve">total procedures </w:t>
      </w:r>
      <w:r w:rsidR="009C7AEA">
        <w:rPr>
          <w:lang w:val="en-US"/>
        </w:rPr>
        <w:t xml:space="preserve">in MH group </w:t>
      </w:r>
      <w:r w:rsidR="008448FF">
        <w:rPr>
          <w:lang w:val="en-US"/>
        </w:rPr>
        <w:t xml:space="preserve">&lt; 20. </w:t>
      </w:r>
    </w:p>
    <w:p w14:paraId="153A18D3" w14:textId="1858E3B7" w:rsidR="00FB0DC5" w:rsidRDefault="00F216F4" w:rsidP="00FB0DC5">
      <w:pPr>
        <w:spacing w:line="360" w:lineRule="auto"/>
        <w:rPr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25249276" wp14:editId="5147CB00">
            <wp:simplePos x="0" y="0"/>
            <wp:positionH relativeFrom="margin">
              <wp:posOffset>-393405</wp:posOffset>
            </wp:positionH>
            <wp:positionV relativeFrom="paragraph">
              <wp:posOffset>4050370</wp:posOffset>
            </wp:positionV>
            <wp:extent cx="8401050" cy="219710"/>
            <wp:effectExtent l="0" t="0" r="0" b="8890"/>
            <wp:wrapNone/>
            <wp:docPr id="48074028" name="Picture 4807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9BC" w:rsidRPr="004749BC">
        <w:rPr>
          <w:noProof/>
        </w:rPr>
        <w:drawing>
          <wp:inline distT="0" distB="0" distL="0" distR="0" wp14:anchorId="08BA294B" wp14:editId="43511329">
            <wp:extent cx="9423198" cy="40790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57" cy="40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92E70" w14:textId="074E71E7" w:rsidR="006205E8" w:rsidRDefault="006205E8">
      <w:pPr>
        <w:rPr>
          <w:sz w:val="18"/>
          <w:szCs w:val="18"/>
          <w:lang w:val="en-US"/>
        </w:rPr>
      </w:pPr>
    </w:p>
    <w:p w14:paraId="01698CD7" w14:textId="02F23A74" w:rsidR="00FB0DC5" w:rsidRPr="00B27404" w:rsidRDefault="00811B66">
      <w:pPr>
        <w:rPr>
          <w:sz w:val="18"/>
          <w:szCs w:val="18"/>
          <w:lang w:val="en-US"/>
        </w:rPr>
      </w:pPr>
      <w:r w:rsidRPr="00B27404">
        <w:rPr>
          <w:sz w:val="18"/>
          <w:szCs w:val="18"/>
          <w:lang w:val="en-US"/>
        </w:rPr>
        <w:t xml:space="preserve">Notes: </w:t>
      </w:r>
      <w:r w:rsidR="006250E2" w:rsidRPr="00B27404">
        <w:rPr>
          <w:sz w:val="18"/>
          <w:szCs w:val="18"/>
          <w:lang w:val="en-US"/>
        </w:rPr>
        <w:t>(</w:t>
      </w:r>
      <w:r w:rsidRPr="00B27404">
        <w:rPr>
          <w:sz w:val="18"/>
          <w:szCs w:val="18"/>
          <w:lang w:val="en-US"/>
        </w:rPr>
        <w:t>MH</w:t>
      </w:r>
      <w:r w:rsidR="006250E2" w:rsidRPr="00B27404">
        <w:rPr>
          <w:sz w:val="18"/>
          <w:szCs w:val="18"/>
          <w:lang w:val="en-US"/>
        </w:rPr>
        <w:t xml:space="preserve">) </w:t>
      </w:r>
      <w:r w:rsidRPr="00B27404">
        <w:rPr>
          <w:sz w:val="18"/>
          <w:szCs w:val="18"/>
          <w:lang w:val="en-US"/>
        </w:rPr>
        <w:t>Mental Health</w:t>
      </w:r>
      <w:r w:rsidR="006250E2" w:rsidRPr="00B27404">
        <w:rPr>
          <w:sz w:val="18"/>
          <w:szCs w:val="18"/>
          <w:lang w:val="en-US"/>
        </w:rPr>
        <w:t>. (</w:t>
      </w:r>
      <w:proofErr w:type="spellStart"/>
      <w:r w:rsidR="006250E2" w:rsidRPr="00B27404">
        <w:rPr>
          <w:sz w:val="18"/>
          <w:szCs w:val="18"/>
          <w:lang w:val="en-US"/>
        </w:rPr>
        <w:t>aIRR</w:t>
      </w:r>
      <w:proofErr w:type="spellEnd"/>
      <w:r w:rsidR="006250E2" w:rsidRPr="00B27404">
        <w:rPr>
          <w:sz w:val="18"/>
          <w:szCs w:val="18"/>
          <w:lang w:val="en-US"/>
        </w:rPr>
        <w:t>) Adjusted Incidence Rate Ratio</w:t>
      </w:r>
      <w:r w:rsidR="00C338A3" w:rsidRPr="00B27404">
        <w:rPr>
          <w:sz w:val="18"/>
          <w:szCs w:val="18"/>
          <w:lang w:val="en-US"/>
        </w:rPr>
        <w:t>. (CI) Confidence Interval. (ACHI) Australian Classification of Health</w:t>
      </w:r>
      <w:r w:rsidR="00D43E08" w:rsidRPr="00B27404">
        <w:rPr>
          <w:sz w:val="18"/>
          <w:szCs w:val="18"/>
          <w:lang w:val="en-US"/>
        </w:rPr>
        <w:t xml:space="preserve"> Interventions. (CABG) Coronary Artery Bypass Graft</w:t>
      </w:r>
      <w:r w:rsidR="00EA5525" w:rsidRPr="00B27404">
        <w:rPr>
          <w:sz w:val="18"/>
          <w:szCs w:val="18"/>
          <w:lang w:val="en-US"/>
        </w:rPr>
        <w:t>. (LIA) Left Internal Mamillary Artery. (VV) Varicose Veins</w:t>
      </w:r>
      <w:r w:rsidR="00A93779" w:rsidRPr="00B27404">
        <w:rPr>
          <w:sz w:val="18"/>
          <w:szCs w:val="18"/>
          <w:lang w:val="en-US"/>
        </w:rPr>
        <w:t xml:space="preserve"> (Ins) Insertion. (Perm) Permanent</w:t>
      </w:r>
      <w:r w:rsidR="008B74AB" w:rsidRPr="00B27404">
        <w:rPr>
          <w:sz w:val="18"/>
          <w:szCs w:val="18"/>
          <w:lang w:val="en-US"/>
        </w:rPr>
        <w:t>. (W) with. (R/O) re</w:t>
      </w:r>
      <w:r w:rsidR="00B27404" w:rsidRPr="00B27404">
        <w:rPr>
          <w:sz w:val="18"/>
          <w:szCs w:val="18"/>
          <w:lang w:val="en-US"/>
        </w:rPr>
        <w:t>moval of.  (FB) Foreign body.</w:t>
      </w:r>
      <w:r w:rsidR="00FB0DC5" w:rsidRPr="00B27404">
        <w:rPr>
          <w:sz w:val="18"/>
          <w:szCs w:val="18"/>
          <w:lang w:val="en-US"/>
        </w:rPr>
        <w:br w:type="page"/>
      </w:r>
    </w:p>
    <w:p w14:paraId="6224ADD0" w14:textId="63136DD0" w:rsidR="008448FF" w:rsidRDefault="00FB0DC5" w:rsidP="008448FF">
      <w:pPr>
        <w:spacing w:line="240" w:lineRule="auto"/>
        <w:rPr>
          <w:lang w:val="en-US"/>
        </w:rPr>
      </w:pPr>
      <w:r>
        <w:rPr>
          <w:lang w:val="en-US"/>
        </w:rPr>
        <w:lastRenderedPageBreak/>
        <w:t>Table S</w:t>
      </w:r>
      <w:r w:rsidR="00630375">
        <w:rPr>
          <w:lang w:val="en-US"/>
        </w:rPr>
        <w:t>2</w:t>
      </w:r>
      <w:r w:rsidR="00FB7284">
        <w:rPr>
          <w:lang w:val="en-US"/>
        </w:rPr>
        <w:t>b</w:t>
      </w:r>
      <w:r>
        <w:rPr>
          <w:lang w:val="en-US"/>
        </w:rPr>
        <w:t xml:space="preserve"> Top ten procedure blocks within each procedure group, comparing mental health service users (MH) to other NSW residents (No MH): </w:t>
      </w:r>
      <w:r w:rsidR="00FB7284">
        <w:rPr>
          <w:lang w:val="en-US"/>
        </w:rPr>
        <w:t>Muskuloskeletal, Skin and Plastics, Genito-urinary</w:t>
      </w:r>
      <w:r>
        <w:rPr>
          <w:lang w:val="en-US"/>
        </w:rPr>
        <w:t xml:space="preserve"> procedure blocks. </w:t>
      </w:r>
      <w:r w:rsidR="009C7AEA">
        <w:rPr>
          <w:lang w:val="en-US"/>
        </w:rPr>
        <w:t xml:space="preserve">Adjusted incidence rate ratio (aIRR) after standardisation for age, </w:t>
      </w:r>
      <w:r w:rsidR="00865FF7">
        <w:rPr>
          <w:lang w:val="en-US"/>
        </w:rPr>
        <w:t>sex,</w:t>
      </w:r>
      <w:r w:rsidR="009C7AEA">
        <w:rPr>
          <w:lang w:val="en-US"/>
        </w:rPr>
        <w:t xml:space="preserve"> and socioeconomic disadvantage. Block not shown and/or standardised rates not calculated when total procedures in MH group &lt; 20. </w:t>
      </w:r>
    </w:p>
    <w:p w14:paraId="768D6EAD" w14:textId="51D871B4" w:rsidR="00F216F4" w:rsidRDefault="00F216F4" w:rsidP="008448FF">
      <w:pPr>
        <w:spacing w:line="240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61E66368" wp14:editId="035DD017">
            <wp:simplePos x="0" y="0"/>
            <wp:positionH relativeFrom="margin">
              <wp:posOffset>-382773</wp:posOffset>
            </wp:positionH>
            <wp:positionV relativeFrom="paragraph">
              <wp:posOffset>4300559</wp:posOffset>
            </wp:positionV>
            <wp:extent cx="8401050" cy="219710"/>
            <wp:effectExtent l="0" t="0" r="0" b="8890"/>
            <wp:wrapNone/>
            <wp:docPr id="2009950353" name="Picture 200995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881" w:rsidRPr="00275B04">
        <w:rPr>
          <w:noProof/>
        </w:rPr>
        <w:drawing>
          <wp:inline distT="0" distB="0" distL="0" distR="0" wp14:anchorId="72A7246A" wp14:editId="22FEE4E8">
            <wp:extent cx="8863330" cy="43486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5365" w14:textId="028C0CEC" w:rsidR="00F216F4" w:rsidRDefault="00F216F4" w:rsidP="008448FF">
      <w:pPr>
        <w:spacing w:line="240" w:lineRule="auto"/>
        <w:rPr>
          <w:sz w:val="18"/>
          <w:szCs w:val="18"/>
          <w:lang w:val="en-US"/>
        </w:rPr>
      </w:pPr>
    </w:p>
    <w:p w14:paraId="053BB3D0" w14:textId="2ADBE7C6" w:rsidR="00B36881" w:rsidRDefault="00B36881" w:rsidP="008448FF">
      <w:pPr>
        <w:spacing w:line="240" w:lineRule="auto"/>
        <w:rPr>
          <w:sz w:val="18"/>
          <w:szCs w:val="18"/>
          <w:lang w:val="en-US"/>
        </w:rPr>
      </w:pPr>
      <w:r w:rsidRPr="00B27404">
        <w:rPr>
          <w:sz w:val="18"/>
          <w:szCs w:val="18"/>
          <w:lang w:val="en-US"/>
        </w:rPr>
        <w:t>Notes: (MH) Mental Health. (</w:t>
      </w:r>
      <w:proofErr w:type="spellStart"/>
      <w:r w:rsidRPr="00B27404">
        <w:rPr>
          <w:sz w:val="18"/>
          <w:szCs w:val="18"/>
          <w:lang w:val="en-US"/>
        </w:rPr>
        <w:t>aIRR</w:t>
      </w:r>
      <w:proofErr w:type="spellEnd"/>
      <w:r w:rsidRPr="00B27404">
        <w:rPr>
          <w:sz w:val="18"/>
          <w:szCs w:val="18"/>
          <w:lang w:val="en-US"/>
        </w:rPr>
        <w:t>) Adjusted Incidence Rate Ratio. (CI) Confidence Interval. (ACHI) Australian Classification of Health Interventions. (R/O) removal of</w:t>
      </w:r>
      <w:r>
        <w:rPr>
          <w:sz w:val="18"/>
          <w:szCs w:val="18"/>
          <w:lang w:val="en-US"/>
        </w:rPr>
        <w:t xml:space="preserve">. </w:t>
      </w:r>
      <w:r w:rsidR="001A6FC8">
        <w:rPr>
          <w:sz w:val="18"/>
          <w:szCs w:val="18"/>
          <w:lang w:val="en-US"/>
        </w:rPr>
        <w:t>(w) with.</w:t>
      </w:r>
      <w:r w:rsidR="002438E1">
        <w:rPr>
          <w:sz w:val="18"/>
          <w:szCs w:val="18"/>
          <w:lang w:val="en-US"/>
        </w:rPr>
        <w:t xml:space="preserve"> </w:t>
      </w:r>
      <w:r w:rsidR="008440AF">
        <w:rPr>
          <w:sz w:val="18"/>
          <w:szCs w:val="18"/>
          <w:lang w:val="en-US"/>
        </w:rPr>
        <w:t>(M/S) Musculoskeletal. (</w:t>
      </w:r>
      <w:proofErr w:type="spellStart"/>
      <w:r w:rsidR="008440AF">
        <w:rPr>
          <w:sz w:val="18"/>
          <w:szCs w:val="18"/>
          <w:lang w:val="en-US"/>
        </w:rPr>
        <w:t>Agt</w:t>
      </w:r>
      <w:proofErr w:type="spellEnd"/>
      <w:r w:rsidR="008440AF">
        <w:rPr>
          <w:sz w:val="18"/>
          <w:szCs w:val="18"/>
          <w:lang w:val="en-US"/>
        </w:rPr>
        <w:t>) Agent.</w:t>
      </w:r>
      <w:r w:rsidR="001A6FC8">
        <w:rPr>
          <w:sz w:val="18"/>
          <w:szCs w:val="18"/>
          <w:lang w:val="en-US"/>
        </w:rPr>
        <w:t xml:space="preserve"> (Proc) Procedure. </w:t>
      </w:r>
      <w:r w:rsidR="00BF7DE8">
        <w:rPr>
          <w:sz w:val="18"/>
          <w:szCs w:val="18"/>
          <w:lang w:val="en-US"/>
        </w:rPr>
        <w:t>(SSCT) skin and subcutaneous connective tissue. (Manip) Manipulation. (Ext) Extraction</w:t>
      </w:r>
      <w:r w:rsidR="002438E1">
        <w:rPr>
          <w:sz w:val="18"/>
          <w:szCs w:val="18"/>
          <w:lang w:val="en-US"/>
        </w:rPr>
        <w:t xml:space="preserve">. (Ins) Insertion. </w:t>
      </w:r>
      <w:r w:rsidR="008440AF">
        <w:rPr>
          <w:sz w:val="18"/>
          <w:szCs w:val="18"/>
          <w:lang w:val="en-US"/>
        </w:rPr>
        <w:t xml:space="preserve">  </w:t>
      </w:r>
    </w:p>
    <w:p w14:paraId="3B3D0AA7" w14:textId="77777777" w:rsidR="00B36881" w:rsidRDefault="00B3688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075725A4" w14:textId="78B6D9E5" w:rsidR="006100C5" w:rsidRDefault="00E74899" w:rsidP="008448FF">
      <w:pPr>
        <w:spacing w:line="240" w:lineRule="auto"/>
        <w:rPr>
          <w:lang w:val="en-US"/>
        </w:rPr>
      </w:pPr>
      <w:r>
        <w:rPr>
          <w:lang w:val="en-US"/>
        </w:rPr>
        <w:lastRenderedPageBreak/>
        <w:t>Table S</w:t>
      </w:r>
      <w:r w:rsidR="00630375">
        <w:rPr>
          <w:lang w:val="en-US"/>
        </w:rPr>
        <w:t>2</w:t>
      </w:r>
      <w:r>
        <w:rPr>
          <w:lang w:val="en-US"/>
        </w:rPr>
        <w:t xml:space="preserve">c Top ten procedure blocks within each procedure group, comparing mental health service users (MH) to other NSW residents (No MH): </w:t>
      </w:r>
      <w:r w:rsidR="006100C5">
        <w:rPr>
          <w:lang w:val="en-US"/>
        </w:rPr>
        <w:t>Nervous</w:t>
      </w:r>
      <w:r>
        <w:rPr>
          <w:lang w:val="en-US"/>
        </w:rPr>
        <w:t xml:space="preserve"> system, Eye, Nose and Mouth procedure blocks. </w:t>
      </w:r>
      <w:r w:rsidR="009C7AEA">
        <w:rPr>
          <w:lang w:val="en-US"/>
        </w:rPr>
        <w:t xml:space="preserve">Adjusted incidence rate ratio (aIRR) after standardisation for age, </w:t>
      </w:r>
      <w:r w:rsidR="00865FF7">
        <w:rPr>
          <w:lang w:val="en-US"/>
        </w:rPr>
        <w:t>sex,</w:t>
      </w:r>
      <w:r w:rsidR="009C7AEA">
        <w:rPr>
          <w:lang w:val="en-US"/>
        </w:rPr>
        <w:t xml:space="preserve"> and socioeconomic disadvantage. Block not shown and/or standardised rates not calculated when total procedures in MH group &lt; 20. </w:t>
      </w:r>
    </w:p>
    <w:p w14:paraId="54F0ACF6" w14:textId="04227595" w:rsidR="002438E1" w:rsidRDefault="00F216F4" w:rsidP="008448FF">
      <w:pPr>
        <w:spacing w:line="240" w:lineRule="auto"/>
        <w:rPr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532337CD" wp14:editId="0AD2C33D">
            <wp:simplePos x="0" y="0"/>
            <wp:positionH relativeFrom="margin">
              <wp:posOffset>-382772</wp:posOffset>
            </wp:positionH>
            <wp:positionV relativeFrom="paragraph">
              <wp:posOffset>4459827</wp:posOffset>
            </wp:positionV>
            <wp:extent cx="8401050" cy="219710"/>
            <wp:effectExtent l="0" t="0" r="0" b="8890"/>
            <wp:wrapNone/>
            <wp:docPr id="1783182834" name="Picture 178318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AA4" w:rsidRPr="001E0AA4">
        <w:rPr>
          <w:noProof/>
        </w:rPr>
        <w:drawing>
          <wp:inline distT="0" distB="0" distL="0" distR="0" wp14:anchorId="31801FE5" wp14:editId="1C5F1D3C">
            <wp:extent cx="9491095" cy="4540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337" cy="45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AFEB" w14:textId="49600812" w:rsidR="00F216F4" w:rsidRDefault="00F216F4" w:rsidP="008448FF">
      <w:pPr>
        <w:spacing w:line="240" w:lineRule="auto"/>
        <w:rPr>
          <w:sz w:val="18"/>
          <w:szCs w:val="18"/>
          <w:lang w:val="en-US"/>
        </w:rPr>
      </w:pPr>
    </w:p>
    <w:p w14:paraId="3DF107DC" w14:textId="338BCB86" w:rsidR="006F494C" w:rsidRDefault="002438E1" w:rsidP="008448FF">
      <w:pPr>
        <w:spacing w:line="240" w:lineRule="auto"/>
        <w:rPr>
          <w:sz w:val="18"/>
          <w:szCs w:val="18"/>
          <w:lang w:val="en-US"/>
        </w:rPr>
      </w:pPr>
      <w:r w:rsidRPr="00B27404">
        <w:rPr>
          <w:sz w:val="18"/>
          <w:szCs w:val="18"/>
          <w:lang w:val="en-US"/>
        </w:rPr>
        <w:t>Notes: (MH) Mental Health. (</w:t>
      </w:r>
      <w:proofErr w:type="spellStart"/>
      <w:r w:rsidRPr="00B27404">
        <w:rPr>
          <w:sz w:val="18"/>
          <w:szCs w:val="18"/>
          <w:lang w:val="en-US"/>
        </w:rPr>
        <w:t>aIRR</w:t>
      </w:r>
      <w:proofErr w:type="spellEnd"/>
      <w:r w:rsidRPr="00B27404">
        <w:rPr>
          <w:sz w:val="18"/>
          <w:szCs w:val="18"/>
          <w:lang w:val="en-US"/>
        </w:rPr>
        <w:t>) Adjusted Incidence Rate Ratio. (CI) Confidence Interval. (ACHI) Australian Classification of Health Interventions. (R/O) removal of</w:t>
      </w:r>
      <w:r>
        <w:rPr>
          <w:sz w:val="18"/>
          <w:szCs w:val="18"/>
          <w:lang w:val="en-US"/>
        </w:rPr>
        <w:t>.</w:t>
      </w:r>
      <w:r w:rsidR="006F494C">
        <w:rPr>
          <w:sz w:val="18"/>
          <w:szCs w:val="18"/>
          <w:lang w:val="en-US"/>
        </w:rPr>
        <w:t xml:space="preserve"> (Ins) Insertion. </w:t>
      </w:r>
      <w:r w:rsidR="00B2270C">
        <w:rPr>
          <w:sz w:val="18"/>
          <w:szCs w:val="18"/>
          <w:lang w:val="en-US"/>
        </w:rPr>
        <w:t xml:space="preserve">(Proc) Procedure. </w:t>
      </w:r>
      <w:r>
        <w:rPr>
          <w:sz w:val="18"/>
          <w:szCs w:val="18"/>
          <w:lang w:val="en-US"/>
        </w:rPr>
        <w:t>(</w:t>
      </w:r>
      <w:r w:rsidR="00B2270C">
        <w:rPr>
          <w:sz w:val="18"/>
          <w:szCs w:val="18"/>
          <w:lang w:val="en-US"/>
        </w:rPr>
        <w:t>W</w:t>
      </w:r>
      <w:r>
        <w:rPr>
          <w:sz w:val="18"/>
          <w:szCs w:val="18"/>
          <w:lang w:val="en-US"/>
        </w:rPr>
        <w:t xml:space="preserve">) with. </w:t>
      </w:r>
      <w:r w:rsidR="00E93740">
        <w:rPr>
          <w:sz w:val="18"/>
          <w:szCs w:val="18"/>
          <w:lang w:val="en-US"/>
        </w:rPr>
        <w:t>(</w:t>
      </w:r>
      <w:r w:rsidR="008D1F13">
        <w:rPr>
          <w:sz w:val="18"/>
          <w:szCs w:val="18"/>
          <w:lang w:val="en-US"/>
        </w:rPr>
        <w:t>P</w:t>
      </w:r>
      <w:r w:rsidR="00E93740">
        <w:rPr>
          <w:sz w:val="18"/>
          <w:szCs w:val="18"/>
          <w:lang w:val="en-US"/>
        </w:rPr>
        <w:t xml:space="preserve">erc) </w:t>
      </w:r>
      <w:r w:rsidR="008D1F13">
        <w:rPr>
          <w:sz w:val="18"/>
          <w:szCs w:val="18"/>
          <w:lang w:val="en-US"/>
        </w:rPr>
        <w:t>P</w:t>
      </w:r>
      <w:r w:rsidR="00E93740">
        <w:rPr>
          <w:sz w:val="18"/>
          <w:szCs w:val="18"/>
          <w:lang w:val="en-US"/>
        </w:rPr>
        <w:t xml:space="preserve">ercutaneous. </w:t>
      </w:r>
      <w:r w:rsidR="008D1F13">
        <w:rPr>
          <w:sz w:val="18"/>
          <w:szCs w:val="18"/>
          <w:lang w:val="en-US"/>
        </w:rPr>
        <w:t xml:space="preserve">(Str) Structures. </w:t>
      </w:r>
      <w:r>
        <w:rPr>
          <w:sz w:val="18"/>
          <w:szCs w:val="18"/>
          <w:lang w:val="en-US"/>
        </w:rPr>
        <w:t>(</w:t>
      </w:r>
      <w:r w:rsidR="00E93740">
        <w:rPr>
          <w:sz w:val="18"/>
          <w:szCs w:val="18"/>
          <w:lang w:val="en-US"/>
        </w:rPr>
        <w:t>Vert</w:t>
      </w:r>
      <w:r>
        <w:rPr>
          <w:sz w:val="18"/>
          <w:szCs w:val="18"/>
          <w:lang w:val="en-US"/>
        </w:rPr>
        <w:t xml:space="preserve">) </w:t>
      </w:r>
      <w:r w:rsidR="00E93740">
        <w:rPr>
          <w:sz w:val="18"/>
          <w:szCs w:val="18"/>
          <w:lang w:val="en-US"/>
        </w:rPr>
        <w:t>Vertebral</w:t>
      </w:r>
      <w:r>
        <w:rPr>
          <w:sz w:val="18"/>
          <w:szCs w:val="18"/>
          <w:lang w:val="en-US"/>
        </w:rPr>
        <w:t>.</w:t>
      </w:r>
      <w:r w:rsidR="00E93740">
        <w:rPr>
          <w:sz w:val="18"/>
          <w:szCs w:val="18"/>
          <w:lang w:val="en-US"/>
        </w:rPr>
        <w:t xml:space="preserve"> </w:t>
      </w:r>
      <w:r w:rsidR="008D1F13">
        <w:rPr>
          <w:sz w:val="18"/>
          <w:szCs w:val="18"/>
          <w:lang w:val="en-US"/>
        </w:rPr>
        <w:t>(I/V) Intervertebral.</w:t>
      </w:r>
      <w:r w:rsidR="006F494C"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Agt</w:t>
      </w:r>
      <w:proofErr w:type="spellEnd"/>
      <w:r>
        <w:rPr>
          <w:sz w:val="18"/>
          <w:szCs w:val="18"/>
          <w:lang w:val="en-US"/>
        </w:rPr>
        <w:t xml:space="preserve">) Agent. </w:t>
      </w:r>
      <w:r w:rsidR="006F494C">
        <w:rPr>
          <w:sz w:val="18"/>
          <w:szCs w:val="18"/>
          <w:lang w:val="en-US"/>
        </w:rPr>
        <w:t xml:space="preserve">(Elect) Electrode. </w:t>
      </w:r>
    </w:p>
    <w:p w14:paraId="6590AE10" w14:textId="0F9F86C1" w:rsidR="00E74899" w:rsidRDefault="00E74899" w:rsidP="008448FF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4305231" w14:textId="2E45C05F" w:rsidR="006100C5" w:rsidRDefault="00E74899" w:rsidP="008448FF">
      <w:pPr>
        <w:spacing w:line="240" w:lineRule="auto"/>
        <w:rPr>
          <w:lang w:val="en-US"/>
        </w:rPr>
      </w:pPr>
      <w:r>
        <w:rPr>
          <w:lang w:val="en-US"/>
        </w:rPr>
        <w:lastRenderedPageBreak/>
        <w:t>Table S</w:t>
      </w:r>
      <w:r w:rsidR="00630375">
        <w:rPr>
          <w:lang w:val="en-US"/>
        </w:rPr>
        <w:t>2</w:t>
      </w:r>
      <w:r>
        <w:rPr>
          <w:lang w:val="en-US"/>
        </w:rPr>
        <w:t xml:space="preserve">d Top ten procedure blocks within each procedure group, comparing mental health service users (MH) to other NSW residents (No MH): </w:t>
      </w:r>
      <w:r w:rsidR="008448FF">
        <w:rPr>
          <w:lang w:val="en-US"/>
        </w:rPr>
        <w:t xml:space="preserve">Gynaecological, Breast, Endocrine, Blood-forming organ </w:t>
      </w:r>
      <w:r>
        <w:rPr>
          <w:lang w:val="en-US"/>
        </w:rPr>
        <w:t xml:space="preserve">procedure blocks. </w:t>
      </w:r>
      <w:r w:rsidR="003E3860">
        <w:rPr>
          <w:lang w:val="en-US"/>
        </w:rPr>
        <w:t xml:space="preserve">Adjusted incidence rate ratio (aIRR) after standardisation for age, </w:t>
      </w:r>
      <w:r w:rsidR="00865FF7">
        <w:rPr>
          <w:lang w:val="en-US"/>
        </w:rPr>
        <w:t>sex,</w:t>
      </w:r>
      <w:r w:rsidR="003E3860">
        <w:rPr>
          <w:lang w:val="en-US"/>
        </w:rPr>
        <w:t xml:space="preserve"> and socioeconomic disadvantage. Block not shown and/or standardised rates not calculated when total procedures in MH group &lt; 20. </w:t>
      </w:r>
    </w:p>
    <w:p w14:paraId="56FD12D9" w14:textId="2DCB4E18" w:rsidR="00963738" w:rsidRDefault="00F216F4" w:rsidP="008448FF">
      <w:pPr>
        <w:spacing w:line="240" w:lineRule="auto"/>
        <w:rPr>
          <w:lang w:val="en-US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 wp14:anchorId="1BF5CECC" wp14:editId="5F364E89">
            <wp:simplePos x="0" y="0"/>
            <wp:positionH relativeFrom="margin">
              <wp:posOffset>-425302</wp:posOffset>
            </wp:positionH>
            <wp:positionV relativeFrom="paragraph">
              <wp:posOffset>3141877</wp:posOffset>
            </wp:positionV>
            <wp:extent cx="8401050" cy="219710"/>
            <wp:effectExtent l="0" t="0" r="0" b="8890"/>
            <wp:wrapNone/>
            <wp:docPr id="998744437" name="Picture 99874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725" w:rsidRPr="00853725">
        <w:rPr>
          <w:noProof/>
        </w:rPr>
        <w:drawing>
          <wp:inline distT="0" distB="0" distL="0" distR="0" wp14:anchorId="7DC7F73A" wp14:editId="170265F5">
            <wp:extent cx="9357181" cy="3200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513" cy="32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2849" w14:textId="2EA5E83E" w:rsidR="00F216F4" w:rsidRDefault="00F216F4" w:rsidP="00963738">
      <w:pPr>
        <w:spacing w:line="240" w:lineRule="auto"/>
        <w:rPr>
          <w:sz w:val="18"/>
          <w:szCs w:val="18"/>
          <w:lang w:val="en-US"/>
        </w:rPr>
      </w:pPr>
    </w:p>
    <w:p w14:paraId="4F1AD757" w14:textId="39057CD7" w:rsidR="00963738" w:rsidRDefault="00963738" w:rsidP="00963738">
      <w:pPr>
        <w:spacing w:line="240" w:lineRule="auto"/>
        <w:rPr>
          <w:sz w:val="18"/>
          <w:szCs w:val="18"/>
          <w:lang w:val="en-US"/>
        </w:rPr>
      </w:pPr>
      <w:r w:rsidRPr="00B27404">
        <w:rPr>
          <w:sz w:val="18"/>
          <w:szCs w:val="18"/>
          <w:lang w:val="en-US"/>
        </w:rPr>
        <w:t>Notes: (MH) Mental Health. (</w:t>
      </w:r>
      <w:proofErr w:type="spellStart"/>
      <w:r w:rsidRPr="00B27404">
        <w:rPr>
          <w:sz w:val="18"/>
          <w:szCs w:val="18"/>
          <w:lang w:val="en-US"/>
        </w:rPr>
        <w:t>aIRR</w:t>
      </w:r>
      <w:proofErr w:type="spellEnd"/>
      <w:r w:rsidRPr="00B27404">
        <w:rPr>
          <w:sz w:val="18"/>
          <w:szCs w:val="18"/>
          <w:lang w:val="en-US"/>
        </w:rPr>
        <w:t xml:space="preserve">) Adjusted Incidence Rate Ratio. (CI) Confidence Interval. (ACHI) Australian Classification of Health Interventions. </w:t>
      </w:r>
      <w:r>
        <w:rPr>
          <w:sz w:val="18"/>
          <w:szCs w:val="18"/>
          <w:lang w:val="en-US"/>
        </w:rPr>
        <w:t>(</w:t>
      </w:r>
      <w:r w:rsidR="0013209B"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 xml:space="preserve">ep) Repair. </w:t>
      </w:r>
      <w:r w:rsidR="0013209B">
        <w:rPr>
          <w:sz w:val="18"/>
          <w:szCs w:val="18"/>
          <w:lang w:val="en-US"/>
        </w:rPr>
        <w:t>(</w:t>
      </w:r>
      <w:proofErr w:type="spellStart"/>
      <w:r w:rsidR="0013209B">
        <w:rPr>
          <w:sz w:val="18"/>
          <w:szCs w:val="18"/>
          <w:lang w:val="en-US"/>
        </w:rPr>
        <w:t>Pelv</w:t>
      </w:r>
      <w:proofErr w:type="spellEnd"/>
      <w:r w:rsidR="0013209B">
        <w:rPr>
          <w:sz w:val="18"/>
          <w:szCs w:val="18"/>
          <w:lang w:val="en-US"/>
        </w:rPr>
        <w:t xml:space="preserve"> </w:t>
      </w:r>
      <w:proofErr w:type="spellStart"/>
      <w:r w:rsidR="0013209B">
        <w:rPr>
          <w:sz w:val="18"/>
          <w:szCs w:val="18"/>
          <w:lang w:val="en-US"/>
        </w:rPr>
        <w:t>flr</w:t>
      </w:r>
      <w:proofErr w:type="spellEnd"/>
      <w:r w:rsidR="0013209B">
        <w:rPr>
          <w:sz w:val="18"/>
          <w:szCs w:val="18"/>
          <w:lang w:val="en-US"/>
        </w:rPr>
        <w:t xml:space="preserve">) Pelvic floor. </w:t>
      </w:r>
    </w:p>
    <w:p w14:paraId="224B2691" w14:textId="2E99A288" w:rsidR="00E74899" w:rsidRDefault="00E74899" w:rsidP="008448FF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BD17B15" w14:textId="77777777" w:rsidR="004878B5" w:rsidRDefault="004878B5" w:rsidP="00630375">
      <w:pPr>
        <w:spacing w:line="240" w:lineRule="auto"/>
        <w:rPr>
          <w:lang w:val="en-US"/>
        </w:rPr>
      </w:pPr>
    </w:p>
    <w:p w14:paraId="63C6B261" w14:textId="0C24D379" w:rsidR="00630375" w:rsidRDefault="00630375" w:rsidP="00630375">
      <w:pPr>
        <w:spacing w:line="240" w:lineRule="auto"/>
        <w:rPr>
          <w:lang w:val="en-US"/>
        </w:rPr>
      </w:pPr>
      <w:r>
        <w:rPr>
          <w:lang w:val="en-US"/>
        </w:rPr>
        <w:t>S</w:t>
      </w:r>
      <w:r w:rsidR="00481625">
        <w:rPr>
          <w:lang w:val="en-US"/>
        </w:rPr>
        <w:t>3</w:t>
      </w:r>
      <w:r>
        <w:rPr>
          <w:lang w:val="en-US"/>
        </w:rPr>
        <w:t xml:space="preserve">: Subgroup analysis, </w:t>
      </w:r>
      <w:r w:rsidR="00D30C94">
        <w:rPr>
          <w:lang w:val="en-US"/>
        </w:rPr>
        <w:t xml:space="preserve">surgical procedure rates and counts in </w:t>
      </w:r>
      <w:r>
        <w:rPr>
          <w:lang w:val="en-US"/>
        </w:rPr>
        <w:t xml:space="preserve">people with Severe and Persistent Mental Illness </w:t>
      </w:r>
      <w:r w:rsidR="008C7501">
        <w:rPr>
          <w:lang w:val="en-US"/>
        </w:rPr>
        <w:t>(SPMI)</w:t>
      </w:r>
      <w:r w:rsidR="00D30C94">
        <w:rPr>
          <w:lang w:val="en-US"/>
        </w:rPr>
        <w:t xml:space="preserve">, </w:t>
      </w:r>
      <w:r>
        <w:rPr>
          <w:lang w:val="en-US"/>
        </w:rPr>
        <w:t>other mental health service users (</w:t>
      </w:r>
      <w:r w:rsidR="008C7501">
        <w:rPr>
          <w:lang w:val="en-US"/>
        </w:rPr>
        <w:t>Other MH ser</w:t>
      </w:r>
      <w:r w:rsidR="00F24455">
        <w:rPr>
          <w:lang w:val="en-US"/>
        </w:rPr>
        <w:t xml:space="preserve">vice </w:t>
      </w:r>
      <w:r>
        <w:rPr>
          <w:lang w:val="en-US"/>
        </w:rPr>
        <w:t xml:space="preserve">MH) </w:t>
      </w:r>
      <w:r w:rsidR="00D30C94">
        <w:rPr>
          <w:lang w:val="en-US"/>
        </w:rPr>
        <w:t xml:space="preserve">and </w:t>
      </w:r>
      <w:r>
        <w:rPr>
          <w:lang w:val="en-US"/>
        </w:rPr>
        <w:t>the rest of the NSW adult population (No MH</w:t>
      </w:r>
      <w:r w:rsidR="00F24455">
        <w:rPr>
          <w:lang w:val="en-US"/>
        </w:rPr>
        <w:t xml:space="preserve"> service use</w:t>
      </w:r>
      <w:r>
        <w:rPr>
          <w:lang w:val="en-US"/>
        </w:rPr>
        <w:t>).</w:t>
      </w:r>
      <w:r w:rsidR="00D30C94">
        <w:rPr>
          <w:lang w:val="en-US"/>
        </w:rPr>
        <w:t xml:space="preserve">  Crude rates and adjusted rates after </w:t>
      </w:r>
      <w:proofErr w:type="spellStart"/>
      <w:r w:rsidR="00D30C94">
        <w:rPr>
          <w:lang w:val="en-US"/>
        </w:rPr>
        <w:t>standardisation</w:t>
      </w:r>
      <w:proofErr w:type="spellEnd"/>
      <w:r w:rsidR="00D30C94">
        <w:rPr>
          <w:lang w:val="en-US"/>
        </w:rPr>
        <w:t xml:space="preserve"> by age, </w:t>
      </w:r>
      <w:proofErr w:type="gramStart"/>
      <w:r w:rsidR="00D30C94">
        <w:rPr>
          <w:lang w:val="en-US"/>
        </w:rPr>
        <w:t>sex</w:t>
      </w:r>
      <w:proofErr w:type="gramEnd"/>
      <w:r w:rsidR="00D30C94">
        <w:rPr>
          <w:lang w:val="en-US"/>
        </w:rPr>
        <w:t xml:space="preserve"> and socioeconomic disadvantage.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6"/>
        <w:gridCol w:w="1525"/>
        <w:gridCol w:w="1475"/>
        <w:gridCol w:w="1116"/>
        <w:gridCol w:w="2173"/>
      </w:tblGrid>
      <w:tr w:rsidR="004D7C35" w:rsidRPr="00422B24" w14:paraId="2BC514F4" w14:textId="77777777" w:rsidTr="00AB55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114E35" w14:textId="77777777" w:rsidR="004D7C35" w:rsidRPr="00422B24" w:rsidRDefault="004D7C35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F23998" w14:textId="77777777" w:rsidR="004D7C35" w:rsidRPr="00422B24" w:rsidRDefault="004D7C35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85D1A" w14:textId="77777777" w:rsidR="004D7C35" w:rsidRPr="00422B24" w:rsidRDefault="004D7C35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51360" w14:textId="09AA882E" w:rsidR="004D7C35" w:rsidRPr="00422B24" w:rsidRDefault="004D7C35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</w:t>
            </w: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Rate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(per 1000 person years)</w:t>
            </w:r>
          </w:p>
        </w:tc>
      </w:tr>
      <w:tr w:rsidR="00422B24" w:rsidRPr="00422B24" w14:paraId="4A3356B0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C1AEA1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lang w:eastAsia="en-AU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553619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092E3B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Person-years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3F5C69" w14:textId="77777777" w:rsidR="00422B24" w:rsidRPr="00422B24" w:rsidRDefault="00422B24" w:rsidP="004D7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Crude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8ECDB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Standardised (95% CI)</w:t>
            </w:r>
          </w:p>
        </w:tc>
      </w:tr>
      <w:tr w:rsidR="00422B24" w:rsidRPr="00422B24" w14:paraId="77C59EC2" w14:textId="77777777" w:rsidTr="00422B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918291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All procedures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4ACC58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8E1361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8A27AF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14E4C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2B24" w:rsidRPr="00422B24" w14:paraId="58A1E32F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88111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No MH service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C6E7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1,201,845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F731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6,228,641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E779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193.0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CA2C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192.7 (192.3 - 193.0)</w:t>
            </w:r>
          </w:p>
        </w:tc>
      </w:tr>
      <w:tr w:rsidR="00422B24" w:rsidRPr="00422B24" w14:paraId="0FF90785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5CD0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SPMI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7020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6,311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704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34,410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999B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183.4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972A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213.5 (207.7 - 219.2)</w:t>
            </w:r>
          </w:p>
        </w:tc>
      </w:tr>
      <w:tr w:rsidR="00422B24" w:rsidRPr="00422B24" w14:paraId="1D3BA9FB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223F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Other MH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A08AD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12,993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BC82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41,910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BBA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310.0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47E2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373.0 (366.2 - 379.8)</w:t>
            </w:r>
          </w:p>
        </w:tc>
      </w:tr>
      <w:tr w:rsidR="00422B24" w:rsidRPr="00422B24" w14:paraId="7176B240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F4C5D9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Planned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6CA2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54BF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8F7BB2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895460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2B24" w:rsidRPr="00422B24" w14:paraId="6F5BD3E0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371C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No MH service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22BC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1,041,574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5FFC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6,228,641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30A6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167.2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0B92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167.0 (166.6 - 167.3)</w:t>
            </w:r>
          </w:p>
        </w:tc>
      </w:tr>
      <w:tr w:rsidR="00422B24" w:rsidRPr="00422B24" w14:paraId="5D41D1FF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31AF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SPMI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AE36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4,548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30F02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34,410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8DBB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132.2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F5C7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157.6 (152.6 - 162.6)</w:t>
            </w:r>
          </w:p>
        </w:tc>
      </w:tr>
      <w:tr w:rsidR="00422B24" w:rsidRPr="00422B24" w14:paraId="02DA1F78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0378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Other MH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F8A5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8,659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BAEB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41,910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8F34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206.6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A2D1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247.1 (241.6 - 252.7)</w:t>
            </w:r>
          </w:p>
        </w:tc>
      </w:tr>
      <w:tr w:rsidR="00422B24" w:rsidRPr="00422B24" w14:paraId="7E57BB5A" w14:textId="77777777" w:rsidTr="00422B2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F5F585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Emergency procedures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D8A84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BC04F9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178BB8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22B24" w:rsidRPr="00422B24" w14:paraId="432AF014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5DA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No MH service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500DF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160,271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5B1B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6,228,641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EA76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6791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25.7 (25.6 - 25.8)</w:t>
            </w:r>
          </w:p>
        </w:tc>
      </w:tr>
      <w:tr w:rsidR="00422B24" w:rsidRPr="00422B24" w14:paraId="0F829C53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1744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SPMI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6A0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1,763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CF68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34,410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B774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51.2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9B7C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56.2 (53.3 - 59.1)</w:t>
            </w:r>
          </w:p>
        </w:tc>
      </w:tr>
      <w:tr w:rsidR="00422B24" w:rsidRPr="00422B24" w14:paraId="14F6CEE1" w14:textId="77777777" w:rsidTr="00422B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3C774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Other MH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77749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4,334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7E7F3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41,910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A2EDA" w14:textId="77777777" w:rsidR="00422B24" w:rsidRPr="00422B24" w:rsidRDefault="00422B24" w:rsidP="00422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103.4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53FD" w14:textId="77777777" w:rsidR="00422B24" w:rsidRPr="00422B24" w:rsidRDefault="00422B24" w:rsidP="00422B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2B24">
              <w:rPr>
                <w:rFonts w:ascii="Calibri" w:eastAsia="Times New Roman" w:hAnsi="Calibri" w:cs="Calibri"/>
                <w:color w:val="000000"/>
                <w:lang w:eastAsia="en-AU"/>
              </w:rPr>
              <w:t>125.9 (121.9 - 129.8)</w:t>
            </w:r>
          </w:p>
        </w:tc>
      </w:tr>
    </w:tbl>
    <w:p w14:paraId="2B9DD012" w14:textId="77777777" w:rsidR="00630375" w:rsidRDefault="00630375">
      <w:pPr>
        <w:rPr>
          <w:lang w:val="en-US"/>
        </w:rPr>
      </w:pPr>
      <w:r>
        <w:rPr>
          <w:lang w:val="en-US"/>
        </w:rPr>
        <w:br w:type="page"/>
      </w:r>
    </w:p>
    <w:p w14:paraId="3519ACD9" w14:textId="0A98C903" w:rsidR="00F51B1C" w:rsidRPr="00F046C3" w:rsidRDefault="00630375" w:rsidP="0078618C">
      <w:pPr>
        <w:spacing w:line="240" w:lineRule="auto"/>
        <w:rPr>
          <w:lang w:val="en-US"/>
        </w:rPr>
      </w:pPr>
      <w:r>
        <w:rPr>
          <w:lang w:val="en-US"/>
        </w:rPr>
        <w:lastRenderedPageBreak/>
        <w:t>S4</w:t>
      </w:r>
      <w:r w:rsidR="006100C5">
        <w:rPr>
          <w:lang w:val="en-US"/>
        </w:rPr>
        <w:t xml:space="preserve">: </w:t>
      </w:r>
      <w:r w:rsidR="00E33E46">
        <w:rPr>
          <w:lang w:val="en-US"/>
        </w:rPr>
        <w:t>Subgroup analysis</w:t>
      </w:r>
      <w:r w:rsidR="00F05CE7">
        <w:rPr>
          <w:lang w:val="en-US"/>
        </w:rPr>
        <w:t xml:space="preserve">, </w:t>
      </w:r>
      <w:r w:rsidR="008F74A8">
        <w:rPr>
          <w:lang w:val="en-US"/>
        </w:rPr>
        <w:t xml:space="preserve">separately </w:t>
      </w:r>
      <w:r w:rsidR="003111CC">
        <w:rPr>
          <w:lang w:val="en-US"/>
        </w:rPr>
        <w:t xml:space="preserve">comparing people with </w:t>
      </w:r>
      <w:r w:rsidR="006100C5">
        <w:rPr>
          <w:lang w:val="en-US"/>
        </w:rPr>
        <w:t>Severe and Persistent Mental Illness</w:t>
      </w:r>
      <w:r w:rsidR="00D80736">
        <w:rPr>
          <w:lang w:val="en-US"/>
        </w:rPr>
        <w:t xml:space="preserve"> </w:t>
      </w:r>
      <w:r w:rsidR="003111CC">
        <w:rPr>
          <w:lang w:val="en-US"/>
        </w:rPr>
        <w:t xml:space="preserve">and </w:t>
      </w:r>
      <w:r w:rsidR="008F74A8">
        <w:rPr>
          <w:lang w:val="en-US"/>
        </w:rPr>
        <w:t>O</w:t>
      </w:r>
      <w:r w:rsidR="003111CC">
        <w:rPr>
          <w:lang w:val="en-US"/>
        </w:rPr>
        <w:t xml:space="preserve">ther </w:t>
      </w:r>
      <w:r w:rsidR="008F74A8">
        <w:rPr>
          <w:lang w:val="en-US"/>
        </w:rPr>
        <w:t>M</w:t>
      </w:r>
      <w:r w:rsidR="003111CC">
        <w:rPr>
          <w:lang w:val="en-US"/>
        </w:rPr>
        <w:t xml:space="preserve">ental </w:t>
      </w:r>
      <w:r w:rsidR="008F74A8">
        <w:rPr>
          <w:lang w:val="en-US"/>
        </w:rPr>
        <w:t>H</w:t>
      </w:r>
      <w:r w:rsidR="003111CC">
        <w:rPr>
          <w:lang w:val="en-US"/>
        </w:rPr>
        <w:t xml:space="preserve">ealth </w:t>
      </w:r>
      <w:r w:rsidR="008F74A8">
        <w:rPr>
          <w:lang w:val="en-US"/>
        </w:rPr>
        <w:t>S</w:t>
      </w:r>
      <w:r w:rsidR="003111CC">
        <w:rPr>
          <w:lang w:val="en-US"/>
        </w:rPr>
        <w:t xml:space="preserve">ervice </w:t>
      </w:r>
      <w:r w:rsidR="008F74A8">
        <w:rPr>
          <w:lang w:val="en-US"/>
        </w:rPr>
        <w:t>U</w:t>
      </w:r>
      <w:r w:rsidR="003111CC">
        <w:rPr>
          <w:lang w:val="en-US"/>
        </w:rPr>
        <w:t xml:space="preserve">sers </w:t>
      </w:r>
      <w:r w:rsidR="00F05CE7">
        <w:rPr>
          <w:lang w:val="en-US"/>
        </w:rPr>
        <w:t>(MH) to the rest of the NSW adult population (No MH)</w:t>
      </w:r>
      <w:r w:rsidR="00D80736">
        <w:rPr>
          <w:lang w:val="en-US"/>
        </w:rPr>
        <w:t>, showing incidence rate ratios</w:t>
      </w:r>
      <w:r w:rsidR="004C0582">
        <w:rPr>
          <w:lang w:val="en-US"/>
        </w:rPr>
        <w:t xml:space="preserve"> (</w:t>
      </w:r>
      <w:proofErr w:type="spellStart"/>
      <w:r w:rsidR="004C0582">
        <w:rPr>
          <w:lang w:val="en-US"/>
        </w:rPr>
        <w:t>aIRR</w:t>
      </w:r>
      <w:proofErr w:type="spellEnd"/>
      <w:r w:rsidR="004C0582">
        <w:rPr>
          <w:lang w:val="en-US"/>
        </w:rPr>
        <w:t xml:space="preserve">) adjusted for age, </w:t>
      </w:r>
      <w:proofErr w:type="gramStart"/>
      <w:r w:rsidR="004C0582">
        <w:rPr>
          <w:lang w:val="en-US"/>
        </w:rPr>
        <w:t>sex</w:t>
      </w:r>
      <w:proofErr w:type="gramEnd"/>
      <w:r w:rsidR="004C0582">
        <w:rPr>
          <w:lang w:val="en-US"/>
        </w:rPr>
        <w:t xml:space="preserve"> and socioeconomic disadvantage. </w:t>
      </w:r>
    </w:p>
    <w:p w14:paraId="24DEA8E7" w14:textId="5AB55746" w:rsidR="00C738C8" w:rsidRDefault="003111CC" w:rsidP="004C0582">
      <w:pPr>
        <w:rPr>
          <w:lang w:val="en-US"/>
        </w:rPr>
      </w:pPr>
      <w:r w:rsidRPr="003000B0">
        <w:rPr>
          <w:noProof/>
        </w:rPr>
        <w:drawing>
          <wp:anchor distT="0" distB="0" distL="114300" distR="114300" simplePos="0" relativeHeight="251658240" behindDoc="0" locked="0" layoutInCell="1" allowOverlap="1" wp14:anchorId="2FF2545B" wp14:editId="21598867">
            <wp:simplePos x="0" y="0"/>
            <wp:positionH relativeFrom="margin">
              <wp:align>left</wp:align>
            </wp:positionH>
            <wp:positionV relativeFrom="paragraph">
              <wp:posOffset>63787</wp:posOffset>
            </wp:positionV>
            <wp:extent cx="7357574" cy="54013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74" cy="54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05423" w14:textId="77777777" w:rsidR="006F01CD" w:rsidRPr="006F01CD" w:rsidRDefault="006F01CD" w:rsidP="006F01CD">
      <w:pPr>
        <w:rPr>
          <w:lang w:val="en-US"/>
        </w:rPr>
      </w:pPr>
    </w:p>
    <w:p w14:paraId="74A1E994" w14:textId="77777777" w:rsidR="006F01CD" w:rsidRPr="006F01CD" w:rsidRDefault="006F01CD" w:rsidP="006F01CD">
      <w:pPr>
        <w:rPr>
          <w:lang w:val="en-US"/>
        </w:rPr>
      </w:pPr>
    </w:p>
    <w:p w14:paraId="22CC45D8" w14:textId="77777777" w:rsidR="006F01CD" w:rsidRPr="006F01CD" w:rsidRDefault="006F01CD" w:rsidP="006F01CD">
      <w:pPr>
        <w:rPr>
          <w:lang w:val="en-US"/>
        </w:rPr>
      </w:pPr>
    </w:p>
    <w:p w14:paraId="48639B56" w14:textId="77777777" w:rsidR="006F01CD" w:rsidRPr="006F01CD" w:rsidRDefault="006F01CD" w:rsidP="006F01CD">
      <w:pPr>
        <w:rPr>
          <w:lang w:val="en-US"/>
        </w:rPr>
      </w:pPr>
    </w:p>
    <w:p w14:paraId="4C713867" w14:textId="77777777" w:rsidR="006F01CD" w:rsidRPr="006F01CD" w:rsidRDefault="006F01CD" w:rsidP="006F01CD">
      <w:pPr>
        <w:rPr>
          <w:lang w:val="en-US"/>
        </w:rPr>
      </w:pPr>
    </w:p>
    <w:p w14:paraId="08650A30" w14:textId="77777777" w:rsidR="006F01CD" w:rsidRPr="006F01CD" w:rsidRDefault="006F01CD" w:rsidP="006F01CD">
      <w:pPr>
        <w:rPr>
          <w:lang w:val="en-US"/>
        </w:rPr>
      </w:pPr>
    </w:p>
    <w:p w14:paraId="0E11ECFD" w14:textId="77777777" w:rsidR="006F01CD" w:rsidRPr="006F01CD" w:rsidRDefault="006F01CD" w:rsidP="006F01CD">
      <w:pPr>
        <w:rPr>
          <w:lang w:val="en-US"/>
        </w:rPr>
      </w:pPr>
    </w:p>
    <w:p w14:paraId="5D0F2622" w14:textId="77777777" w:rsidR="006F01CD" w:rsidRPr="006F01CD" w:rsidRDefault="006F01CD" w:rsidP="006F01CD">
      <w:pPr>
        <w:rPr>
          <w:lang w:val="en-US"/>
        </w:rPr>
      </w:pPr>
    </w:p>
    <w:p w14:paraId="362CD5D1" w14:textId="77777777" w:rsidR="006F01CD" w:rsidRPr="006F01CD" w:rsidRDefault="006F01CD" w:rsidP="006F01CD">
      <w:pPr>
        <w:rPr>
          <w:lang w:val="en-US"/>
        </w:rPr>
      </w:pPr>
    </w:p>
    <w:p w14:paraId="1417E361" w14:textId="77777777" w:rsidR="006F01CD" w:rsidRPr="006F01CD" w:rsidRDefault="006F01CD" w:rsidP="006F01CD">
      <w:pPr>
        <w:rPr>
          <w:lang w:val="en-US"/>
        </w:rPr>
      </w:pPr>
    </w:p>
    <w:p w14:paraId="49359826" w14:textId="77777777" w:rsidR="006F01CD" w:rsidRPr="006F01CD" w:rsidRDefault="006F01CD" w:rsidP="006F01CD">
      <w:pPr>
        <w:rPr>
          <w:lang w:val="en-US"/>
        </w:rPr>
      </w:pPr>
    </w:p>
    <w:p w14:paraId="23917C7B" w14:textId="77777777" w:rsidR="006F01CD" w:rsidRPr="006F01CD" w:rsidRDefault="006F01CD" w:rsidP="006F01CD">
      <w:pPr>
        <w:rPr>
          <w:lang w:val="en-US"/>
        </w:rPr>
      </w:pPr>
    </w:p>
    <w:p w14:paraId="70EC4D44" w14:textId="77777777" w:rsidR="006F01CD" w:rsidRPr="006F01CD" w:rsidRDefault="006F01CD" w:rsidP="006F01CD">
      <w:pPr>
        <w:rPr>
          <w:lang w:val="en-US"/>
        </w:rPr>
      </w:pPr>
    </w:p>
    <w:p w14:paraId="7511FB8B" w14:textId="77777777" w:rsidR="006F01CD" w:rsidRPr="006F01CD" w:rsidRDefault="006F01CD" w:rsidP="006F01CD">
      <w:pPr>
        <w:rPr>
          <w:lang w:val="en-US"/>
        </w:rPr>
      </w:pPr>
    </w:p>
    <w:p w14:paraId="7009765C" w14:textId="77777777" w:rsidR="006F01CD" w:rsidRPr="006F01CD" w:rsidRDefault="006F01CD" w:rsidP="006F01CD">
      <w:pPr>
        <w:rPr>
          <w:lang w:val="en-US"/>
        </w:rPr>
      </w:pPr>
    </w:p>
    <w:p w14:paraId="67A6C075" w14:textId="77777777" w:rsidR="006F01CD" w:rsidRPr="006F01CD" w:rsidRDefault="006F01CD" w:rsidP="006F01CD">
      <w:pPr>
        <w:rPr>
          <w:lang w:val="en-US"/>
        </w:rPr>
      </w:pPr>
    </w:p>
    <w:p w14:paraId="3A27C46B" w14:textId="77777777" w:rsidR="006F01CD" w:rsidRPr="006F01CD" w:rsidRDefault="006F01CD" w:rsidP="006F01CD">
      <w:pPr>
        <w:rPr>
          <w:lang w:val="en-US"/>
        </w:rPr>
      </w:pPr>
    </w:p>
    <w:p w14:paraId="7FCE84E6" w14:textId="77777777" w:rsidR="006F01CD" w:rsidRPr="006F01CD" w:rsidRDefault="006F01CD" w:rsidP="006F01CD">
      <w:pPr>
        <w:rPr>
          <w:lang w:val="en-US"/>
        </w:rPr>
      </w:pPr>
    </w:p>
    <w:p w14:paraId="54D0F608" w14:textId="41D97C34" w:rsidR="006F01CD" w:rsidRPr="006F01CD" w:rsidRDefault="006F01CD" w:rsidP="006F01CD">
      <w:pPr>
        <w:spacing w:line="240" w:lineRule="auto"/>
        <w:rPr>
          <w:lang w:val="en-US"/>
        </w:rPr>
      </w:pPr>
      <w:r w:rsidRPr="00B27404">
        <w:rPr>
          <w:sz w:val="18"/>
          <w:szCs w:val="18"/>
          <w:lang w:val="en-US"/>
        </w:rPr>
        <w:t>Notes: (MH) Mental Health</w:t>
      </w:r>
      <w:r>
        <w:rPr>
          <w:sz w:val="18"/>
          <w:szCs w:val="18"/>
          <w:lang w:val="en-US"/>
        </w:rPr>
        <w:t xml:space="preserve"> subgroup</w:t>
      </w:r>
      <w:r w:rsidRPr="00B27404">
        <w:rPr>
          <w:sz w:val="18"/>
          <w:szCs w:val="18"/>
          <w:lang w:val="en-US"/>
        </w:rPr>
        <w:t>. (</w:t>
      </w:r>
      <w:r>
        <w:rPr>
          <w:sz w:val="18"/>
          <w:szCs w:val="18"/>
          <w:lang w:val="en-US"/>
        </w:rPr>
        <w:t>No MH</w:t>
      </w:r>
      <w:r w:rsidRPr="00B27404">
        <w:rPr>
          <w:sz w:val="18"/>
          <w:szCs w:val="18"/>
          <w:lang w:val="en-US"/>
        </w:rPr>
        <w:t>)</w:t>
      </w:r>
      <w:r w:rsidR="006C1FBE">
        <w:rPr>
          <w:sz w:val="18"/>
          <w:szCs w:val="18"/>
          <w:lang w:val="en-US"/>
        </w:rPr>
        <w:t xml:space="preserve"> other NSW residents.</w:t>
      </w:r>
      <w:r w:rsidRPr="00B27404">
        <w:rPr>
          <w:sz w:val="18"/>
          <w:szCs w:val="18"/>
          <w:lang w:val="en-US"/>
        </w:rPr>
        <w:t xml:space="preserve"> </w:t>
      </w:r>
      <w:r w:rsidR="006C1FBE">
        <w:rPr>
          <w:sz w:val="18"/>
          <w:szCs w:val="18"/>
          <w:lang w:val="en-US"/>
        </w:rPr>
        <w:t>(</w:t>
      </w:r>
      <w:proofErr w:type="spellStart"/>
      <w:r w:rsidR="006C1FBE">
        <w:rPr>
          <w:sz w:val="18"/>
          <w:szCs w:val="18"/>
          <w:lang w:val="en-US"/>
        </w:rPr>
        <w:t>aIRR</w:t>
      </w:r>
      <w:proofErr w:type="spellEnd"/>
      <w:r w:rsidR="006C1FBE">
        <w:rPr>
          <w:sz w:val="18"/>
          <w:szCs w:val="18"/>
          <w:lang w:val="en-US"/>
        </w:rPr>
        <w:t xml:space="preserve">) </w:t>
      </w:r>
      <w:r w:rsidRPr="00B27404">
        <w:rPr>
          <w:sz w:val="18"/>
          <w:szCs w:val="18"/>
          <w:lang w:val="en-US"/>
        </w:rPr>
        <w:t>Adjusted Incidence Rate Ratio. (CI) Confidence Interval.</w:t>
      </w:r>
      <w:r w:rsidR="006C1FBE">
        <w:rPr>
          <w:sz w:val="18"/>
          <w:szCs w:val="18"/>
          <w:lang w:val="en-US"/>
        </w:rPr>
        <w:t xml:space="preserve"> </w:t>
      </w:r>
      <w:r w:rsidR="009E0DC4">
        <w:rPr>
          <w:sz w:val="18"/>
          <w:szCs w:val="18"/>
          <w:lang w:val="en-US"/>
        </w:rPr>
        <w:t xml:space="preserve"> </w:t>
      </w:r>
      <w:proofErr w:type="spellStart"/>
      <w:r w:rsidR="009E0DC4">
        <w:rPr>
          <w:sz w:val="18"/>
          <w:szCs w:val="18"/>
          <w:lang w:val="en-US"/>
        </w:rPr>
        <w:t>aIRR</w:t>
      </w:r>
      <w:proofErr w:type="spellEnd"/>
      <w:r w:rsidR="009E0DC4">
        <w:rPr>
          <w:sz w:val="18"/>
          <w:szCs w:val="18"/>
          <w:lang w:val="en-US"/>
        </w:rPr>
        <w:t xml:space="preserve"> not calculated where number of procedures in MH subgroup is less than 20. </w:t>
      </w:r>
      <w:r>
        <w:rPr>
          <w:sz w:val="18"/>
          <w:szCs w:val="18"/>
          <w:lang w:val="en-US"/>
        </w:rPr>
        <w:t xml:space="preserve"> </w:t>
      </w:r>
    </w:p>
    <w:sectPr w:rsidR="006F01CD" w:rsidRPr="006F01CD" w:rsidSect="009E0DC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3B6B" w14:textId="77777777" w:rsidR="00FE7D5A" w:rsidRDefault="00FE7D5A" w:rsidP="000C6F4F">
      <w:pPr>
        <w:spacing w:after="0" w:line="240" w:lineRule="auto"/>
      </w:pPr>
      <w:r>
        <w:separator/>
      </w:r>
    </w:p>
  </w:endnote>
  <w:endnote w:type="continuationSeparator" w:id="0">
    <w:p w14:paraId="5CB6213D" w14:textId="77777777" w:rsidR="00FE7D5A" w:rsidRDefault="00FE7D5A" w:rsidP="000C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16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9EA92" w14:textId="020C0C5D" w:rsidR="000C6F4F" w:rsidRDefault="000C6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DAEAB" w14:textId="77777777" w:rsidR="000C6F4F" w:rsidRDefault="000C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CD2B" w14:textId="77777777" w:rsidR="00FE7D5A" w:rsidRDefault="00FE7D5A" w:rsidP="000C6F4F">
      <w:pPr>
        <w:spacing w:after="0" w:line="240" w:lineRule="auto"/>
      </w:pPr>
      <w:r>
        <w:separator/>
      </w:r>
    </w:p>
  </w:footnote>
  <w:footnote w:type="continuationSeparator" w:id="0">
    <w:p w14:paraId="3473B8AE" w14:textId="77777777" w:rsidR="00FE7D5A" w:rsidRDefault="00FE7D5A" w:rsidP="000C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C6"/>
    <w:multiLevelType w:val="hybridMultilevel"/>
    <w:tmpl w:val="4CA0FDB2"/>
    <w:lvl w:ilvl="0" w:tplc="7FA42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4F8"/>
    <w:multiLevelType w:val="hybridMultilevel"/>
    <w:tmpl w:val="D1147EC0"/>
    <w:lvl w:ilvl="0" w:tplc="BF5A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184B"/>
    <w:multiLevelType w:val="hybridMultilevel"/>
    <w:tmpl w:val="4372F992"/>
    <w:lvl w:ilvl="0" w:tplc="6608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415"/>
    <w:multiLevelType w:val="hybridMultilevel"/>
    <w:tmpl w:val="384298C4"/>
    <w:lvl w:ilvl="0" w:tplc="876E23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5D9E"/>
    <w:multiLevelType w:val="hybridMultilevel"/>
    <w:tmpl w:val="077A315A"/>
    <w:lvl w:ilvl="0" w:tplc="8FF8B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1A02"/>
    <w:multiLevelType w:val="hybridMultilevel"/>
    <w:tmpl w:val="E954E9C2"/>
    <w:lvl w:ilvl="0" w:tplc="69FC57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16BE4"/>
    <w:multiLevelType w:val="hybridMultilevel"/>
    <w:tmpl w:val="4F76C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1BB3"/>
    <w:multiLevelType w:val="hybridMultilevel"/>
    <w:tmpl w:val="3E4E8CC0"/>
    <w:lvl w:ilvl="0" w:tplc="5BD2E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0CC5"/>
    <w:multiLevelType w:val="hybridMultilevel"/>
    <w:tmpl w:val="3D16FA9E"/>
    <w:lvl w:ilvl="0" w:tplc="69FC57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4476"/>
    <w:multiLevelType w:val="hybridMultilevel"/>
    <w:tmpl w:val="737CBBAC"/>
    <w:lvl w:ilvl="0" w:tplc="AE62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21171"/>
    <w:multiLevelType w:val="hybridMultilevel"/>
    <w:tmpl w:val="218C4A1A"/>
    <w:lvl w:ilvl="0" w:tplc="41CA4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1583"/>
    <w:multiLevelType w:val="hybridMultilevel"/>
    <w:tmpl w:val="5B74C502"/>
    <w:lvl w:ilvl="0" w:tplc="8D58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79B"/>
    <w:multiLevelType w:val="hybridMultilevel"/>
    <w:tmpl w:val="31AE5124"/>
    <w:lvl w:ilvl="0" w:tplc="69FC57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A0A"/>
    <w:multiLevelType w:val="hybridMultilevel"/>
    <w:tmpl w:val="B38EF830"/>
    <w:lvl w:ilvl="0" w:tplc="74962B16">
      <w:numFmt w:val="bullet"/>
      <w:pStyle w:val="EndNoteBibliography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F10E6"/>
    <w:multiLevelType w:val="hybridMultilevel"/>
    <w:tmpl w:val="E0967C9A"/>
    <w:lvl w:ilvl="0" w:tplc="6608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63C63"/>
    <w:multiLevelType w:val="hybridMultilevel"/>
    <w:tmpl w:val="E9865CB8"/>
    <w:lvl w:ilvl="0" w:tplc="6608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7E29"/>
    <w:multiLevelType w:val="hybridMultilevel"/>
    <w:tmpl w:val="1B26E92A"/>
    <w:lvl w:ilvl="0" w:tplc="AA74D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8725E"/>
    <w:multiLevelType w:val="hybridMultilevel"/>
    <w:tmpl w:val="F3AE1370"/>
    <w:lvl w:ilvl="0" w:tplc="99304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90E40"/>
    <w:multiLevelType w:val="hybridMultilevel"/>
    <w:tmpl w:val="F7E0E092"/>
    <w:lvl w:ilvl="0" w:tplc="EA681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1101">
    <w:abstractNumId w:val="2"/>
  </w:num>
  <w:num w:numId="2" w16cid:durableId="1704013018">
    <w:abstractNumId w:val="16"/>
  </w:num>
  <w:num w:numId="3" w16cid:durableId="564804035">
    <w:abstractNumId w:val="13"/>
  </w:num>
  <w:num w:numId="4" w16cid:durableId="1697000283">
    <w:abstractNumId w:val="10"/>
  </w:num>
  <w:num w:numId="5" w16cid:durableId="587155312">
    <w:abstractNumId w:val="0"/>
  </w:num>
  <w:num w:numId="6" w16cid:durableId="533731071">
    <w:abstractNumId w:val="1"/>
  </w:num>
  <w:num w:numId="7" w16cid:durableId="1845582669">
    <w:abstractNumId w:val="17"/>
  </w:num>
  <w:num w:numId="8" w16cid:durableId="74087128">
    <w:abstractNumId w:val="11"/>
  </w:num>
  <w:num w:numId="9" w16cid:durableId="337273710">
    <w:abstractNumId w:val="14"/>
  </w:num>
  <w:num w:numId="10" w16cid:durableId="1372001315">
    <w:abstractNumId w:val="15"/>
  </w:num>
  <w:num w:numId="11" w16cid:durableId="1345403803">
    <w:abstractNumId w:val="18"/>
  </w:num>
  <w:num w:numId="12" w16cid:durableId="1244147365">
    <w:abstractNumId w:val="7"/>
  </w:num>
  <w:num w:numId="13" w16cid:durableId="2137597164">
    <w:abstractNumId w:val="12"/>
  </w:num>
  <w:num w:numId="14" w16cid:durableId="330722015">
    <w:abstractNumId w:val="8"/>
  </w:num>
  <w:num w:numId="15" w16cid:durableId="441652509">
    <w:abstractNumId w:val="5"/>
  </w:num>
  <w:num w:numId="16" w16cid:durableId="1128670119">
    <w:abstractNumId w:val="6"/>
  </w:num>
  <w:num w:numId="17" w16cid:durableId="614747703">
    <w:abstractNumId w:val="9"/>
  </w:num>
  <w:num w:numId="18" w16cid:durableId="465006444">
    <w:abstractNumId w:val="4"/>
  </w:num>
  <w:num w:numId="19" w16cid:durableId="1849711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 PG Upd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stxe5zqddvp7e2df4pvds9sr92052w0stz&quot;&gt;MHLL new 20 02 19&lt;record-ids&gt;&lt;item&gt;109&lt;/item&gt;&lt;item&gt;547&lt;/item&gt;&lt;item&gt;702&lt;/item&gt;&lt;item&gt;704&lt;/item&gt;&lt;item&gt;716&lt;/item&gt;&lt;item&gt;763&lt;/item&gt;&lt;item&gt;764&lt;/item&gt;&lt;item&gt;848&lt;/item&gt;&lt;item&gt;938&lt;/item&gt;&lt;item&gt;1053&lt;/item&gt;&lt;item&gt;1361&lt;/item&gt;&lt;item&gt;1455&lt;/item&gt;&lt;item&gt;1480&lt;/item&gt;&lt;item&gt;1485&lt;/item&gt;&lt;item&gt;1539&lt;/item&gt;&lt;item&gt;1540&lt;/item&gt;&lt;item&gt;1541&lt;/item&gt;&lt;item&gt;1542&lt;/item&gt;&lt;item&gt;1543&lt;/item&gt;&lt;item&gt;1544&lt;/item&gt;&lt;item&gt;1545&lt;/item&gt;&lt;item&gt;1552&lt;/item&gt;&lt;item&gt;1554&lt;/item&gt;&lt;item&gt;1555&lt;/item&gt;&lt;item&gt;1557&lt;/item&gt;&lt;item&gt;1618&lt;/item&gt;&lt;item&gt;1619&lt;/item&gt;&lt;item&gt;1651&lt;/item&gt;&lt;item&gt;1654&lt;/item&gt;&lt;item&gt;1655&lt;/item&gt;&lt;item&gt;1687&lt;/item&gt;&lt;item&gt;1688&lt;/item&gt;&lt;item&gt;1689&lt;/item&gt;&lt;/record-ids&gt;&lt;/item&gt;&lt;/Libraries&gt;"/>
  </w:docVars>
  <w:rsids>
    <w:rsidRoot w:val="00991C03"/>
    <w:rsid w:val="00003E7B"/>
    <w:rsid w:val="00004703"/>
    <w:rsid w:val="00006290"/>
    <w:rsid w:val="00006E40"/>
    <w:rsid w:val="000074A8"/>
    <w:rsid w:val="0000755B"/>
    <w:rsid w:val="000108CD"/>
    <w:rsid w:val="00010BED"/>
    <w:rsid w:val="00010DC3"/>
    <w:rsid w:val="0001483C"/>
    <w:rsid w:val="00015276"/>
    <w:rsid w:val="0001761B"/>
    <w:rsid w:val="000204E6"/>
    <w:rsid w:val="00021A1A"/>
    <w:rsid w:val="00024635"/>
    <w:rsid w:val="000253D0"/>
    <w:rsid w:val="00025487"/>
    <w:rsid w:val="0002564C"/>
    <w:rsid w:val="00025EC4"/>
    <w:rsid w:val="0002734E"/>
    <w:rsid w:val="00030031"/>
    <w:rsid w:val="00031885"/>
    <w:rsid w:val="00033044"/>
    <w:rsid w:val="00033F71"/>
    <w:rsid w:val="00034E78"/>
    <w:rsid w:val="00035164"/>
    <w:rsid w:val="00042C7B"/>
    <w:rsid w:val="00045EAF"/>
    <w:rsid w:val="00045F88"/>
    <w:rsid w:val="00047314"/>
    <w:rsid w:val="00047BC5"/>
    <w:rsid w:val="00050A3F"/>
    <w:rsid w:val="00050C48"/>
    <w:rsid w:val="000512DD"/>
    <w:rsid w:val="00051493"/>
    <w:rsid w:val="000517CC"/>
    <w:rsid w:val="00051AAA"/>
    <w:rsid w:val="00052725"/>
    <w:rsid w:val="0005312B"/>
    <w:rsid w:val="000542EC"/>
    <w:rsid w:val="0005655C"/>
    <w:rsid w:val="0005717F"/>
    <w:rsid w:val="00057D64"/>
    <w:rsid w:val="00057F78"/>
    <w:rsid w:val="00062651"/>
    <w:rsid w:val="00062BFF"/>
    <w:rsid w:val="00064961"/>
    <w:rsid w:val="000666FB"/>
    <w:rsid w:val="000705D0"/>
    <w:rsid w:val="0007119F"/>
    <w:rsid w:val="00073C3B"/>
    <w:rsid w:val="00074936"/>
    <w:rsid w:val="00074EA1"/>
    <w:rsid w:val="0007556A"/>
    <w:rsid w:val="00075D49"/>
    <w:rsid w:val="00075E35"/>
    <w:rsid w:val="000763C2"/>
    <w:rsid w:val="00076B1B"/>
    <w:rsid w:val="00083272"/>
    <w:rsid w:val="0008465F"/>
    <w:rsid w:val="0008540C"/>
    <w:rsid w:val="00086473"/>
    <w:rsid w:val="000867AB"/>
    <w:rsid w:val="00090ED5"/>
    <w:rsid w:val="000917EE"/>
    <w:rsid w:val="00092CA3"/>
    <w:rsid w:val="00095672"/>
    <w:rsid w:val="0009790F"/>
    <w:rsid w:val="000A00EB"/>
    <w:rsid w:val="000A02AE"/>
    <w:rsid w:val="000A05FA"/>
    <w:rsid w:val="000A2700"/>
    <w:rsid w:val="000A5AD0"/>
    <w:rsid w:val="000A69E0"/>
    <w:rsid w:val="000A7468"/>
    <w:rsid w:val="000A7C72"/>
    <w:rsid w:val="000B0F1E"/>
    <w:rsid w:val="000B25E3"/>
    <w:rsid w:val="000B4768"/>
    <w:rsid w:val="000B4CE9"/>
    <w:rsid w:val="000B5F34"/>
    <w:rsid w:val="000B6B9C"/>
    <w:rsid w:val="000C092F"/>
    <w:rsid w:val="000C25CB"/>
    <w:rsid w:val="000C2752"/>
    <w:rsid w:val="000C278F"/>
    <w:rsid w:val="000C6A10"/>
    <w:rsid w:val="000C6F4F"/>
    <w:rsid w:val="000C7A7A"/>
    <w:rsid w:val="000D1AB7"/>
    <w:rsid w:val="000D1BEF"/>
    <w:rsid w:val="000D37FF"/>
    <w:rsid w:val="000D474D"/>
    <w:rsid w:val="000D4AD8"/>
    <w:rsid w:val="000D6B7A"/>
    <w:rsid w:val="000D7E1A"/>
    <w:rsid w:val="000E004F"/>
    <w:rsid w:val="000E336F"/>
    <w:rsid w:val="000E670B"/>
    <w:rsid w:val="000E76C6"/>
    <w:rsid w:val="000F0ED3"/>
    <w:rsid w:val="000F1A36"/>
    <w:rsid w:val="000F4162"/>
    <w:rsid w:val="000F55BB"/>
    <w:rsid w:val="000F6A1B"/>
    <w:rsid w:val="000F6F9B"/>
    <w:rsid w:val="00100562"/>
    <w:rsid w:val="00100E35"/>
    <w:rsid w:val="00104360"/>
    <w:rsid w:val="00105599"/>
    <w:rsid w:val="00105BAC"/>
    <w:rsid w:val="00105E04"/>
    <w:rsid w:val="0010668E"/>
    <w:rsid w:val="00107A9A"/>
    <w:rsid w:val="00107C6E"/>
    <w:rsid w:val="001101DD"/>
    <w:rsid w:val="00112303"/>
    <w:rsid w:val="0011253D"/>
    <w:rsid w:val="001143D6"/>
    <w:rsid w:val="00114EB7"/>
    <w:rsid w:val="00115AA1"/>
    <w:rsid w:val="0011765B"/>
    <w:rsid w:val="00121703"/>
    <w:rsid w:val="00121DFF"/>
    <w:rsid w:val="00122A9D"/>
    <w:rsid w:val="00122CB9"/>
    <w:rsid w:val="00125155"/>
    <w:rsid w:val="00125BD8"/>
    <w:rsid w:val="00126267"/>
    <w:rsid w:val="001276F5"/>
    <w:rsid w:val="00127D9D"/>
    <w:rsid w:val="00131E39"/>
    <w:rsid w:val="0013209B"/>
    <w:rsid w:val="001331AD"/>
    <w:rsid w:val="001378A6"/>
    <w:rsid w:val="00137AE0"/>
    <w:rsid w:val="00141E0D"/>
    <w:rsid w:val="00143B29"/>
    <w:rsid w:val="00143E12"/>
    <w:rsid w:val="00144CD1"/>
    <w:rsid w:val="0014566F"/>
    <w:rsid w:val="00146780"/>
    <w:rsid w:val="001503CA"/>
    <w:rsid w:val="00151134"/>
    <w:rsid w:val="00151AA4"/>
    <w:rsid w:val="00153E1E"/>
    <w:rsid w:val="00154902"/>
    <w:rsid w:val="0015514D"/>
    <w:rsid w:val="00156794"/>
    <w:rsid w:val="00157A2E"/>
    <w:rsid w:val="00157E34"/>
    <w:rsid w:val="0016174E"/>
    <w:rsid w:val="00161E59"/>
    <w:rsid w:val="00162E5E"/>
    <w:rsid w:val="00174A07"/>
    <w:rsid w:val="00177004"/>
    <w:rsid w:val="0018338A"/>
    <w:rsid w:val="00183686"/>
    <w:rsid w:val="00184DE2"/>
    <w:rsid w:val="00190BB4"/>
    <w:rsid w:val="00192077"/>
    <w:rsid w:val="0019231A"/>
    <w:rsid w:val="001926C6"/>
    <w:rsid w:val="00192A92"/>
    <w:rsid w:val="00192BA0"/>
    <w:rsid w:val="00192D7C"/>
    <w:rsid w:val="00192F5A"/>
    <w:rsid w:val="001932AE"/>
    <w:rsid w:val="0019473C"/>
    <w:rsid w:val="00195DEF"/>
    <w:rsid w:val="0019657F"/>
    <w:rsid w:val="00196B11"/>
    <w:rsid w:val="00197445"/>
    <w:rsid w:val="001A3D31"/>
    <w:rsid w:val="001A45E3"/>
    <w:rsid w:val="001A4A14"/>
    <w:rsid w:val="001A6DA1"/>
    <w:rsid w:val="001A6FC8"/>
    <w:rsid w:val="001A7BEC"/>
    <w:rsid w:val="001B0B46"/>
    <w:rsid w:val="001B1509"/>
    <w:rsid w:val="001B200E"/>
    <w:rsid w:val="001B29C0"/>
    <w:rsid w:val="001B29D9"/>
    <w:rsid w:val="001B2A43"/>
    <w:rsid w:val="001B3CE5"/>
    <w:rsid w:val="001B5519"/>
    <w:rsid w:val="001B776E"/>
    <w:rsid w:val="001B7807"/>
    <w:rsid w:val="001B7C44"/>
    <w:rsid w:val="001C264E"/>
    <w:rsid w:val="001C2832"/>
    <w:rsid w:val="001C45E0"/>
    <w:rsid w:val="001C64A6"/>
    <w:rsid w:val="001C6B34"/>
    <w:rsid w:val="001C72FE"/>
    <w:rsid w:val="001D0132"/>
    <w:rsid w:val="001D056D"/>
    <w:rsid w:val="001D12CF"/>
    <w:rsid w:val="001D2B97"/>
    <w:rsid w:val="001D4143"/>
    <w:rsid w:val="001D573B"/>
    <w:rsid w:val="001E0AA4"/>
    <w:rsid w:val="001E36CE"/>
    <w:rsid w:val="001E53E5"/>
    <w:rsid w:val="001F2C3A"/>
    <w:rsid w:val="001F5E2E"/>
    <w:rsid w:val="00201DF6"/>
    <w:rsid w:val="00204E9C"/>
    <w:rsid w:val="0020699D"/>
    <w:rsid w:val="002070B4"/>
    <w:rsid w:val="00213A70"/>
    <w:rsid w:val="00214171"/>
    <w:rsid w:val="002148BB"/>
    <w:rsid w:val="002152EB"/>
    <w:rsid w:val="002154F6"/>
    <w:rsid w:val="0021559A"/>
    <w:rsid w:val="002158CE"/>
    <w:rsid w:val="0021625A"/>
    <w:rsid w:val="00216679"/>
    <w:rsid w:val="002208F5"/>
    <w:rsid w:val="00222669"/>
    <w:rsid w:val="00225679"/>
    <w:rsid w:val="0023025D"/>
    <w:rsid w:val="00232324"/>
    <w:rsid w:val="002343CE"/>
    <w:rsid w:val="00235D23"/>
    <w:rsid w:val="00235E5B"/>
    <w:rsid w:val="0023680B"/>
    <w:rsid w:val="002373E5"/>
    <w:rsid w:val="00237EDF"/>
    <w:rsid w:val="00240B45"/>
    <w:rsid w:val="002417BD"/>
    <w:rsid w:val="00241B46"/>
    <w:rsid w:val="002431A4"/>
    <w:rsid w:val="002438E1"/>
    <w:rsid w:val="00243C37"/>
    <w:rsid w:val="0024475B"/>
    <w:rsid w:val="002447C4"/>
    <w:rsid w:val="00244C0D"/>
    <w:rsid w:val="002461A6"/>
    <w:rsid w:val="002470BE"/>
    <w:rsid w:val="00247CF4"/>
    <w:rsid w:val="00251E92"/>
    <w:rsid w:val="0025289A"/>
    <w:rsid w:val="00252D5C"/>
    <w:rsid w:val="00252F0F"/>
    <w:rsid w:val="0025412C"/>
    <w:rsid w:val="00254DC6"/>
    <w:rsid w:val="00255809"/>
    <w:rsid w:val="00256A26"/>
    <w:rsid w:val="0026033F"/>
    <w:rsid w:val="0026119B"/>
    <w:rsid w:val="00261F9F"/>
    <w:rsid w:val="0026219B"/>
    <w:rsid w:val="00264525"/>
    <w:rsid w:val="00265F59"/>
    <w:rsid w:val="00267C86"/>
    <w:rsid w:val="002701D4"/>
    <w:rsid w:val="00270FE0"/>
    <w:rsid w:val="00274115"/>
    <w:rsid w:val="00274EB1"/>
    <w:rsid w:val="00275ADF"/>
    <w:rsid w:val="00275B04"/>
    <w:rsid w:val="00277870"/>
    <w:rsid w:val="00277E7F"/>
    <w:rsid w:val="0028019A"/>
    <w:rsid w:val="0028388F"/>
    <w:rsid w:val="00283CC9"/>
    <w:rsid w:val="002847B4"/>
    <w:rsid w:val="0028568B"/>
    <w:rsid w:val="002900DB"/>
    <w:rsid w:val="00290186"/>
    <w:rsid w:val="00291EB0"/>
    <w:rsid w:val="002929AD"/>
    <w:rsid w:val="002967E0"/>
    <w:rsid w:val="00296C1B"/>
    <w:rsid w:val="00296C60"/>
    <w:rsid w:val="002A19DE"/>
    <w:rsid w:val="002A2226"/>
    <w:rsid w:val="002A7097"/>
    <w:rsid w:val="002A7504"/>
    <w:rsid w:val="002A7B4E"/>
    <w:rsid w:val="002A7D2A"/>
    <w:rsid w:val="002B0779"/>
    <w:rsid w:val="002B1AB4"/>
    <w:rsid w:val="002B27C4"/>
    <w:rsid w:val="002B2A11"/>
    <w:rsid w:val="002B2A30"/>
    <w:rsid w:val="002B5C18"/>
    <w:rsid w:val="002B70F7"/>
    <w:rsid w:val="002C23AE"/>
    <w:rsid w:val="002C28C9"/>
    <w:rsid w:val="002C3AD0"/>
    <w:rsid w:val="002C529E"/>
    <w:rsid w:val="002C643B"/>
    <w:rsid w:val="002D086D"/>
    <w:rsid w:val="002D12C7"/>
    <w:rsid w:val="002D2A10"/>
    <w:rsid w:val="002D504A"/>
    <w:rsid w:val="002D5D60"/>
    <w:rsid w:val="002D738D"/>
    <w:rsid w:val="002E13B6"/>
    <w:rsid w:val="002E3295"/>
    <w:rsid w:val="002E555F"/>
    <w:rsid w:val="002E5A6F"/>
    <w:rsid w:val="002E69A5"/>
    <w:rsid w:val="002E6EC7"/>
    <w:rsid w:val="002E74DC"/>
    <w:rsid w:val="002F1251"/>
    <w:rsid w:val="002F17D6"/>
    <w:rsid w:val="002F18D3"/>
    <w:rsid w:val="002F5929"/>
    <w:rsid w:val="003000B0"/>
    <w:rsid w:val="00300972"/>
    <w:rsid w:val="00300ADA"/>
    <w:rsid w:val="00300B63"/>
    <w:rsid w:val="00302496"/>
    <w:rsid w:val="0030333B"/>
    <w:rsid w:val="00306AE5"/>
    <w:rsid w:val="003111CC"/>
    <w:rsid w:val="003116C1"/>
    <w:rsid w:val="00313F70"/>
    <w:rsid w:val="00314B26"/>
    <w:rsid w:val="00316517"/>
    <w:rsid w:val="00317875"/>
    <w:rsid w:val="00320820"/>
    <w:rsid w:val="0032207A"/>
    <w:rsid w:val="0032363C"/>
    <w:rsid w:val="00324F3C"/>
    <w:rsid w:val="003265C4"/>
    <w:rsid w:val="00326976"/>
    <w:rsid w:val="0033032D"/>
    <w:rsid w:val="0033033B"/>
    <w:rsid w:val="003319A2"/>
    <w:rsid w:val="00331DC0"/>
    <w:rsid w:val="00331F54"/>
    <w:rsid w:val="003332FD"/>
    <w:rsid w:val="0033382D"/>
    <w:rsid w:val="00334580"/>
    <w:rsid w:val="003364A8"/>
    <w:rsid w:val="00336A09"/>
    <w:rsid w:val="003403B9"/>
    <w:rsid w:val="003414D0"/>
    <w:rsid w:val="00342C5E"/>
    <w:rsid w:val="00342FE7"/>
    <w:rsid w:val="00343DD0"/>
    <w:rsid w:val="003447D9"/>
    <w:rsid w:val="0034486D"/>
    <w:rsid w:val="00345D75"/>
    <w:rsid w:val="00346344"/>
    <w:rsid w:val="00347E2F"/>
    <w:rsid w:val="003505B1"/>
    <w:rsid w:val="003539F6"/>
    <w:rsid w:val="0035417E"/>
    <w:rsid w:val="00354ACD"/>
    <w:rsid w:val="00356585"/>
    <w:rsid w:val="0035693D"/>
    <w:rsid w:val="003601EA"/>
    <w:rsid w:val="00360D99"/>
    <w:rsid w:val="00362A87"/>
    <w:rsid w:val="0036311C"/>
    <w:rsid w:val="00365D14"/>
    <w:rsid w:val="00371430"/>
    <w:rsid w:val="003729AA"/>
    <w:rsid w:val="00372FEF"/>
    <w:rsid w:val="00384952"/>
    <w:rsid w:val="0038702D"/>
    <w:rsid w:val="00390B0F"/>
    <w:rsid w:val="00391289"/>
    <w:rsid w:val="00391390"/>
    <w:rsid w:val="00394858"/>
    <w:rsid w:val="00394EF9"/>
    <w:rsid w:val="003952B9"/>
    <w:rsid w:val="003953A3"/>
    <w:rsid w:val="00397F24"/>
    <w:rsid w:val="003A05BF"/>
    <w:rsid w:val="003A080F"/>
    <w:rsid w:val="003A094B"/>
    <w:rsid w:val="003A38D0"/>
    <w:rsid w:val="003A5C93"/>
    <w:rsid w:val="003A6117"/>
    <w:rsid w:val="003B0286"/>
    <w:rsid w:val="003B4AE0"/>
    <w:rsid w:val="003B7E67"/>
    <w:rsid w:val="003C09DC"/>
    <w:rsid w:val="003C2B80"/>
    <w:rsid w:val="003C33DB"/>
    <w:rsid w:val="003C4914"/>
    <w:rsid w:val="003C6A96"/>
    <w:rsid w:val="003C7934"/>
    <w:rsid w:val="003D2E6B"/>
    <w:rsid w:val="003D38D3"/>
    <w:rsid w:val="003D3CDD"/>
    <w:rsid w:val="003D5348"/>
    <w:rsid w:val="003D5D02"/>
    <w:rsid w:val="003D62E5"/>
    <w:rsid w:val="003D7109"/>
    <w:rsid w:val="003E1A6C"/>
    <w:rsid w:val="003E1B6F"/>
    <w:rsid w:val="003E23D1"/>
    <w:rsid w:val="003E3860"/>
    <w:rsid w:val="003E3F4E"/>
    <w:rsid w:val="003E40EB"/>
    <w:rsid w:val="003E5285"/>
    <w:rsid w:val="003E6BC5"/>
    <w:rsid w:val="003E6E23"/>
    <w:rsid w:val="003F1465"/>
    <w:rsid w:val="003F30D4"/>
    <w:rsid w:val="003F3DDF"/>
    <w:rsid w:val="003F3DE5"/>
    <w:rsid w:val="003F50C9"/>
    <w:rsid w:val="003F5145"/>
    <w:rsid w:val="003F628B"/>
    <w:rsid w:val="003F648B"/>
    <w:rsid w:val="003F6F57"/>
    <w:rsid w:val="00400E6F"/>
    <w:rsid w:val="00401AEE"/>
    <w:rsid w:val="004029DD"/>
    <w:rsid w:val="00402D35"/>
    <w:rsid w:val="00402DEB"/>
    <w:rsid w:val="004039C0"/>
    <w:rsid w:val="0040529A"/>
    <w:rsid w:val="00407FBD"/>
    <w:rsid w:val="004115BE"/>
    <w:rsid w:val="0041383F"/>
    <w:rsid w:val="00416824"/>
    <w:rsid w:val="004176AB"/>
    <w:rsid w:val="00417BE1"/>
    <w:rsid w:val="00422B24"/>
    <w:rsid w:val="0042602F"/>
    <w:rsid w:val="00431F26"/>
    <w:rsid w:val="00432AD3"/>
    <w:rsid w:val="00432C55"/>
    <w:rsid w:val="0043592F"/>
    <w:rsid w:val="004365F8"/>
    <w:rsid w:val="00436EB9"/>
    <w:rsid w:val="0043728D"/>
    <w:rsid w:val="004433D0"/>
    <w:rsid w:val="00443762"/>
    <w:rsid w:val="00443BD5"/>
    <w:rsid w:val="00445F7A"/>
    <w:rsid w:val="00446244"/>
    <w:rsid w:val="00447376"/>
    <w:rsid w:val="0045065D"/>
    <w:rsid w:val="00452500"/>
    <w:rsid w:val="00453EC6"/>
    <w:rsid w:val="00454129"/>
    <w:rsid w:val="00460B39"/>
    <w:rsid w:val="004614A9"/>
    <w:rsid w:val="0046156A"/>
    <w:rsid w:val="00463630"/>
    <w:rsid w:val="00463DF8"/>
    <w:rsid w:val="00466FD3"/>
    <w:rsid w:val="004670A2"/>
    <w:rsid w:val="00470AEE"/>
    <w:rsid w:val="00471FCE"/>
    <w:rsid w:val="00472AC2"/>
    <w:rsid w:val="0047300C"/>
    <w:rsid w:val="004737C5"/>
    <w:rsid w:val="00473C9D"/>
    <w:rsid w:val="0047417D"/>
    <w:rsid w:val="004747FF"/>
    <w:rsid w:val="004749BC"/>
    <w:rsid w:val="00475953"/>
    <w:rsid w:val="00475BEC"/>
    <w:rsid w:val="00477158"/>
    <w:rsid w:val="00477A43"/>
    <w:rsid w:val="00477A6D"/>
    <w:rsid w:val="004806FB"/>
    <w:rsid w:val="00481625"/>
    <w:rsid w:val="00482AC7"/>
    <w:rsid w:val="00483B52"/>
    <w:rsid w:val="00484AD0"/>
    <w:rsid w:val="00485619"/>
    <w:rsid w:val="00486977"/>
    <w:rsid w:val="00486AB7"/>
    <w:rsid w:val="004878B5"/>
    <w:rsid w:val="00490C43"/>
    <w:rsid w:val="00491581"/>
    <w:rsid w:val="00492495"/>
    <w:rsid w:val="00492A31"/>
    <w:rsid w:val="00495403"/>
    <w:rsid w:val="00496734"/>
    <w:rsid w:val="004978DF"/>
    <w:rsid w:val="004A0426"/>
    <w:rsid w:val="004A31AB"/>
    <w:rsid w:val="004A5897"/>
    <w:rsid w:val="004B5EEB"/>
    <w:rsid w:val="004B7F51"/>
    <w:rsid w:val="004C0582"/>
    <w:rsid w:val="004C121B"/>
    <w:rsid w:val="004C37F8"/>
    <w:rsid w:val="004C3E2F"/>
    <w:rsid w:val="004C4A28"/>
    <w:rsid w:val="004D0864"/>
    <w:rsid w:val="004D1FB1"/>
    <w:rsid w:val="004D2336"/>
    <w:rsid w:val="004D28C7"/>
    <w:rsid w:val="004D5854"/>
    <w:rsid w:val="004D6A66"/>
    <w:rsid w:val="004D6C31"/>
    <w:rsid w:val="004D7C35"/>
    <w:rsid w:val="004E00FA"/>
    <w:rsid w:val="004E081E"/>
    <w:rsid w:val="004E1183"/>
    <w:rsid w:val="004E20B9"/>
    <w:rsid w:val="004E3D70"/>
    <w:rsid w:val="004E434B"/>
    <w:rsid w:val="004E5191"/>
    <w:rsid w:val="004E51D9"/>
    <w:rsid w:val="004E56E1"/>
    <w:rsid w:val="004E57D8"/>
    <w:rsid w:val="004E629B"/>
    <w:rsid w:val="004E6A06"/>
    <w:rsid w:val="004E7280"/>
    <w:rsid w:val="004E7AEF"/>
    <w:rsid w:val="004F0AA7"/>
    <w:rsid w:val="004F11F8"/>
    <w:rsid w:val="004F1297"/>
    <w:rsid w:val="004F14CD"/>
    <w:rsid w:val="004F1E51"/>
    <w:rsid w:val="004F2701"/>
    <w:rsid w:val="004F4269"/>
    <w:rsid w:val="004F5AEF"/>
    <w:rsid w:val="004F6E90"/>
    <w:rsid w:val="004F7D65"/>
    <w:rsid w:val="005006A9"/>
    <w:rsid w:val="00502593"/>
    <w:rsid w:val="00502D10"/>
    <w:rsid w:val="00503F8C"/>
    <w:rsid w:val="005051D1"/>
    <w:rsid w:val="005064DC"/>
    <w:rsid w:val="00510201"/>
    <w:rsid w:val="005110AE"/>
    <w:rsid w:val="005122EE"/>
    <w:rsid w:val="00513351"/>
    <w:rsid w:val="00514BC8"/>
    <w:rsid w:val="00514DEF"/>
    <w:rsid w:val="00515625"/>
    <w:rsid w:val="00515AEA"/>
    <w:rsid w:val="005169A3"/>
    <w:rsid w:val="00517FE1"/>
    <w:rsid w:val="00522355"/>
    <w:rsid w:val="005229FF"/>
    <w:rsid w:val="00522FF6"/>
    <w:rsid w:val="00524EC9"/>
    <w:rsid w:val="00525F11"/>
    <w:rsid w:val="0052684F"/>
    <w:rsid w:val="0052782B"/>
    <w:rsid w:val="005330EF"/>
    <w:rsid w:val="00533C63"/>
    <w:rsid w:val="00537C9D"/>
    <w:rsid w:val="005429FC"/>
    <w:rsid w:val="00546397"/>
    <w:rsid w:val="0055196F"/>
    <w:rsid w:val="00551BE9"/>
    <w:rsid w:val="0056066F"/>
    <w:rsid w:val="00560846"/>
    <w:rsid w:val="0056121C"/>
    <w:rsid w:val="0056161E"/>
    <w:rsid w:val="005627F3"/>
    <w:rsid w:val="00563707"/>
    <w:rsid w:val="005643DC"/>
    <w:rsid w:val="005644E1"/>
    <w:rsid w:val="00565410"/>
    <w:rsid w:val="00565F1B"/>
    <w:rsid w:val="005665DA"/>
    <w:rsid w:val="00566E3E"/>
    <w:rsid w:val="00567B63"/>
    <w:rsid w:val="00570750"/>
    <w:rsid w:val="00571254"/>
    <w:rsid w:val="00571B0B"/>
    <w:rsid w:val="00573901"/>
    <w:rsid w:val="00573D23"/>
    <w:rsid w:val="00574DBE"/>
    <w:rsid w:val="00575109"/>
    <w:rsid w:val="00575802"/>
    <w:rsid w:val="00575F70"/>
    <w:rsid w:val="0058799B"/>
    <w:rsid w:val="005879DC"/>
    <w:rsid w:val="0059026D"/>
    <w:rsid w:val="005906FB"/>
    <w:rsid w:val="00592F89"/>
    <w:rsid w:val="00593888"/>
    <w:rsid w:val="00593E62"/>
    <w:rsid w:val="00595650"/>
    <w:rsid w:val="00597480"/>
    <w:rsid w:val="005A1325"/>
    <w:rsid w:val="005A2B28"/>
    <w:rsid w:val="005A3838"/>
    <w:rsid w:val="005A3BFD"/>
    <w:rsid w:val="005A3D90"/>
    <w:rsid w:val="005A66AA"/>
    <w:rsid w:val="005A69A1"/>
    <w:rsid w:val="005A6E88"/>
    <w:rsid w:val="005B0295"/>
    <w:rsid w:val="005B15DC"/>
    <w:rsid w:val="005B15F3"/>
    <w:rsid w:val="005B20BF"/>
    <w:rsid w:val="005B3578"/>
    <w:rsid w:val="005B3881"/>
    <w:rsid w:val="005B4EF2"/>
    <w:rsid w:val="005B53D7"/>
    <w:rsid w:val="005C252F"/>
    <w:rsid w:val="005C31CF"/>
    <w:rsid w:val="005C3B7A"/>
    <w:rsid w:val="005C4239"/>
    <w:rsid w:val="005C48E1"/>
    <w:rsid w:val="005C4D92"/>
    <w:rsid w:val="005C4F5B"/>
    <w:rsid w:val="005C56FC"/>
    <w:rsid w:val="005C64D9"/>
    <w:rsid w:val="005C6BF0"/>
    <w:rsid w:val="005C7B08"/>
    <w:rsid w:val="005D1F08"/>
    <w:rsid w:val="005D2528"/>
    <w:rsid w:val="005D428A"/>
    <w:rsid w:val="005D49D3"/>
    <w:rsid w:val="005D4E08"/>
    <w:rsid w:val="005D51A7"/>
    <w:rsid w:val="005D6480"/>
    <w:rsid w:val="005D678C"/>
    <w:rsid w:val="005E0DA6"/>
    <w:rsid w:val="005E128D"/>
    <w:rsid w:val="005E2B48"/>
    <w:rsid w:val="005E6476"/>
    <w:rsid w:val="005E6B45"/>
    <w:rsid w:val="005E7F66"/>
    <w:rsid w:val="005F46F2"/>
    <w:rsid w:val="005F72B0"/>
    <w:rsid w:val="005F72F3"/>
    <w:rsid w:val="00600A2A"/>
    <w:rsid w:val="00600B7A"/>
    <w:rsid w:val="00600D2E"/>
    <w:rsid w:val="00600D88"/>
    <w:rsid w:val="00600DAA"/>
    <w:rsid w:val="0060308E"/>
    <w:rsid w:val="00607670"/>
    <w:rsid w:val="006100C5"/>
    <w:rsid w:val="00610DCF"/>
    <w:rsid w:val="006205E8"/>
    <w:rsid w:val="006209A7"/>
    <w:rsid w:val="006250E2"/>
    <w:rsid w:val="0062531F"/>
    <w:rsid w:val="0062581B"/>
    <w:rsid w:val="0062639B"/>
    <w:rsid w:val="00630375"/>
    <w:rsid w:val="0063151F"/>
    <w:rsid w:val="0063293B"/>
    <w:rsid w:val="006332F3"/>
    <w:rsid w:val="00635A89"/>
    <w:rsid w:val="0063678B"/>
    <w:rsid w:val="00636E27"/>
    <w:rsid w:val="00641BC6"/>
    <w:rsid w:val="00645256"/>
    <w:rsid w:val="00646C58"/>
    <w:rsid w:val="00647E63"/>
    <w:rsid w:val="00650295"/>
    <w:rsid w:val="00650531"/>
    <w:rsid w:val="0065100D"/>
    <w:rsid w:val="00653AFF"/>
    <w:rsid w:val="0066026F"/>
    <w:rsid w:val="006609D7"/>
    <w:rsid w:val="0066193C"/>
    <w:rsid w:val="00662098"/>
    <w:rsid w:val="0066288B"/>
    <w:rsid w:val="00662EBA"/>
    <w:rsid w:val="00663FF8"/>
    <w:rsid w:val="00665BC7"/>
    <w:rsid w:val="00667590"/>
    <w:rsid w:val="00673B9A"/>
    <w:rsid w:val="00673E38"/>
    <w:rsid w:val="00674E1E"/>
    <w:rsid w:val="00676D6E"/>
    <w:rsid w:val="00677B53"/>
    <w:rsid w:val="00687CCB"/>
    <w:rsid w:val="00687E9F"/>
    <w:rsid w:val="006922E6"/>
    <w:rsid w:val="006A0CF0"/>
    <w:rsid w:val="006A1032"/>
    <w:rsid w:val="006A364E"/>
    <w:rsid w:val="006A48BF"/>
    <w:rsid w:val="006A4F81"/>
    <w:rsid w:val="006A5E92"/>
    <w:rsid w:val="006A71D9"/>
    <w:rsid w:val="006B00B1"/>
    <w:rsid w:val="006B0EBB"/>
    <w:rsid w:val="006B14E4"/>
    <w:rsid w:val="006B1642"/>
    <w:rsid w:val="006B4522"/>
    <w:rsid w:val="006B4AF6"/>
    <w:rsid w:val="006B504E"/>
    <w:rsid w:val="006B55D0"/>
    <w:rsid w:val="006B63BF"/>
    <w:rsid w:val="006B64AD"/>
    <w:rsid w:val="006B65C8"/>
    <w:rsid w:val="006B66C5"/>
    <w:rsid w:val="006B6A43"/>
    <w:rsid w:val="006C0985"/>
    <w:rsid w:val="006C1A7F"/>
    <w:rsid w:val="006C1FBE"/>
    <w:rsid w:val="006C22FA"/>
    <w:rsid w:val="006C3E43"/>
    <w:rsid w:val="006C4846"/>
    <w:rsid w:val="006C4E7E"/>
    <w:rsid w:val="006C57C3"/>
    <w:rsid w:val="006C6574"/>
    <w:rsid w:val="006C669F"/>
    <w:rsid w:val="006D1568"/>
    <w:rsid w:val="006D4F22"/>
    <w:rsid w:val="006E1C95"/>
    <w:rsid w:val="006E1EF6"/>
    <w:rsid w:val="006E3269"/>
    <w:rsid w:val="006F01CD"/>
    <w:rsid w:val="006F2122"/>
    <w:rsid w:val="006F26A2"/>
    <w:rsid w:val="006F494C"/>
    <w:rsid w:val="007038D9"/>
    <w:rsid w:val="0070442D"/>
    <w:rsid w:val="007047E7"/>
    <w:rsid w:val="00705BFC"/>
    <w:rsid w:val="007067CF"/>
    <w:rsid w:val="00706AA8"/>
    <w:rsid w:val="007131BA"/>
    <w:rsid w:val="0071359E"/>
    <w:rsid w:val="0072096D"/>
    <w:rsid w:val="00720D6A"/>
    <w:rsid w:val="00721F84"/>
    <w:rsid w:val="00724541"/>
    <w:rsid w:val="00726052"/>
    <w:rsid w:val="007261FB"/>
    <w:rsid w:val="00727262"/>
    <w:rsid w:val="0073251D"/>
    <w:rsid w:val="00732EB8"/>
    <w:rsid w:val="00733440"/>
    <w:rsid w:val="00734A16"/>
    <w:rsid w:val="00735446"/>
    <w:rsid w:val="00735E8B"/>
    <w:rsid w:val="007372BE"/>
    <w:rsid w:val="00737EC2"/>
    <w:rsid w:val="00740B80"/>
    <w:rsid w:val="0074180B"/>
    <w:rsid w:val="00742DDC"/>
    <w:rsid w:val="00742FBF"/>
    <w:rsid w:val="00744EDA"/>
    <w:rsid w:val="00745AA6"/>
    <w:rsid w:val="00746FCA"/>
    <w:rsid w:val="007503E4"/>
    <w:rsid w:val="00750D8C"/>
    <w:rsid w:val="00751684"/>
    <w:rsid w:val="0075200F"/>
    <w:rsid w:val="0075496E"/>
    <w:rsid w:val="00760340"/>
    <w:rsid w:val="007610F7"/>
    <w:rsid w:val="007636EE"/>
    <w:rsid w:val="00763FE6"/>
    <w:rsid w:val="00765177"/>
    <w:rsid w:val="00766644"/>
    <w:rsid w:val="0077047F"/>
    <w:rsid w:val="007709E0"/>
    <w:rsid w:val="00770DFC"/>
    <w:rsid w:val="00771293"/>
    <w:rsid w:val="007741E6"/>
    <w:rsid w:val="007771AD"/>
    <w:rsid w:val="007778AA"/>
    <w:rsid w:val="00777D9E"/>
    <w:rsid w:val="00783043"/>
    <w:rsid w:val="00784143"/>
    <w:rsid w:val="00784C12"/>
    <w:rsid w:val="0078618C"/>
    <w:rsid w:val="00786B6F"/>
    <w:rsid w:val="00786FA5"/>
    <w:rsid w:val="00790ECC"/>
    <w:rsid w:val="00790FE3"/>
    <w:rsid w:val="00792221"/>
    <w:rsid w:val="00793F02"/>
    <w:rsid w:val="007967A0"/>
    <w:rsid w:val="0079695D"/>
    <w:rsid w:val="00796E32"/>
    <w:rsid w:val="00797BE4"/>
    <w:rsid w:val="007A2991"/>
    <w:rsid w:val="007A2BE3"/>
    <w:rsid w:val="007A2D6C"/>
    <w:rsid w:val="007A5F36"/>
    <w:rsid w:val="007A6E95"/>
    <w:rsid w:val="007B0BAA"/>
    <w:rsid w:val="007B2714"/>
    <w:rsid w:val="007B48EC"/>
    <w:rsid w:val="007B5152"/>
    <w:rsid w:val="007B5F18"/>
    <w:rsid w:val="007B66A6"/>
    <w:rsid w:val="007B687D"/>
    <w:rsid w:val="007B7AE4"/>
    <w:rsid w:val="007B7F5F"/>
    <w:rsid w:val="007C0442"/>
    <w:rsid w:val="007C0AED"/>
    <w:rsid w:val="007C6893"/>
    <w:rsid w:val="007C6D8C"/>
    <w:rsid w:val="007C7BFB"/>
    <w:rsid w:val="007D0745"/>
    <w:rsid w:val="007D6D0D"/>
    <w:rsid w:val="007D7068"/>
    <w:rsid w:val="007D7BDC"/>
    <w:rsid w:val="007E12E5"/>
    <w:rsid w:val="007E199C"/>
    <w:rsid w:val="007E1A1E"/>
    <w:rsid w:val="007E2FFA"/>
    <w:rsid w:val="007E4CE2"/>
    <w:rsid w:val="007E6C71"/>
    <w:rsid w:val="007F0515"/>
    <w:rsid w:val="007F454E"/>
    <w:rsid w:val="007F5230"/>
    <w:rsid w:val="007F5AAE"/>
    <w:rsid w:val="007F7AF2"/>
    <w:rsid w:val="0080088F"/>
    <w:rsid w:val="00800F78"/>
    <w:rsid w:val="00800FF5"/>
    <w:rsid w:val="0080152F"/>
    <w:rsid w:val="00801CE0"/>
    <w:rsid w:val="00801FB7"/>
    <w:rsid w:val="008036FA"/>
    <w:rsid w:val="008037BA"/>
    <w:rsid w:val="0080456A"/>
    <w:rsid w:val="00804713"/>
    <w:rsid w:val="00804AF3"/>
    <w:rsid w:val="00806353"/>
    <w:rsid w:val="008063D7"/>
    <w:rsid w:val="00806C40"/>
    <w:rsid w:val="008071BF"/>
    <w:rsid w:val="0080729E"/>
    <w:rsid w:val="00807845"/>
    <w:rsid w:val="00811B66"/>
    <w:rsid w:val="008129DC"/>
    <w:rsid w:val="00813A9E"/>
    <w:rsid w:val="00815926"/>
    <w:rsid w:val="00815D45"/>
    <w:rsid w:val="00816FC6"/>
    <w:rsid w:val="00817932"/>
    <w:rsid w:val="00822CEC"/>
    <w:rsid w:val="008254EB"/>
    <w:rsid w:val="00825BD9"/>
    <w:rsid w:val="00826166"/>
    <w:rsid w:val="00826649"/>
    <w:rsid w:val="00827366"/>
    <w:rsid w:val="00834B8C"/>
    <w:rsid w:val="00840941"/>
    <w:rsid w:val="0084147A"/>
    <w:rsid w:val="00841538"/>
    <w:rsid w:val="008440AF"/>
    <w:rsid w:val="008448FF"/>
    <w:rsid w:val="00847C95"/>
    <w:rsid w:val="008502A3"/>
    <w:rsid w:val="0085057D"/>
    <w:rsid w:val="00850DBC"/>
    <w:rsid w:val="00851047"/>
    <w:rsid w:val="00851E0A"/>
    <w:rsid w:val="008525F9"/>
    <w:rsid w:val="00852BCF"/>
    <w:rsid w:val="00853725"/>
    <w:rsid w:val="00854241"/>
    <w:rsid w:val="00854CF5"/>
    <w:rsid w:val="00857F55"/>
    <w:rsid w:val="00860560"/>
    <w:rsid w:val="00864A19"/>
    <w:rsid w:val="00865A4E"/>
    <w:rsid w:val="00865FF7"/>
    <w:rsid w:val="00866340"/>
    <w:rsid w:val="0086645E"/>
    <w:rsid w:val="00867528"/>
    <w:rsid w:val="00870FF5"/>
    <w:rsid w:val="008715CD"/>
    <w:rsid w:val="0087233B"/>
    <w:rsid w:val="00872F02"/>
    <w:rsid w:val="00873450"/>
    <w:rsid w:val="00874867"/>
    <w:rsid w:val="00875F83"/>
    <w:rsid w:val="00880987"/>
    <w:rsid w:val="0088156C"/>
    <w:rsid w:val="00882091"/>
    <w:rsid w:val="0088247B"/>
    <w:rsid w:val="008837B3"/>
    <w:rsid w:val="00890628"/>
    <w:rsid w:val="00892382"/>
    <w:rsid w:val="00893245"/>
    <w:rsid w:val="00894876"/>
    <w:rsid w:val="0089594C"/>
    <w:rsid w:val="00895AFE"/>
    <w:rsid w:val="00896F8A"/>
    <w:rsid w:val="00897482"/>
    <w:rsid w:val="008A2125"/>
    <w:rsid w:val="008A22DD"/>
    <w:rsid w:val="008A285B"/>
    <w:rsid w:val="008A3191"/>
    <w:rsid w:val="008A319B"/>
    <w:rsid w:val="008A4629"/>
    <w:rsid w:val="008A4E6A"/>
    <w:rsid w:val="008A697F"/>
    <w:rsid w:val="008A718A"/>
    <w:rsid w:val="008A76FF"/>
    <w:rsid w:val="008B1E24"/>
    <w:rsid w:val="008B29A8"/>
    <w:rsid w:val="008B425D"/>
    <w:rsid w:val="008B74AB"/>
    <w:rsid w:val="008C0015"/>
    <w:rsid w:val="008C09BA"/>
    <w:rsid w:val="008C262A"/>
    <w:rsid w:val="008C48FD"/>
    <w:rsid w:val="008C4DEE"/>
    <w:rsid w:val="008C5454"/>
    <w:rsid w:val="008C59F9"/>
    <w:rsid w:val="008C645E"/>
    <w:rsid w:val="008C7501"/>
    <w:rsid w:val="008D1F13"/>
    <w:rsid w:val="008D253E"/>
    <w:rsid w:val="008D28C6"/>
    <w:rsid w:val="008D30F9"/>
    <w:rsid w:val="008D75B0"/>
    <w:rsid w:val="008E16E8"/>
    <w:rsid w:val="008E26E8"/>
    <w:rsid w:val="008E2EC8"/>
    <w:rsid w:val="008E52A1"/>
    <w:rsid w:val="008E59EC"/>
    <w:rsid w:val="008E7738"/>
    <w:rsid w:val="008F05AF"/>
    <w:rsid w:val="008F15CF"/>
    <w:rsid w:val="008F2C4D"/>
    <w:rsid w:val="008F5350"/>
    <w:rsid w:val="008F74A8"/>
    <w:rsid w:val="00900C4B"/>
    <w:rsid w:val="0090192E"/>
    <w:rsid w:val="00901D8A"/>
    <w:rsid w:val="0090322D"/>
    <w:rsid w:val="00905E35"/>
    <w:rsid w:val="00907021"/>
    <w:rsid w:val="009073B8"/>
    <w:rsid w:val="00910C82"/>
    <w:rsid w:val="00911ADA"/>
    <w:rsid w:val="00913407"/>
    <w:rsid w:val="009171FF"/>
    <w:rsid w:val="0091778C"/>
    <w:rsid w:val="00917A53"/>
    <w:rsid w:val="00920570"/>
    <w:rsid w:val="0092329F"/>
    <w:rsid w:val="0092445A"/>
    <w:rsid w:val="00924771"/>
    <w:rsid w:val="00924B79"/>
    <w:rsid w:val="00930AE8"/>
    <w:rsid w:val="00931D24"/>
    <w:rsid w:val="00932971"/>
    <w:rsid w:val="00934F27"/>
    <w:rsid w:val="00935C7B"/>
    <w:rsid w:val="00937A14"/>
    <w:rsid w:val="00940163"/>
    <w:rsid w:val="00943A88"/>
    <w:rsid w:val="009457ED"/>
    <w:rsid w:val="00947FB4"/>
    <w:rsid w:val="0095112E"/>
    <w:rsid w:val="00953F69"/>
    <w:rsid w:val="009540A7"/>
    <w:rsid w:val="0095442A"/>
    <w:rsid w:val="00955863"/>
    <w:rsid w:val="00956864"/>
    <w:rsid w:val="00962488"/>
    <w:rsid w:val="00962EE6"/>
    <w:rsid w:val="00963738"/>
    <w:rsid w:val="00963E66"/>
    <w:rsid w:val="00973F82"/>
    <w:rsid w:val="00976C96"/>
    <w:rsid w:val="00977CA1"/>
    <w:rsid w:val="00980FBA"/>
    <w:rsid w:val="00982E3A"/>
    <w:rsid w:val="00983F38"/>
    <w:rsid w:val="00985F72"/>
    <w:rsid w:val="00991099"/>
    <w:rsid w:val="00991C03"/>
    <w:rsid w:val="00992760"/>
    <w:rsid w:val="009937EA"/>
    <w:rsid w:val="00994102"/>
    <w:rsid w:val="00995AFA"/>
    <w:rsid w:val="00996C62"/>
    <w:rsid w:val="00996D7C"/>
    <w:rsid w:val="0099732A"/>
    <w:rsid w:val="009A01E2"/>
    <w:rsid w:val="009A1E3C"/>
    <w:rsid w:val="009A2ACC"/>
    <w:rsid w:val="009A2DE5"/>
    <w:rsid w:val="009A537C"/>
    <w:rsid w:val="009A72FC"/>
    <w:rsid w:val="009A75F0"/>
    <w:rsid w:val="009A772F"/>
    <w:rsid w:val="009A7E46"/>
    <w:rsid w:val="009A7F9D"/>
    <w:rsid w:val="009B03A3"/>
    <w:rsid w:val="009B2A91"/>
    <w:rsid w:val="009B7164"/>
    <w:rsid w:val="009C05E0"/>
    <w:rsid w:val="009C0674"/>
    <w:rsid w:val="009C0C1C"/>
    <w:rsid w:val="009C0D25"/>
    <w:rsid w:val="009C261E"/>
    <w:rsid w:val="009C3559"/>
    <w:rsid w:val="009C3DB1"/>
    <w:rsid w:val="009C4C6D"/>
    <w:rsid w:val="009C62D9"/>
    <w:rsid w:val="009C6D4A"/>
    <w:rsid w:val="009C7716"/>
    <w:rsid w:val="009C7AEA"/>
    <w:rsid w:val="009D061F"/>
    <w:rsid w:val="009D288E"/>
    <w:rsid w:val="009D4E25"/>
    <w:rsid w:val="009D5564"/>
    <w:rsid w:val="009D5D2E"/>
    <w:rsid w:val="009D7573"/>
    <w:rsid w:val="009E0DC4"/>
    <w:rsid w:val="009E1363"/>
    <w:rsid w:val="009E1A0D"/>
    <w:rsid w:val="009E1D9C"/>
    <w:rsid w:val="009E3143"/>
    <w:rsid w:val="009E414F"/>
    <w:rsid w:val="009E506C"/>
    <w:rsid w:val="009E51ED"/>
    <w:rsid w:val="009E524D"/>
    <w:rsid w:val="009E6738"/>
    <w:rsid w:val="009E72D6"/>
    <w:rsid w:val="009F003E"/>
    <w:rsid w:val="009F2587"/>
    <w:rsid w:val="009F2F3D"/>
    <w:rsid w:val="009F66F6"/>
    <w:rsid w:val="00A015CF"/>
    <w:rsid w:val="00A0244C"/>
    <w:rsid w:val="00A03A0F"/>
    <w:rsid w:val="00A058A2"/>
    <w:rsid w:val="00A060B6"/>
    <w:rsid w:val="00A112DE"/>
    <w:rsid w:val="00A1274E"/>
    <w:rsid w:val="00A149CB"/>
    <w:rsid w:val="00A160AC"/>
    <w:rsid w:val="00A16D6F"/>
    <w:rsid w:val="00A17CE1"/>
    <w:rsid w:val="00A26BE3"/>
    <w:rsid w:val="00A26C28"/>
    <w:rsid w:val="00A30E8B"/>
    <w:rsid w:val="00A31D9A"/>
    <w:rsid w:val="00A320DA"/>
    <w:rsid w:val="00A35B10"/>
    <w:rsid w:val="00A404E2"/>
    <w:rsid w:val="00A45865"/>
    <w:rsid w:val="00A47824"/>
    <w:rsid w:val="00A50691"/>
    <w:rsid w:val="00A50BB7"/>
    <w:rsid w:val="00A53F3D"/>
    <w:rsid w:val="00A5442C"/>
    <w:rsid w:val="00A566E3"/>
    <w:rsid w:val="00A60160"/>
    <w:rsid w:val="00A60BC7"/>
    <w:rsid w:val="00A60CE1"/>
    <w:rsid w:val="00A612A5"/>
    <w:rsid w:val="00A61A3E"/>
    <w:rsid w:val="00A62425"/>
    <w:rsid w:val="00A636EA"/>
    <w:rsid w:val="00A638F3"/>
    <w:rsid w:val="00A63DBD"/>
    <w:rsid w:val="00A64E01"/>
    <w:rsid w:val="00A70794"/>
    <w:rsid w:val="00A71CA5"/>
    <w:rsid w:val="00A71DCB"/>
    <w:rsid w:val="00A7312D"/>
    <w:rsid w:val="00A74AD0"/>
    <w:rsid w:val="00A76575"/>
    <w:rsid w:val="00A8057B"/>
    <w:rsid w:val="00A81C97"/>
    <w:rsid w:val="00A821F1"/>
    <w:rsid w:val="00A83342"/>
    <w:rsid w:val="00A8383A"/>
    <w:rsid w:val="00A849C9"/>
    <w:rsid w:val="00A87757"/>
    <w:rsid w:val="00A90A9B"/>
    <w:rsid w:val="00A92009"/>
    <w:rsid w:val="00A933D8"/>
    <w:rsid w:val="00A93779"/>
    <w:rsid w:val="00A937E4"/>
    <w:rsid w:val="00A97C09"/>
    <w:rsid w:val="00AA1314"/>
    <w:rsid w:val="00AA1343"/>
    <w:rsid w:val="00AA1476"/>
    <w:rsid w:val="00AA2364"/>
    <w:rsid w:val="00AA3DC0"/>
    <w:rsid w:val="00AA447A"/>
    <w:rsid w:val="00AA47F4"/>
    <w:rsid w:val="00AA49B7"/>
    <w:rsid w:val="00AB23D9"/>
    <w:rsid w:val="00AB2D09"/>
    <w:rsid w:val="00AB315D"/>
    <w:rsid w:val="00AB3BA4"/>
    <w:rsid w:val="00AC234D"/>
    <w:rsid w:val="00AC24B2"/>
    <w:rsid w:val="00AC341C"/>
    <w:rsid w:val="00AC4779"/>
    <w:rsid w:val="00AC4D52"/>
    <w:rsid w:val="00AC73B7"/>
    <w:rsid w:val="00AC74A5"/>
    <w:rsid w:val="00AD060B"/>
    <w:rsid w:val="00AD1E57"/>
    <w:rsid w:val="00AD1E99"/>
    <w:rsid w:val="00AD38AD"/>
    <w:rsid w:val="00AD523C"/>
    <w:rsid w:val="00AD6495"/>
    <w:rsid w:val="00AD6B8A"/>
    <w:rsid w:val="00AD6D9E"/>
    <w:rsid w:val="00AE2EB4"/>
    <w:rsid w:val="00AE55A2"/>
    <w:rsid w:val="00AF0E96"/>
    <w:rsid w:val="00AF193A"/>
    <w:rsid w:val="00AF1F37"/>
    <w:rsid w:val="00AF27DB"/>
    <w:rsid w:val="00AF3542"/>
    <w:rsid w:val="00AF38E3"/>
    <w:rsid w:val="00AF5E53"/>
    <w:rsid w:val="00AF62FE"/>
    <w:rsid w:val="00AF67FC"/>
    <w:rsid w:val="00B00713"/>
    <w:rsid w:val="00B0134B"/>
    <w:rsid w:val="00B01928"/>
    <w:rsid w:val="00B054FD"/>
    <w:rsid w:val="00B0690E"/>
    <w:rsid w:val="00B10005"/>
    <w:rsid w:val="00B1448C"/>
    <w:rsid w:val="00B148C8"/>
    <w:rsid w:val="00B16D3B"/>
    <w:rsid w:val="00B217D1"/>
    <w:rsid w:val="00B21C07"/>
    <w:rsid w:val="00B2259B"/>
    <w:rsid w:val="00B2270C"/>
    <w:rsid w:val="00B23C2C"/>
    <w:rsid w:val="00B246D3"/>
    <w:rsid w:val="00B25175"/>
    <w:rsid w:val="00B2617F"/>
    <w:rsid w:val="00B27404"/>
    <w:rsid w:val="00B30291"/>
    <w:rsid w:val="00B3385C"/>
    <w:rsid w:val="00B36881"/>
    <w:rsid w:val="00B374CD"/>
    <w:rsid w:val="00B415F1"/>
    <w:rsid w:val="00B458EA"/>
    <w:rsid w:val="00B461C9"/>
    <w:rsid w:val="00B4691C"/>
    <w:rsid w:val="00B479E6"/>
    <w:rsid w:val="00B47C48"/>
    <w:rsid w:val="00B53314"/>
    <w:rsid w:val="00B53E9C"/>
    <w:rsid w:val="00B55FB8"/>
    <w:rsid w:val="00B572D8"/>
    <w:rsid w:val="00B57ABF"/>
    <w:rsid w:val="00B6359D"/>
    <w:rsid w:val="00B64433"/>
    <w:rsid w:val="00B6481F"/>
    <w:rsid w:val="00B6497B"/>
    <w:rsid w:val="00B64D9E"/>
    <w:rsid w:val="00B65F19"/>
    <w:rsid w:val="00B6683C"/>
    <w:rsid w:val="00B67114"/>
    <w:rsid w:val="00B728E1"/>
    <w:rsid w:val="00B74DA6"/>
    <w:rsid w:val="00B76D48"/>
    <w:rsid w:val="00B773F7"/>
    <w:rsid w:val="00B7760B"/>
    <w:rsid w:val="00B825AF"/>
    <w:rsid w:val="00B83F6F"/>
    <w:rsid w:val="00B84255"/>
    <w:rsid w:val="00B84D75"/>
    <w:rsid w:val="00B86401"/>
    <w:rsid w:val="00B92DFB"/>
    <w:rsid w:val="00B94AAE"/>
    <w:rsid w:val="00B94C95"/>
    <w:rsid w:val="00B95AA0"/>
    <w:rsid w:val="00BA2276"/>
    <w:rsid w:val="00BA2E3F"/>
    <w:rsid w:val="00BA3621"/>
    <w:rsid w:val="00BA3B47"/>
    <w:rsid w:val="00BA4A5A"/>
    <w:rsid w:val="00BA517C"/>
    <w:rsid w:val="00BA6803"/>
    <w:rsid w:val="00BA6F67"/>
    <w:rsid w:val="00BA7173"/>
    <w:rsid w:val="00BA78F5"/>
    <w:rsid w:val="00BB1043"/>
    <w:rsid w:val="00BB1695"/>
    <w:rsid w:val="00BB16E0"/>
    <w:rsid w:val="00BB5696"/>
    <w:rsid w:val="00BB6BC3"/>
    <w:rsid w:val="00BC0900"/>
    <w:rsid w:val="00BC158F"/>
    <w:rsid w:val="00BC396A"/>
    <w:rsid w:val="00BC4A8C"/>
    <w:rsid w:val="00BD0484"/>
    <w:rsid w:val="00BD09D5"/>
    <w:rsid w:val="00BD1A5D"/>
    <w:rsid w:val="00BD2AD3"/>
    <w:rsid w:val="00BD38AA"/>
    <w:rsid w:val="00BD5580"/>
    <w:rsid w:val="00BD5E66"/>
    <w:rsid w:val="00BD66AF"/>
    <w:rsid w:val="00BD67E2"/>
    <w:rsid w:val="00BD71F9"/>
    <w:rsid w:val="00BD76C5"/>
    <w:rsid w:val="00BE1C44"/>
    <w:rsid w:val="00BE1CD4"/>
    <w:rsid w:val="00BE2E85"/>
    <w:rsid w:val="00BF1173"/>
    <w:rsid w:val="00BF1A3B"/>
    <w:rsid w:val="00BF1D56"/>
    <w:rsid w:val="00BF2383"/>
    <w:rsid w:val="00BF2B9F"/>
    <w:rsid w:val="00BF36E7"/>
    <w:rsid w:val="00BF77DE"/>
    <w:rsid w:val="00BF7DE8"/>
    <w:rsid w:val="00C008E4"/>
    <w:rsid w:val="00C011C6"/>
    <w:rsid w:val="00C0187E"/>
    <w:rsid w:val="00C047DE"/>
    <w:rsid w:val="00C050DE"/>
    <w:rsid w:val="00C05347"/>
    <w:rsid w:val="00C0610C"/>
    <w:rsid w:val="00C06494"/>
    <w:rsid w:val="00C067A9"/>
    <w:rsid w:val="00C07A57"/>
    <w:rsid w:val="00C10DA3"/>
    <w:rsid w:val="00C10F1A"/>
    <w:rsid w:val="00C12BF5"/>
    <w:rsid w:val="00C150A8"/>
    <w:rsid w:val="00C24D91"/>
    <w:rsid w:val="00C27D5D"/>
    <w:rsid w:val="00C303DE"/>
    <w:rsid w:val="00C309F9"/>
    <w:rsid w:val="00C30C66"/>
    <w:rsid w:val="00C329F3"/>
    <w:rsid w:val="00C338A3"/>
    <w:rsid w:val="00C34A05"/>
    <w:rsid w:val="00C361EE"/>
    <w:rsid w:val="00C452E8"/>
    <w:rsid w:val="00C45FF5"/>
    <w:rsid w:val="00C4682F"/>
    <w:rsid w:val="00C504DB"/>
    <w:rsid w:val="00C538A0"/>
    <w:rsid w:val="00C54E97"/>
    <w:rsid w:val="00C54FE4"/>
    <w:rsid w:val="00C55680"/>
    <w:rsid w:val="00C55D8F"/>
    <w:rsid w:val="00C57B6F"/>
    <w:rsid w:val="00C62CBD"/>
    <w:rsid w:val="00C6433E"/>
    <w:rsid w:val="00C66FC7"/>
    <w:rsid w:val="00C67672"/>
    <w:rsid w:val="00C738C8"/>
    <w:rsid w:val="00C74B4D"/>
    <w:rsid w:val="00C74D2E"/>
    <w:rsid w:val="00C76441"/>
    <w:rsid w:val="00C767F5"/>
    <w:rsid w:val="00C76910"/>
    <w:rsid w:val="00C7722E"/>
    <w:rsid w:val="00C77D31"/>
    <w:rsid w:val="00C805D0"/>
    <w:rsid w:val="00C839D2"/>
    <w:rsid w:val="00C87997"/>
    <w:rsid w:val="00C90F9D"/>
    <w:rsid w:val="00C929FE"/>
    <w:rsid w:val="00C92AA1"/>
    <w:rsid w:val="00C947A1"/>
    <w:rsid w:val="00C94C2D"/>
    <w:rsid w:val="00C96C91"/>
    <w:rsid w:val="00C96E91"/>
    <w:rsid w:val="00CA034F"/>
    <w:rsid w:val="00CA0F59"/>
    <w:rsid w:val="00CA2951"/>
    <w:rsid w:val="00CA2DF3"/>
    <w:rsid w:val="00CA51A7"/>
    <w:rsid w:val="00CA52DB"/>
    <w:rsid w:val="00CA551B"/>
    <w:rsid w:val="00CA619C"/>
    <w:rsid w:val="00CA78D4"/>
    <w:rsid w:val="00CB260F"/>
    <w:rsid w:val="00CB3361"/>
    <w:rsid w:val="00CC0A80"/>
    <w:rsid w:val="00CC2D3C"/>
    <w:rsid w:val="00CC47ED"/>
    <w:rsid w:val="00CC4E0D"/>
    <w:rsid w:val="00CC5F2C"/>
    <w:rsid w:val="00CC7616"/>
    <w:rsid w:val="00CD1FD8"/>
    <w:rsid w:val="00CD25C2"/>
    <w:rsid w:val="00CD5647"/>
    <w:rsid w:val="00CD6A98"/>
    <w:rsid w:val="00CE3063"/>
    <w:rsid w:val="00CE441E"/>
    <w:rsid w:val="00CE4A35"/>
    <w:rsid w:val="00CE7EF4"/>
    <w:rsid w:val="00CF2F3A"/>
    <w:rsid w:val="00CF374E"/>
    <w:rsid w:val="00CF51A2"/>
    <w:rsid w:val="00CF73D3"/>
    <w:rsid w:val="00D052AD"/>
    <w:rsid w:val="00D06728"/>
    <w:rsid w:val="00D0727B"/>
    <w:rsid w:val="00D075BE"/>
    <w:rsid w:val="00D109B4"/>
    <w:rsid w:val="00D113ED"/>
    <w:rsid w:val="00D11A7F"/>
    <w:rsid w:val="00D15997"/>
    <w:rsid w:val="00D1634B"/>
    <w:rsid w:val="00D176E4"/>
    <w:rsid w:val="00D20286"/>
    <w:rsid w:val="00D202C0"/>
    <w:rsid w:val="00D203C3"/>
    <w:rsid w:val="00D20A1C"/>
    <w:rsid w:val="00D20B55"/>
    <w:rsid w:val="00D21121"/>
    <w:rsid w:val="00D240CF"/>
    <w:rsid w:val="00D24E78"/>
    <w:rsid w:val="00D2530C"/>
    <w:rsid w:val="00D25591"/>
    <w:rsid w:val="00D271F7"/>
    <w:rsid w:val="00D2747A"/>
    <w:rsid w:val="00D27572"/>
    <w:rsid w:val="00D30C94"/>
    <w:rsid w:val="00D30E5C"/>
    <w:rsid w:val="00D312DB"/>
    <w:rsid w:val="00D32132"/>
    <w:rsid w:val="00D33487"/>
    <w:rsid w:val="00D33744"/>
    <w:rsid w:val="00D34461"/>
    <w:rsid w:val="00D361E3"/>
    <w:rsid w:val="00D372B0"/>
    <w:rsid w:val="00D37698"/>
    <w:rsid w:val="00D40B16"/>
    <w:rsid w:val="00D42288"/>
    <w:rsid w:val="00D43E08"/>
    <w:rsid w:val="00D43FC0"/>
    <w:rsid w:val="00D44858"/>
    <w:rsid w:val="00D46CA1"/>
    <w:rsid w:val="00D47BD3"/>
    <w:rsid w:val="00D50C9F"/>
    <w:rsid w:val="00D60DA3"/>
    <w:rsid w:val="00D619C1"/>
    <w:rsid w:val="00D6219B"/>
    <w:rsid w:val="00D651E8"/>
    <w:rsid w:val="00D71EDE"/>
    <w:rsid w:val="00D720ED"/>
    <w:rsid w:val="00D725AF"/>
    <w:rsid w:val="00D7426D"/>
    <w:rsid w:val="00D74BE8"/>
    <w:rsid w:val="00D74E1C"/>
    <w:rsid w:val="00D75C8D"/>
    <w:rsid w:val="00D80736"/>
    <w:rsid w:val="00D8165E"/>
    <w:rsid w:val="00D828AA"/>
    <w:rsid w:val="00D82B45"/>
    <w:rsid w:val="00D84502"/>
    <w:rsid w:val="00D8493B"/>
    <w:rsid w:val="00D856C1"/>
    <w:rsid w:val="00D86191"/>
    <w:rsid w:val="00D87730"/>
    <w:rsid w:val="00D90CFC"/>
    <w:rsid w:val="00D9384B"/>
    <w:rsid w:val="00D93D08"/>
    <w:rsid w:val="00D93E90"/>
    <w:rsid w:val="00D950A5"/>
    <w:rsid w:val="00D953D3"/>
    <w:rsid w:val="00DA12A3"/>
    <w:rsid w:val="00DA12EC"/>
    <w:rsid w:val="00DA3081"/>
    <w:rsid w:val="00DA41ED"/>
    <w:rsid w:val="00DA4E8B"/>
    <w:rsid w:val="00DA6DC5"/>
    <w:rsid w:val="00DA7E3B"/>
    <w:rsid w:val="00DB20DC"/>
    <w:rsid w:val="00DB387A"/>
    <w:rsid w:val="00DB502E"/>
    <w:rsid w:val="00DB576F"/>
    <w:rsid w:val="00DB5CFA"/>
    <w:rsid w:val="00DC0A74"/>
    <w:rsid w:val="00DC1B19"/>
    <w:rsid w:val="00DD177A"/>
    <w:rsid w:val="00DD1E1C"/>
    <w:rsid w:val="00DD2898"/>
    <w:rsid w:val="00DD4897"/>
    <w:rsid w:val="00DD51AF"/>
    <w:rsid w:val="00DD550E"/>
    <w:rsid w:val="00DD5EEE"/>
    <w:rsid w:val="00DD6CC4"/>
    <w:rsid w:val="00DE021F"/>
    <w:rsid w:val="00DE3BB4"/>
    <w:rsid w:val="00DE4459"/>
    <w:rsid w:val="00DE6AF6"/>
    <w:rsid w:val="00DE7348"/>
    <w:rsid w:val="00DF05A5"/>
    <w:rsid w:val="00DF0B15"/>
    <w:rsid w:val="00DF2640"/>
    <w:rsid w:val="00DF7C4B"/>
    <w:rsid w:val="00E0078D"/>
    <w:rsid w:val="00E02B17"/>
    <w:rsid w:val="00E02CE9"/>
    <w:rsid w:val="00E02E50"/>
    <w:rsid w:val="00E04491"/>
    <w:rsid w:val="00E07B81"/>
    <w:rsid w:val="00E128FA"/>
    <w:rsid w:val="00E12CD5"/>
    <w:rsid w:val="00E12D1B"/>
    <w:rsid w:val="00E1314D"/>
    <w:rsid w:val="00E20C3C"/>
    <w:rsid w:val="00E21A5D"/>
    <w:rsid w:val="00E26B08"/>
    <w:rsid w:val="00E2726A"/>
    <w:rsid w:val="00E2757A"/>
    <w:rsid w:val="00E31FB6"/>
    <w:rsid w:val="00E320B4"/>
    <w:rsid w:val="00E338D3"/>
    <w:rsid w:val="00E33E46"/>
    <w:rsid w:val="00E34678"/>
    <w:rsid w:val="00E350B6"/>
    <w:rsid w:val="00E36C08"/>
    <w:rsid w:val="00E42FB2"/>
    <w:rsid w:val="00E45341"/>
    <w:rsid w:val="00E47145"/>
    <w:rsid w:val="00E47A22"/>
    <w:rsid w:val="00E509CC"/>
    <w:rsid w:val="00E52224"/>
    <w:rsid w:val="00E53CF7"/>
    <w:rsid w:val="00E541E4"/>
    <w:rsid w:val="00E54A53"/>
    <w:rsid w:val="00E55877"/>
    <w:rsid w:val="00E56B6B"/>
    <w:rsid w:val="00E57804"/>
    <w:rsid w:val="00E60857"/>
    <w:rsid w:val="00E60BAE"/>
    <w:rsid w:val="00E61329"/>
    <w:rsid w:val="00E6284D"/>
    <w:rsid w:val="00E62BB7"/>
    <w:rsid w:val="00E6300C"/>
    <w:rsid w:val="00E6313F"/>
    <w:rsid w:val="00E6515D"/>
    <w:rsid w:val="00E65575"/>
    <w:rsid w:val="00E657CB"/>
    <w:rsid w:val="00E657E9"/>
    <w:rsid w:val="00E676D1"/>
    <w:rsid w:val="00E678C9"/>
    <w:rsid w:val="00E67A5A"/>
    <w:rsid w:val="00E71071"/>
    <w:rsid w:val="00E72158"/>
    <w:rsid w:val="00E73270"/>
    <w:rsid w:val="00E74899"/>
    <w:rsid w:val="00E76B0D"/>
    <w:rsid w:val="00E76CFC"/>
    <w:rsid w:val="00E8038A"/>
    <w:rsid w:val="00E819C3"/>
    <w:rsid w:val="00E82371"/>
    <w:rsid w:val="00E85238"/>
    <w:rsid w:val="00E86CFC"/>
    <w:rsid w:val="00E87711"/>
    <w:rsid w:val="00E878DA"/>
    <w:rsid w:val="00E87E67"/>
    <w:rsid w:val="00E905FB"/>
    <w:rsid w:val="00E9140B"/>
    <w:rsid w:val="00E93740"/>
    <w:rsid w:val="00E9418A"/>
    <w:rsid w:val="00E966AF"/>
    <w:rsid w:val="00E97882"/>
    <w:rsid w:val="00EA1689"/>
    <w:rsid w:val="00EA285E"/>
    <w:rsid w:val="00EA5525"/>
    <w:rsid w:val="00EB076E"/>
    <w:rsid w:val="00EB3CDF"/>
    <w:rsid w:val="00EB6ACA"/>
    <w:rsid w:val="00EB7A48"/>
    <w:rsid w:val="00EC05F9"/>
    <w:rsid w:val="00EC4A15"/>
    <w:rsid w:val="00EC4DD1"/>
    <w:rsid w:val="00EC504B"/>
    <w:rsid w:val="00EC5AB2"/>
    <w:rsid w:val="00EC5DEE"/>
    <w:rsid w:val="00EC618C"/>
    <w:rsid w:val="00EC77D7"/>
    <w:rsid w:val="00ED0067"/>
    <w:rsid w:val="00ED2FFD"/>
    <w:rsid w:val="00ED7E75"/>
    <w:rsid w:val="00EE0F3A"/>
    <w:rsid w:val="00EE12C6"/>
    <w:rsid w:val="00EF1220"/>
    <w:rsid w:val="00EF39D8"/>
    <w:rsid w:val="00EF5EB1"/>
    <w:rsid w:val="00EF731A"/>
    <w:rsid w:val="00EF7739"/>
    <w:rsid w:val="00F011DE"/>
    <w:rsid w:val="00F02B59"/>
    <w:rsid w:val="00F046C3"/>
    <w:rsid w:val="00F05CE7"/>
    <w:rsid w:val="00F11687"/>
    <w:rsid w:val="00F11E59"/>
    <w:rsid w:val="00F134EA"/>
    <w:rsid w:val="00F1360D"/>
    <w:rsid w:val="00F14411"/>
    <w:rsid w:val="00F160BB"/>
    <w:rsid w:val="00F17A24"/>
    <w:rsid w:val="00F17C7C"/>
    <w:rsid w:val="00F216F4"/>
    <w:rsid w:val="00F22F13"/>
    <w:rsid w:val="00F24455"/>
    <w:rsid w:val="00F2455E"/>
    <w:rsid w:val="00F26FB9"/>
    <w:rsid w:val="00F345A4"/>
    <w:rsid w:val="00F41A75"/>
    <w:rsid w:val="00F43643"/>
    <w:rsid w:val="00F436F6"/>
    <w:rsid w:val="00F463B2"/>
    <w:rsid w:val="00F4656B"/>
    <w:rsid w:val="00F47899"/>
    <w:rsid w:val="00F51B1C"/>
    <w:rsid w:val="00F525C0"/>
    <w:rsid w:val="00F54A42"/>
    <w:rsid w:val="00F5631F"/>
    <w:rsid w:val="00F56AF6"/>
    <w:rsid w:val="00F56D4F"/>
    <w:rsid w:val="00F57310"/>
    <w:rsid w:val="00F576E3"/>
    <w:rsid w:val="00F649FB"/>
    <w:rsid w:val="00F65C43"/>
    <w:rsid w:val="00F65E51"/>
    <w:rsid w:val="00F661F5"/>
    <w:rsid w:val="00F703BC"/>
    <w:rsid w:val="00F70AA1"/>
    <w:rsid w:val="00F70D0C"/>
    <w:rsid w:val="00F713F2"/>
    <w:rsid w:val="00F71E8F"/>
    <w:rsid w:val="00F7276B"/>
    <w:rsid w:val="00F75517"/>
    <w:rsid w:val="00F75E54"/>
    <w:rsid w:val="00F772FB"/>
    <w:rsid w:val="00F80C73"/>
    <w:rsid w:val="00F80DB3"/>
    <w:rsid w:val="00F815BE"/>
    <w:rsid w:val="00F83171"/>
    <w:rsid w:val="00F843D6"/>
    <w:rsid w:val="00F85B68"/>
    <w:rsid w:val="00F8625D"/>
    <w:rsid w:val="00F87404"/>
    <w:rsid w:val="00F87904"/>
    <w:rsid w:val="00F906BB"/>
    <w:rsid w:val="00F9154A"/>
    <w:rsid w:val="00F942FD"/>
    <w:rsid w:val="00F96C2C"/>
    <w:rsid w:val="00F97885"/>
    <w:rsid w:val="00F97DF4"/>
    <w:rsid w:val="00FA2B03"/>
    <w:rsid w:val="00FB007F"/>
    <w:rsid w:val="00FB0DC5"/>
    <w:rsid w:val="00FB1DF1"/>
    <w:rsid w:val="00FB5FDF"/>
    <w:rsid w:val="00FB7284"/>
    <w:rsid w:val="00FC0364"/>
    <w:rsid w:val="00FC1B3F"/>
    <w:rsid w:val="00FC2F23"/>
    <w:rsid w:val="00FC35FC"/>
    <w:rsid w:val="00FC380F"/>
    <w:rsid w:val="00FC6732"/>
    <w:rsid w:val="00FD02AA"/>
    <w:rsid w:val="00FD05B8"/>
    <w:rsid w:val="00FD08BC"/>
    <w:rsid w:val="00FD1F2A"/>
    <w:rsid w:val="00FD20E9"/>
    <w:rsid w:val="00FD27AA"/>
    <w:rsid w:val="00FD34BF"/>
    <w:rsid w:val="00FD49A4"/>
    <w:rsid w:val="00FD5451"/>
    <w:rsid w:val="00FE0175"/>
    <w:rsid w:val="00FE5183"/>
    <w:rsid w:val="00FE5D5B"/>
    <w:rsid w:val="00FE6CA3"/>
    <w:rsid w:val="00FE70FF"/>
    <w:rsid w:val="00FE74B1"/>
    <w:rsid w:val="00FE7D5A"/>
    <w:rsid w:val="00FF03CB"/>
    <w:rsid w:val="00FF2C48"/>
    <w:rsid w:val="00FF3DBE"/>
    <w:rsid w:val="00FF616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F58BA"/>
  <w15:chartTrackingRefBased/>
  <w15:docId w15:val="{A6278D7E-A496-48A4-86F2-05E5EC3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66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6C28"/>
  </w:style>
  <w:style w:type="paragraph" w:customStyle="1" w:styleId="EndNoteBibliography">
    <w:name w:val="EndNote Bibliography"/>
    <w:basedOn w:val="Normal"/>
    <w:link w:val="EndNoteBibliographyChar"/>
    <w:rsid w:val="00A26C28"/>
    <w:pPr>
      <w:numPr>
        <w:numId w:val="3"/>
      </w:numPr>
      <w:spacing w:line="240" w:lineRule="auto"/>
    </w:pPr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26C2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A26C28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047BC5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4F"/>
  </w:style>
  <w:style w:type="paragraph" w:styleId="Footer">
    <w:name w:val="footer"/>
    <w:basedOn w:val="Normal"/>
    <w:link w:val="FooterChar"/>
    <w:uiPriority w:val="99"/>
    <w:unhideWhenUsed/>
    <w:rsid w:val="000C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4F"/>
  </w:style>
  <w:style w:type="character" w:customStyle="1" w:styleId="Heading2Char">
    <w:name w:val="Heading 2 Char"/>
    <w:basedOn w:val="DefaultParagraphFont"/>
    <w:link w:val="Heading2"/>
    <w:uiPriority w:val="9"/>
    <w:rsid w:val="00AD64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E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7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74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B1C"/>
    <w:rPr>
      <w:color w:val="954F72"/>
      <w:u w:val="single"/>
    </w:rPr>
  </w:style>
  <w:style w:type="paragraph" w:customStyle="1" w:styleId="msonormal0">
    <w:name w:val="msonormal"/>
    <w:basedOn w:val="Normal"/>
    <w:rsid w:val="00F5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F51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F51B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F51B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F51B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F51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F51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F51B1C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F51B1C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F51B1C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6">
    <w:name w:val="xl76"/>
    <w:basedOn w:val="Normal"/>
    <w:rsid w:val="00F51B1C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7">
    <w:name w:val="xl77"/>
    <w:basedOn w:val="Normal"/>
    <w:rsid w:val="00F51B1C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rsid w:val="00F51B1C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9">
    <w:name w:val="xl79"/>
    <w:basedOn w:val="Normal"/>
    <w:rsid w:val="00F51B1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F51B1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1">
    <w:name w:val="xl81"/>
    <w:basedOn w:val="Normal"/>
    <w:rsid w:val="00F51B1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F51B1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3">
    <w:name w:val="xl83"/>
    <w:basedOn w:val="Normal"/>
    <w:rsid w:val="00F51B1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F51B1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F51B1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6">
    <w:name w:val="xl86"/>
    <w:basedOn w:val="Normal"/>
    <w:rsid w:val="00F51B1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F51B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F51B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F51B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F51B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F51B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F51B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F51B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F51B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F51B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rsid w:val="00F51B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8">
    <w:name w:val="xl98"/>
    <w:basedOn w:val="Normal"/>
    <w:rsid w:val="00F51B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9">
    <w:name w:val="xl99"/>
    <w:basedOn w:val="Normal"/>
    <w:rsid w:val="00F51B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F51B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F51B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2">
    <w:name w:val="xl102"/>
    <w:basedOn w:val="Normal"/>
    <w:rsid w:val="00F51B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3">
    <w:name w:val="xl103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4">
    <w:name w:val="xl104"/>
    <w:basedOn w:val="Normal"/>
    <w:rsid w:val="00F51B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5">
    <w:name w:val="xl105"/>
    <w:basedOn w:val="Normal"/>
    <w:rsid w:val="00F51B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6">
    <w:name w:val="xl106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7">
    <w:name w:val="xl107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en-AU"/>
    </w:rPr>
  </w:style>
  <w:style w:type="paragraph" w:customStyle="1" w:styleId="xl108">
    <w:name w:val="xl108"/>
    <w:basedOn w:val="Normal"/>
    <w:rsid w:val="00F51B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F47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F9CD-2FF1-4140-BB9E-B054732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Sara (Ministry of Health)</dc:creator>
  <cp:keywords/>
  <dc:description/>
  <cp:lastModifiedBy>Grant Sara (Ministry of Health)</cp:lastModifiedBy>
  <cp:revision>34</cp:revision>
  <dcterms:created xsi:type="dcterms:W3CDTF">2024-01-03T23:05:00Z</dcterms:created>
  <dcterms:modified xsi:type="dcterms:W3CDTF">2024-01-06T03:25:00Z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2023-07-06T02:44:25Z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29f17104-c976-420b-a00c-11a9236fc255</vt:lpwstr>
  </property>
  <property fmtid="{D5CDD505-2E9C-101B-9397-08002B2CF9AE}" pid="8" name="MSIP_Label_0f488380-630a-4f55-a077-a19445e3f360_ContentBits">
    <vt:lpwstr>0</vt:lpwstr>
  </property>
</Properties>
</file>