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0" w:type="dxa"/>
        <w:tblLook w:val="04A0" w:firstRow="1" w:lastRow="0" w:firstColumn="1" w:lastColumn="0" w:noHBand="0" w:noVBand="1"/>
      </w:tblPr>
      <w:tblGrid>
        <w:gridCol w:w="317"/>
        <w:gridCol w:w="3052"/>
        <w:gridCol w:w="1433"/>
        <w:gridCol w:w="1433"/>
        <w:gridCol w:w="1276"/>
        <w:gridCol w:w="507"/>
        <w:gridCol w:w="913"/>
        <w:gridCol w:w="216"/>
        <w:gridCol w:w="1234"/>
        <w:gridCol w:w="329"/>
        <w:gridCol w:w="103"/>
        <w:gridCol w:w="1034"/>
        <w:gridCol w:w="216"/>
        <w:gridCol w:w="897"/>
      </w:tblGrid>
      <w:tr w:rsidR="00DE5431" w:rsidRPr="00B75012" w14:paraId="0E1327E8" w14:textId="06AF1929" w:rsidTr="00835719">
        <w:trPr>
          <w:trHeight w:val="420"/>
        </w:trPr>
        <w:tc>
          <w:tcPr>
            <w:tcW w:w="10381" w:type="dxa"/>
            <w:gridSpan w:val="9"/>
            <w:tcBorders>
              <w:top w:val="nil"/>
              <w:left w:val="nil"/>
              <w:bottom w:val="single" w:sz="4" w:space="0" w:color="auto"/>
              <w:right w:val="nil"/>
            </w:tcBorders>
            <w:vAlign w:val="bottom"/>
          </w:tcPr>
          <w:p w14:paraId="485C0AB2" w14:textId="293B6148" w:rsidR="00754566" w:rsidRPr="00E45821" w:rsidRDefault="00754566" w:rsidP="005E51BA">
            <w:pPr>
              <w:rPr>
                <w:sz w:val="20"/>
                <w:szCs w:val="20"/>
              </w:rPr>
            </w:pPr>
            <w:bookmarkStart w:id="0" w:name="_Toc127309764"/>
            <w:bookmarkStart w:id="1" w:name="_Toc127484843"/>
            <w:bookmarkStart w:id="2" w:name="_Toc127555132"/>
            <w:r w:rsidRPr="00E45821">
              <w:rPr>
                <w:b/>
                <w:bCs/>
                <w:sz w:val="20"/>
                <w:szCs w:val="20"/>
              </w:rPr>
              <w:t>Supplemental Table 1</w:t>
            </w:r>
            <w:r w:rsidRPr="00E45821">
              <w:rPr>
                <w:sz w:val="20"/>
                <w:szCs w:val="20"/>
              </w:rPr>
              <w:t>:  Comparison of Analytic Sample Characteristics with Respective Cohort Populations</w:t>
            </w:r>
            <w:bookmarkEnd w:id="0"/>
            <w:bookmarkEnd w:id="1"/>
            <w:bookmarkEnd w:id="2"/>
          </w:p>
        </w:tc>
        <w:tc>
          <w:tcPr>
            <w:tcW w:w="1466" w:type="dxa"/>
            <w:gridSpan w:val="3"/>
            <w:tcBorders>
              <w:top w:val="nil"/>
              <w:left w:val="nil"/>
              <w:bottom w:val="single" w:sz="4" w:space="0" w:color="auto"/>
              <w:right w:val="nil"/>
            </w:tcBorders>
          </w:tcPr>
          <w:p w14:paraId="0664F7A4" w14:textId="77777777" w:rsidR="00754566" w:rsidRPr="00E45821" w:rsidRDefault="00754566" w:rsidP="005E51BA">
            <w:pPr>
              <w:rPr>
                <w:b/>
                <w:bCs/>
                <w:sz w:val="20"/>
                <w:szCs w:val="20"/>
              </w:rPr>
            </w:pPr>
          </w:p>
        </w:tc>
        <w:tc>
          <w:tcPr>
            <w:tcW w:w="1113" w:type="dxa"/>
            <w:gridSpan w:val="2"/>
            <w:tcBorders>
              <w:top w:val="nil"/>
              <w:left w:val="nil"/>
              <w:bottom w:val="single" w:sz="4" w:space="0" w:color="auto"/>
              <w:right w:val="nil"/>
            </w:tcBorders>
          </w:tcPr>
          <w:p w14:paraId="6A7CF577" w14:textId="77777777" w:rsidR="00754566" w:rsidRPr="00E45821" w:rsidRDefault="00754566" w:rsidP="005E51BA">
            <w:pPr>
              <w:rPr>
                <w:b/>
                <w:bCs/>
                <w:sz w:val="20"/>
                <w:szCs w:val="20"/>
              </w:rPr>
            </w:pPr>
          </w:p>
        </w:tc>
      </w:tr>
      <w:tr w:rsidR="00DE5431" w:rsidRPr="00B75012" w14:paraId="1AF9CB9C" w14:textId="43AE93CF" w:rsidTr="009D01D9">
        <w:trPr>
          <w:trHeight w:val="320"/>
        </w:trPr>
        <w:tc>
          <w:tcPr>
            <w:tcW w:w="317" w:type="dxa"/>
            <w:tcBorders>
              <w:top w:val="nil"/>
              <w:left w:val="nil"/>
              <w:bottom w:val="nil"/>
              <w:right w:val="nil"/>
            </w:tcBorders>
            <w:shd w:val="clear" w:color="auto" w:fill="auto"/>
            <w:noWrap/>
            <w:vAlign w:val="bottom"/>
            <w:hideMark/>
          </w:tcPr>
          <w:p w14:paraId="0FEEAF93" w14:textId="77777777" w:rsidR="007A32F8" w:rsidRPr="00E45821" w:rsidRDefault="007A32F8" w:rsidP="00D9157C">
            <w:pP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52D24808" w14:textId="77777777" w:rsidR="007A32F8" w:rsidRPr="00E45821" w:rsidRDefault="007A32F8" w:rsidP="00D9157C">
            <w:pPr>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68224C7F" w14:textId="77777777" w:rsidR="007A32F8" w:rsidRPr="00E45821" w:rsidRDefault="007A32F8" w:rsidP="00D9157C">
            <w:pPr>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06DD8C11" w14:textId="77777777" w:rsidR="007A32F8" w:rsidRPr="00E45821" w:rsidRDefault="007A32F8" w:rsidP="00D9157C">
            <w:pPr>
              <w:rPr>
                <w:rFonts w:eastAsia="Times New Roman" w:cs="Times New Roman"/>
                <w:sz w:val="20"/>
                <w:szCs w:val="20"/>
              </w:rPr>
            </w:pPr>
          </w:p>
        </w:tc>
        <w:tc>
          <w:tcPr>
            <w:tcW w:w="1276" w:type="dxa"/>
            <w:tcBorders>
              <w:top w:val="single" w:sz="4" w:space="0" w:color="auto"/>
              <w:left w:val="nil"/>
              <w:right w:val="nil"/>
            </w:tcBorders>
          </w:tcPr>
          <w:p w14:paraId="5F0472C5" w14:textId="77777777" w:rsidR="007A32F8" w:rsidRPr="00B75012" w:rsidRDefault="007A32F8" w:rsidP="00D9157C">
            <w:pPr>
              <w:jc w:val="center"/>
              <w:rPr>
                <w:rFonts w:eastAsia="Times New Roman" w:cs="Times New Roman"/>
                <w:b/>
                <w:bCs/>
                <w:sz w:val="20"/>
                <w:szCs w:val="20"/>
              </w:rPr>
            </w:pPr>
          </w:p>
        </w:tc>
        <w:tc>
          <w:tcPr>
            <w:tcW w:w="3199" w:type="dxa"/>
            <w:gridSpan w:val="5"/>
            <w:tcBorders>
              <w:top w:val="single" w:sz="4" w:space="0" w:color="auto"/>
              <w:left w:val="nil"/>
              <w:bottom w:val="single" w:sz="4" w:space="0" w:color="auto"/>
              <w:right w:val="nil"/>
            </w:tcBorders>
            <w:shd w:val="clear" w:color="auto" w:fill="auto"/>
            <w:noWrap/>
            <w:vAlign w:val="bottom"/>
            <w:hideMark/>
          </w:tcPr>
          <w:p w14:paraId="7C53192D" w14:textId="1B9FDD96" w:rsidR="007A32F8" w:rsidRPr="00E45821" w:rsidRDefault="007A32F8" w:rsidP="00D9157C">
            <w:pPr>
              <w:jc w:val="center"/>
              <w:rPr>
                <w:rFonts w:eastAsia="Times New Roman" w:cs="Times New Roman"/>
                <w:b/>
                <w:bCs/>
                <w:sz w:val="20"/>
                <w:szCs w:val="20"/>
              </w:rPr>
            </w:pPr>
            <w:r w:rsidRPr="00E45821">
              <w:rPr>
                <w:rFonts w:eastAsia="Times New Roman" w:cs="Times New Roman"/>
                <w:b/>
                <w:bCs/>
                <w:sz w:val="20"/>
                <w:szCs w:val="20"/>
              </w:rPr>
              <w:t>Analytic Samples</w:t>
            </w:r>
          </w:p>
        </w:tc>
        <w:tc>
          <w:tcPr>
            <w:tcW w:w="2250" w:type="dxa"/>
            <w:gridSpan w:val="4"/>
            <w:tcBorders>
              <w:top w:val="single" w:sz="4" w:space="0" w:color="auto"/>
              <w:left w:val="nil"/>
              <w:bottom w:val="single" w:sz="4" w:space="0" w:color="auto"/>
              <w:right w:val="nil"/>
            </w:tcBorders>
            <w:vAlign w:val="bottom"/>
          </w:tcPr>
          <w:p w14:paraId="31013BAF" w14:textId="55478E8D" w:rsidR="007A32F8" w:rsidRPr="00153D40" w:rsidRDefault="009239C3" w:rsidP="00153D40">
            <w:pPr>
              <w:jc w:val="center"/>
              <w:rPr>
                <w:vertAlign w:val="superscript"/>
              </w:rPr>
            </w:pPr>
            <w:r>
              <w:rPr>
                <w:rFonts w:eastAsia="Times New Roman" w:cs="Times New Roman"/>
                <w:b/>
                <w:bCs/>
                <w:sz w:val="20"/>
                <w:szCs w:val="20"/>
              </w:rPr>
              <w:t>Comp.</w:t>
            </w:r>
            <w:r w:rsidR="007A32F8">
              <w:rPr>
                <w:rFonts w:eastAsia="Times New Roman" w:cs="Times New Roman"/>
                <w:b/>
                <w:bCs/>
                <w:sz w:val="20"/>
                <w:szCs w:val="20"/>
              </w:rPr>
              <w:t xml:space="preserve"> P-value</w:t>
            </w:r>
            <w:r w:rsidR="00153D40" w:rsidRPr="003C65F0">
              <w:rPr>
                <w:rFonts w:cs="Times New Roman"/>
                <w:vertAlign w:val="superscript"/>
              </w:rPr>
              <w:t>§</w:t>
            </w:r>
          </w:p>
        </w:tc>
      </w:tr>
      <w:tr w:rsidR="00835719" w:rsidRPr="00B75012" w14:paraId="6ACE3147" w14:textId="4C4C1131" w:rsidTr="009D01D9">
        <w:trPr>
          <w:trHeight w:val="320"/>
        </w:trPr>
        <w:tc>
          <w:tcPr>
            <w:tcW w:w="3369" w:type="dxa"/>
            <w:gridSpan w:val="2"/>
            <w:tcBorders>
              <w:left w:val="nil"/>
              <w:bottom w:val="single" w:sz="4" w:space="0" w:color="auto"/>
              <w:right w:val="nil"/>
            </w:tcBorders>
            <w:shd w:val="clear" w:color="auto" w:fill="auto"/>
            <w:noWrap/>
            <w:vAlign w:val="bottom"/>
            <w:hideMark/>
          </w:tcPr>
          <w:p w14:paraId="7C04E7AD" w14:textId="77777777" w:rsidR="00DE5431" w:rsidRPr="00E45821" w:rsidRDefault="00DE5431" w:rsidP="00DE5431">
            <w:pPr>
              <w:rPr>
                <w:rFonts w:eastAsia="Times New Roman" w:cs="Times New Roman"/>
                <w:b/>
                <w:bCs/>
                <w:sz w:val="20"/>
                <w:szCs w:val="20"/>
              </w:rPr>
            </w:pPr>
            <w:r w:rsidRPr="00E45821">
              <w:rPr>
                <w:rFonts w:eastAsia="Times New Roman" w:cs="Times New Roman"/>
                <w:b/>
                <w:bCs/>
                <w:sz w:val="20"/>
                <w:szCs w:val="20"/>
              </w:rPr>
              <w:t>Population Covariates</w:t>
            </w:r>
          </w:p>
        </w:tc>
        <w:tc>
          <w:tcPr>
            <w:tcW w:w="1433" w:type="dxa"/>
            <w:tcBorders>
              <w:left w:val="nil"/>
              <w:bottom w:val="single" w:sz="4" w:space="0" w:color="auto"/>
              <w:right w:val="nil"/>
            </w:tcBorders>
            <w:shd w:val="clear" w:color="auto" w:fill="auto"/>
            <w:noWrap/>
            <w:vAlign w:val="bottom"/>
            <w:hideMark/>
          </w:tcPr>
          <w:p w14:paraId="6338C70A" w14:textId="77777777" w:rsidR="00DE5431" w:rsidRPr="00E45821" w:rsidRDefault="00DE5431" w:rsidP="00DE5431">
            <w:pPr>
              <w:jc w:val="center"/>
              <w:rPr>
                <w:rFonts w:eastAsia="Times New Roman" w:cs="Times New Roman"/>
                <w:sz w:val="20"/>
                <w:szCs w:val="20"/>
              </w:rPr>
            </w:pPr>
            <w:r w:rsidRPr="00E45821">
              <w:rPr>
                <w:rFonts w:eastAsia="Times New Roman" w:cs="Times New Roman"/>
                <w:b/>
                <w:bCs/>
                <w:sz w:val="20"/>
                <w:szCs w:val="20"/>
              </w:rPr>
              <w:t>CANDLE</w:t>
            </w:r>
            <w:r w:rsidRPr="00E45821">
              <w:rPr>
                <w:rFonts w:eastAsia="Times New Roman" w:cs="Times New Roman"/>
                <w:sz w:val="20"/>
                <w:szCs w:val="20"/>
              </w:rPr>
              <w:t xml:space="preserve"> (n=1503)</w:t>
            </w:r>
          </w:p>
        </w:tc>
        <w:tc>
          <w:tcPr>
            <w:tcW w:w="1433" w:type="dxa"/>
            <w:tcBorders>
              <w:left w:val="nil"/>
              <w:bottom w:val="single" w:sz="4" w:space="0" w:color="auto"/>
              <w:right w:val="nil"/>
            </w:tcBorders>
            <w:shd w:val="clear" w:color="auto" w:fill="auto"/>
            <w:noWrap/>
            <w:vAlign w:val="bottom"/>
            <w:hideMark/>
          </w:tcPr>
          <w:p w14:paraId="1438B9C1" w14:textId="77777777" w:rsidR="00DE5431" w:rsidRPr="00E45821" w:rsidRDefault="00DE5431" w:rsidP="00DE5431">
            <w:pPr>
              <w:jc w:val="center"/>
              <w:rPr>
                <w:rFonts w:eastAsia="Times New Roman" w:cs="Times New Roman"/>
                <w:sz w:val="20"/>
                <w:szCs w:val="20"/>
              </w:rPr>
            </w:pPr>
            <w:r w:rsidRPr="00E45821">
              <w:rPr>
                <w:rFonts w:eastAsia="Times New Roman" w:cs="Times New Roman"/>
                <w:b/>
                <w:bCs/>
                <w:sz w:val="20"/>
                <w:szCs w:val="20"/>
              </w:rPr>
              <w:t>GAPPS</w:t>
            </w:r>
            <w:r w:rsidRPr="00E45821">
              <w:rPr>
                <w:rFonts w:eastAsia="Times New Roman" w:cs="Times New Roman"/>
                <w:sz w:val="20"/>
                <w:szCs w:val="20"/>
              </w:rPr>
              <w:t xml:space="preserve"> (n=467)</w:t>
            </w:r>
          </w:p>
        </w:tc>
        <w:tc>
          <w:tcPr>
            <w:tcW w:w="1276" w:type="dxa"/>
            <w:tcBorders>
              <w:left w:val="nil"/>
              <w:bottom w:val="single" w:sz="4" w:space="0" w:color="auto"/>
              <w:right w:val="nil"/>
            </w:tcBorders>
            <w:vAlign w:val="bottom"/>
          </w:tcPr>
          <w:p w14:paraId="26A81A81" w14:textId="2246E3BC" w:rsidR="00DE5431" w:rsidRPr="00B75012" w:rsidRDefault="00DE5431" w:rsidP="00DE5431">
            <w:pPr>
              <w:jc w:val="center"/>
              <w:rPr>
                <w:rFonts w:eastAsia="Times New Roman" w:cs="Times New Roman"/>
                <w:b/>
                <w:bCs/>
                <w:sz w:val="20"/>
                <w:szCs w:val="20"/>
              </w:rPr>
            </w:pPr>
            <w:r>
              <w:rPr>
                <w:rFonts w:eastAsia="Times New Roman" w:cs="Times New Roman"/>
                <w:b/>
                <w:bCs/>
                <w:sz w:val="20"/>
                <w:szCs w:val="20"/>
              </w:rPr>
              <w:t>P-value</w:t>
            </w:r>
          </w:p>
        </w:tc>
        <w:tc>
          <w:tcPr>
            <w:tcW w:w="1636" w:type="dxa"/>
            <w:gridSpan w:val="3"/>
            <w:tcBorders>
              <w:top w:val="nil"/>
              <w:left w:val="nil"/>
              <w:bottom w:val="single" w:sz="4" w:space="0" w:color="auto"/>
              <w:right w:val="nil"/>
            </w:tcBorders>
            <w:shd w:val="clear" w:color="auto" w:fill="auto"/>
            <w:noWrap/>
            <w:vAlign w:val="bottom"/>
            <w:hideMark/>
          </w:tcPr>
          <w:p w14:paraId="5F3AE2E6" w14:textId="23EBC317" w:rsidR="00DE5431" w:rsidRPr="00E45821" w:rsidRDefault="00DE5431" w:rsidP="00DE5431">
            <w:pPr>
              <w:jc w:val="center"/>
              <w:rPr>
                <w:rFonts w:eastAsia="Times New Roman" w:cs="Times New Roman"/>
                <w:sz w:val="20"/>
                <w:szCs w:val="20"/>
              </w:rPr>
            </w:pPr>
            <w:r w:rsidRPr="00E45821">
              <w:rPr>
                <w:rFonts w:eastAsia="Times New Roman" w:cs="Times New Roman"/>
                <w:b/>
                <w:bCs/>
                <w:sz w:val="20"/>
                <w:szCs w:val="20"/>
              </w:rPr>
              <w:t>CANDLE</w:t>
            </w:r>
            <w:r w:rsidRPr="00E45821">
              <w:rPr>
                <w:rFonts w:eastAsia="Times New Roman" w:cs="Times New Roman"/>
                <w:sz w:val="20"/>
                <w:szCs w:val="20"/>
              </w:rPr>
              <w:t xml:space="preserve"> (n=776)</w:t>
            </w:r>
          </w:p>
        </w:tc>
        <w:tc>
          <w:tcPr>
            <w:tcW w:w="1563" w:type="dxa"/>
            <w:gridSpan w:val="2"/>
            <w:tcBorders>
              <w:top w:val="nil"/>
              <w:left w:val="nil"/>
              <w:bottom w:val="single" w:sz="4" w:space="0" w:color="auto"/>
              <w:right w:val="nil"/>
            </w:tcBorders>
            <w:shd w:val="clear" w:color="auto" w:fill="auto"/>
            <w:noWrap/>
            <w:vAlign w:val="bottom"/>
            <w:hideMark/>
          </w:tcPr>
          <w:p w14:paraId="711F7DD3" w14:textId="77777777" w:rsidR="00DE5431" w:rsidRPr="00E45821" w:rsidRDefault="00DE5431" w:rsidP="00DE5431">
            <w:pPr>
              <w:jc w:val="center"/>
              <w:rPr>
                <w:rFonts w:eastAsia="Times New Roman" w:cs="Times New Roman"/>
                <w:b/>
                <w:bCs/>
                <w:sz w:val="20"/>
                <w:szCs w:val="20"/>
              </w:rPr>
            </w:pPr>
            <w:r w:rsidRPr="00E45821">
              <w:rPr>
                <w:rFonts w:eastAsia="Times New Roman" w:cs="Times New Roman"/>
                <w:b/>
                <w:bCs/>
                <w:sz w:val="20"/>
                <w:szCs w:val="20"/>
              </w:rPr>
              <w:t>GAPPS</w:t>
            </w:r>
          </w:p>
          <w:p w14:paraId="602AF38C"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(n=205)</w:t>
            </w:r>
          </w:p>
        </w:tc>
        <w:tc>
          <w:tcPr>
            <w:tcW w:w="1137" w:type="dxa"/>
            <w:gridSpan w:val="2"/>
            <w:tcBorders>
              <w:top w:val="nil"/>
              <w:left w:val="nil"/>
              <w:bottom w:val="single" w:sz="4" w:space="0" w:color="auto"/>
              <w:right w:val="nil"/>
            </w:tcBorders>
            <w:vAlign w:val="bottom"/>
          </w:tcPr>
          <w:p w14:paraId="1D3C75A5" w14:textId="6014A23C" w:rsidR="00DE5431" w:rsidRPr="00E45821" w:rsidRDefault="00DE5431" w:rsidP="00DE5431">
            <w:pPr>
              <w:jc w:val="center"/>
              <w:rPr>
                <w:rFonts w:eastAsia="Times New Roman" w:cs="Times New Roman"/>
                <w:b/>
                <w:bCs/>
                <w:sz w:val="20"/>
                <w:szCs w:val="20"/>
              </w:rPr>
            </w:pPr>
            <w:r>
              <w:rPr>
                <w:rFonts w:eastAsia="Times New Roman" w:cs="Times New Roman"/>
                <w:b/>
                <w:bCs/>
                <w:sz w:val="20"/>
                <w:szCs w:val="20"/>
              </w:rPr>
              <w:t>CANDLE</w:t>
            </w:r>
          </w:p>
        </w:tc>
        <w:tc>
          <w:tcPr>
            <w:tcW w:w="1113" w:type="dxa"/>
            <w:gridSpan w:val="2"/>
            <w:tcBorders>
              <w:top w:val="nil"/>
              <w:left w:val="nil"/>
              <w:bottom w:val="single" w:sz="4" w:space="0" w:color="auto"/>
              <w:right w:val="nil"/>
            </w:tcBorders>
            <w:vAlign w:val="bottom"/>
          </w:tcPr>
          <w:p w14:paraId="337A038C" w14:textId="76247ED3" w:rsidR="00DE5431" w:rsidRPr="00E45821" w:rsidRDefault="00DE5431" w:rsidP="00DE5431">
            <w:pPr>
              <w:jc w:val="center"/>
              <w:rPr>
                <w:rFonts w:eastAsia="Times New Roman" w:cs="Times New Roman"/>
                <w:b/>
                <w:bCs/>
                <w:sz w:val="20"/>
                <w:szCs w:val="20"/>
              </w:rPr>
            </w:pPr>
            <w:r>
              <w:rPr>
                <w:rFonts w:eastAsia="Times New Roman" w:cs="Times New Roman"/>
                <w:b/>
                <w:bCs/>
                <w:sz w:val="20"/>
                <w:szCs w:val="20"/>
              </w:rPr>
              <w:t>GAPPS</w:t>
            </w:r>
          </w:p>
        </w:tc>
      </w:tr>
      <w:tr w:rsidR="00835719" w:rsidRPr="00B75012" w14:paraId="32D7EE02" w14:textId="4213D4F2" w:rsidTr="009D01D9">
        <w:trPr>
          <w:trHeight w:val="320"/>
        </w:trPr>
        <w:tc>
          <w:tcPr>
            <w:tcW w:w="317" w:type="dxa"/>
            <w:tcBorders>
              <w:top w:val="nil"/>
              <w:left w:val="nil"/>
              <w:bottom w:val="nil"/>
              <w:right w:val="nil"/>
            </w:tcBorders>
            <w:shd w:val="clear" w:color="auto" w:fill="auto"/>
            <w:noWrap/>
            <w:vAlign w:val="bottom"/>
            <w:hideMark/>
          </w:tcPr>
          <w:p w14:paraId="03454E75"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14DF9415" w14:textId="77777777" w:rsidR="00DE5431" w:rsidRPr="00E45821" w:rsidRDefault="00DE5431" w:rsidP="00DE5431">
            <w:pPr>
              <w:jc w:val="center"/>
              <w:rPr>
                <w:rFonts w:eastAsia="Times New Roman" w:cs="Times New Roman"/>
                <w:b/>
                <w:bCs/>
                <w:sz w:val="20"/>
                <w:szCs w:val="20"/>
              </w:rPr>
            </w:pPr>
            <w:r w:rsidRPr="00E45821">
              <w:rPr>
                <w:rFonts w:eastAsia="Times New Roman" w:cs="Times New Roman"/>
                <w:b/>
                <w:bCs/>
                <w:sz w:val="20"/>
                <w:szCs w:val="20"/>
              </w:rPr>
              <w:t>Continuous</w:t>
            </w:r>
          </w:p>
        </w:tc>
        <w:tc>
          <w:tcPr>
            <w:tcW w:w="1433" w:type="dxa"/>
            <w:tcBorders>
              <w:top w:val="nil"/>
              <w:left w:val="nil"/>
              <w:bottom w:val="nil"/>
              <w:right w:val="nil"/>
            </w:tcBorders>
            <w:shd w:val="clear" w:color="auto" w:fill="auto"/>
            <w:noWrap/>
            <w:vAlign w:val="bottom"/>
            <w:hideMark/>
          </w:tcPr>
          <w:p w14:paraId="6040983C" w14:textId="77777777" w:rsidR="00DE5431" w:rsidRPr="00E45821" w:rsidRDefault="00DE5431" w:rsidP="00DE5431">
            <w:pPr>
              <w:jc w:val="center"/>
              <w:rPr>
                <w:rFonts w:eastAsia="Times New Roman" w:cs="Times New Roman"/>
                <w:b/>
                <w:bCs/>
                <w:sz w:val="20"/>
                <w:szCs w:val="20"/>
              </w:rPr>
            </w:pPr>
            <w:r w:rsidRPr="00E45821">
              <w:rPr>
                <w:rFonts w:eastAsia="Times New Roman" w:cs="Times New Roman"/>
                <w:b/>
                <w:bCs/>
                <w:sz w:val="20"/>
                <w:szCs w:val="20"/>
              </w:rPr>
              <w:t>Mean (SD)</w:t>
            </w:r>
          </w:p>
        </w:tc>
        <w:tc>
          <w:tcPr>
            <w:tcW w:w="1433" w:type="dxa"/>
            <w:tcBorders>
              <w:top w:val="nil"/>
              <w:left w:val="nil"/>
              <w:bottom w:val="nil"/>
              <w:right w:val="nil"/>
            </w:tcBorders>
            <w:shd w:val="clear" w:color="auto" w:fill="auto"/>
            <w:noWrap/>
            <w:vAlign w:val="bottom"/>
            <w:hideMark/>
          </w:tcPr>
          <w:p w14:paraId="291D25E4" w14:textId="7C568480" w:rsidR="00DE5431" w:rsidRPr="00E45821" w:rsidRDefault="00DE5431" w:rsidP="00DE5431">
            <w:pPr>
              <w:jc w:val="center"/>
              <w:rPr>
                <w:rFonts w:eastAsia="Times New Roman" w:cs="Times New Roman"/>
                <w:b/>
                <w:bCs/>
                <w:sz w:val="20"/>
                <w:szCs w:val="20"/>
              </w:rPr>
            </w:pPr>
          </w:p>
        </w:tc>
        <w:tc>
          <w:tcPr>
            <w:tcW w:w="1276" w:type="dxa"/>
            <w:tcBorders>
              <w:top w:val="nil"/>
              <w:left w:val="nil"/>
              <w:bottom w:val="nil"/>
              <w:right w:val="nil"/>
            </w:tcBorders>
            <w:vAlign w:val="bottom"/>
          </w:tcPr>
          <w:p w14:paraId="042091B8" w14:textId="77777777" w:rsidR="00DE5431" w:rsidRPr="00B75012" w:rsidRDefault="00DE5431" w:rsidP="00DE5431">
            <w:pPr>
              <w:jc w:val="center"/>
              <w:rPr>
                <w:rFonts w:eastAsia="Times New Roman" w:cs="Times New Roman"/>
                <w:b/>
                <w:bCs/>
                <w:sz w:val="20"/>
                <w:szCs w:val="20"/>
              </w:rPr>
            </w:pPr>
          </w:p>
        </w:tc>
        <w:tc>
          <w:tcPr>
            <w:tcW w:w="1636" w:type="dxa"/>
            <w:gridSpan w:val="3"/>
            <w:tcBorders>
              <w:top w:val="nil"/>
              <w:left w:val="nil"/>
              <w:bottom w:val="nil"/>
              <w:right w:val="nil"/>
            </w:tcBorders>
            <w:shd w:val="clear" w:color="auto" w:fill="auto"/>
            <w:noWrap/>
            <w:vAlign w:val="bottom"/>
            <w:hideMark/>
          </w:tcPr>
          <w:p w14:paraId="5E436B7A" w14:textId="4E96A40E" w:rsidR="00DE5431" w:rsidRPr="00E45821" w:rsidRDefault="00DE5431" w:rsidP="00DE5431">
            <w:pPr>
              <w:jc w:val="center"/>
              <w:rPr>
                <w:rFonts w:eastAsia="Times New Roman" w:cs="Times New Roman"/>
                <w:b/>
                <w:bCs/>
                <w:sz w:val="20"/>
                <w:szCs w:val="20"/>
              </w:rPr>
            </w:pPr>
            <w:r w:rsidRPr="00E45821">
              <w:rPr>
                <w:rFonts w:eastAsia="Times New Roman" w:cs="Times New Roman"/>
                <w:b/>
                <w:bCs/>
                <w:sz w:val="20"/>
                <w:szCs w:val="20"/>
              </w:rPr>
              <w:t>Mean (SD)</w:t>
            </w:r>
          </w:p>
        </w:tc>
        <w:tc>
          <w:tcPr>
            <w:tcW w:w="1563" w:type="dxa"/>
            <w:gridSpan w:val="2"/>
            <w:tcBorders>
              <w:top w:val="nil"/>
              <w:left w:val="nil"/>
              <w:bottom w:val="nil"/>
              <w:right w:val="nil"/>
            </w:tcBorders>
            <w:shd w:val="clear" w:color="auto" w:fill="auto"/>
            <w:noWrap/>
            <w:vAlign w:val="bottom"/>
            <w:hideMark/>
          </w:tcPr>
          <w:p w14:paraId="5B7F0461" w14:textId="77777777" w:rsidR="00DE5431" w:rsidRPr="00E45821" w:rsidRDefault="00DE5431" w:rsidP="00DE5431">
            <w:pPr>
              <w:jc w:val="center"/>
              <w:rPr>
                <w:rFonts w:eastAsia="Times New Roman" w:cs="Times New Roman"/>
                <w:b/>
                <w:bCs/>
                <w:sz w:val="20"/>
                <w:szCs w:val="20"/>
              </w:rPr>
            </w:pPr>
            <w:r w:rsidRPr="00E45821">
              <w:rPr>
                <w:rFonts w:eastAsia="Times New Roman" w:cs="Times New Roman"/>
                <w:b/>
                <w:bCs/>
                <w:sz w:val="20"/>
                <w:szCs w:val="20"/>
              </w:rPr>
              <w:t>Mean (SD)</w:t>
            </w:r>
          </w:p>
        </w:tc>
        <w:tc>
          <w:tcPr>
            <w:tcW w:w="1137" w:type="dxa"/>
            <w:gridSpan w:val="2"/>
            <w:tcBorders>
              <w:top w:val="nil"/>
              <w:left w:val="nil"/>
              <w:bottom w:val="nil"/>
              <w:right w:val="nil"/>
            </w:tcBorders>
            <w:vAlign w:val="bottom"/>
          </w:tcPr>
          <w:p w14:paraId="0DDD1EFC" w14:textId="77777777" w:rsidR="00DE5431" w:rsidRPr="00E45821" w:rsidRDefault="00DE5431" w:rsidP="00DE5431">
            <w:pPr>
              <w:jc w:val="center"/>
              <w:rPr>
                <w:rFonts w:eastAsia="Times New Roman" w:cs="Times New Roman"/>
                <w:b/>
                <w:bCs/>
                <w:sz w:val="20"/>
                <w:szCs w:val="20"/>
              </w:rPr>
            </w:pPr>
          </w:p>
        </w:tc>
        <w:tc>
          <w:tcPr>
            <w:tcW w:w="1113" w:type="dxa"/>
            <w:gridSpan w:val="2"/>
            <w:tcBorders>
              <w:top w:val="nil"/>
              <w:left w:val="nil"/>
              <w:bottom w:val="nil"/>
              <w:right w:val="nil"/>
            </w:tcBorders>
            <w:vAlign w:val="bottom"/>
          </w:tcPr>
          <w:p w14:paraId="76FA5F91" w14:textId="77777777" w:rsidR="00DE5431" w:rsidRPr="00E45821" w:rsidRDefault="00DE5431" w:rsidP="00DE5431">
            <w:pPr>
              <w:jc w:val="center"/>
              <w:rPr>
                <w:rFonts w:eastAsia="Times New Roman" w:cs="Times New Roman"/>
                <w:b/>
                <w:bCs/>
                <w:sz w:val="20"/>
                <w:szCs w:val="20"/>
              </w:rPr>
            </w:pPr>
          </w:p>
        </w:tc>
      </w:tr>
      <w:tr w:rsidR="00835719" w:rsidRPr="00B75012" w14:paraId="4DD8F876" w14:textId="25D263B0" w:rsidTr="009D01D9">
        <w:trPr>
          <w:trHeight w:val="320"/>
        </w:trPr>
        <w:tc>
          <w:tcPr>
            <w:tcW w:w="3369" w:type="dxa"/>
            <w:gridSpan w:val="2"/>
            <w:tcBorders>
              <w:top w:val="nil"/>
              <w:left w:val="nil"/>
              <w:bottom w:val="nil"/>
              <w:right w:val="nil"/>
            </w:tcBorders>
            <w:shd w:val="clear" w:color="auto" w:fill="auto"/>
            <w:noWrap/>
            <w:vAlign w:val="bottom"/>
            <w:hideMark/>
          </w:tcPr>
          <w:p w14:paraId="20D2845E"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Maternal Age (years)</w:t>
            </w:r>
          </w:p>
        </w:tc>
        <w:tc>
          <w:tcPr>
            <w:tcW w:w="1433" w:type="dxa"/>
            <w:tcBorders>
              <w:top w:val="nil"/>
              <w:left w:val="nil"/>
              <w:bottom w:val="nil"/>
              <w:right w:val="nil"/>
            </w:tcBorders>
            <w:shd w:val="clear" w:color="auto" w:fill="auto"/>
            <w:noWrap/>
            <w:vAlign w:val="bottom"/>
            <w:hideMark/>
          </w:tcPr>
          <w:p w14:paraId="472CC21F"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26.3 (</w:t>
            </w:r>
            <w:proofErr w:type="gramStart"/>
            <w:r w:rsidRPr="00E45821">
              <w:rPr>
                <w:rFonts w:eastAsia="Times New Roman" w:cs="Times New Roman"/>
                <w:sz w:val="20"/>
                <w:szCs w:val="20"/>
              </w:rPr>
              <w:t>5.5)*</w:t>
            </w:r>
            <w:proofErr w:type="gramEnd"/>
          </w:p>
        </w:tc>
        <w:tc>
          <w:tcPr>
            <w:tcW w:w="1433" w:type="dxa"/>
            <w:tcBorders>
              <w:top w:val="nil"/>
              <w:left w:val="nil"/>
              <w:bottom w:val="nil"/>
              <w:right w:val="nil"/>
            </w:tcBorders>
            <w:shd w:val="clear" w:color="auto" w:fill="auto"/>
            <w:noWrap/>
            <w:vAlign w:val="bottom"/>
            <w:hideMark/>
          </w:tcPr>
          <w:p w14:paraId="1B1FED0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30.9 (</w:t>
            </w:r>
            <w:proofErr w:type="gramStart"/>
            <w:r w:rsidRPr="00E45821">
              <w:rPr>
                <w:rFonts w:eastAsia="Times New Roman" w:cs="Times New Roman"/>
                <w:sz w:val="20"/>
                <w:szCs w:val="20"/>
              </w:rPr>
              <w:t>5.6)*</w:t>
            </w:r>
            <w:proofErr w:type="gramEnd"/>
          </w:p>
        </w:tc>
        <w:tc>
          <w:tcPr>
            <w:tcW w:w="1276" w:type="dxa"/>
            <w:tcBorders>
              <w:top w:val="nil"/>
              <w:left w:val="nil"/>
              <w:bottom w:val="nil"/>
              <w:right w:val="nil"/>
            </w:tcBorders>
            <w:vAlign w:val="bottom"/>
          </w:tcPr>
          <w:p w14:paraId="5BC7D631" w14:textId="1E262F4B"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32D560F1" w14:textId="007D2382"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27.3 (</w:t>
            </w:r>
            <w:proofErr w:type="gramStart"/>
            <w:r w:rsidRPr="00E45821">
              <w:rPr>
                <w:rFonts w:eastAsia="Times New Roman" w:cs="Times New Roman"/>
                <w:sz w:val="20"/>
                <w:szCs w:val="20"/>
              </w:rPr>
              <w:t>5.5)*</w:t>
            </w:r>
            <w:proofErr w:type="gramEnd"/>
          </w:p>
        </w:tc>
        <w:tc>
          <w:tcPr>
            <w:tcW w:w="1563" w:type="dxa"/>
            <w:gridSpan w:val="2"/>
            <w:tcBorders>
              <w:top w:val="nil"/>
              <w:left w:val="nil"/>
              <w:bottom w:val="nil"/>
              <w:right w:val="nil"/>
            </w:tcBorders>
            <w:shd w:val="clear" w:color="auto" w:fill="auto"/>
            <w:noWrap/>
            <w:vAlign w:val="bottom"/>
            <w:hideMark/>
          </w:tcPr>
          <w:p w14:paraId="3EF4BBE4"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30.5 (</w:t>
            </w:r>
            <w:proofErr w:type="gramStart"/>
            <w:r w:rsidRPr="00E45821">
              <w:rPr>
                <w:rFonts w:eastAsia="Times New Roman" w:cs="Times New Roman"/>
                <w:sz w:val="20"/>
                <w:szCs w:val="20"/>
              </w:rPr>
              <w:t>5.7)*</w:t>
            </w:r>
            <w:proofErr w:type="gramEnd"/>
          </w:p>
        </w:tc>
        <w:tc>
          <w:tcPr>
            <w:tcW w:w="1137" w:type="dxa"/>
            <w:gridSpan w:val="2"/>
            <w:tcBorders>
              <w:top w:val="nil"/>
              <w:left w:val="nil"/>
              <w:bottom w:val="nil"/>
              <w:right w:val="nil"/>
            </w:tcBorders>
            <w:vAlign w:val="bottom"/>
          </w:tcPr>
          <w:p w14:paraId="13472504" w14:textId="62372901" w:rsidR="00835719" w:rsidRPr="00E45821" w:rsidRDefault="00835719" w:rsidP="00835719">
            <w:pPr>
              <w:jc w:val="center"/>
              <w:rPr>
                <w:rFonts w:eastAsia="Times New Roman" w:cs="Times New Roman"/>
                <w:sz w:val="20"/>
                <w:szCs w:val="20"/>
              </w:rPr>
            </w:pPr>
            <w:r>
              <w:rPr>
                <w:rFonts w:eastAsia="Times New Roman" w:cs="Times New Roman"/>
                <w:sz w:val="20"/>
                <w:szCs w:val="20"/>
              </w:rPr>
              <w:t>&lt;0.001</w:t>
            </w:r>
          </w:p>
        </w:tc>
        <w:tc>
          <w:tcPr>
            <w:tcW w:w="1113" w:type="dxa"/>
            <w:gridSpan w:val="2"/>
            <w:tcBorders>
              <w:top w:val="nil"/>
              <w:left w:val="nil"/>
              <w:bottom w:val="nil"/>
              <w:right w:val="nil"/>
            </w:tcBorders>
            <w:vAlign w:val="bottom"/>
          </w:tcPr>
          <w:p w14:paraId="2B63C845" w14:textId="00F01732" w:rsidR="00835719" w:rsidRPr="00E45821" w:rsidRDefault="00835719" w:rsidP="00835719">
            <w:pPr>
              <w:jc w:val="center"/>
              <w:rPr>
                <w:rFonts w:eastAsia="Times New Roman" w:cs="Times New Roman"/>
                <w:sz w:val="20"/>
                <w:szCs w:val="20"/>
              </w:rPr>
            </w:pPr>
            <w:r>
              <w:rPr>
                <w:rFonts w:eastAsia="Times New Roman" w:cs="Times New Roman"/>
                <w:sz w:val="20"/>
                <w:szCs w:val="20"/>
              </w:rPr>
              <w:t>0.474</w:t>
            </w:r>
          </w:p>
        </w:tc>
      </w:tr>
      <w:tr w:rsidR="00835719" w:rsidRPr="00B75012" w14:paraId="2D04CDFB" w14:textId="15CF1D3C" w:rsidTr="009D01D9">
        <w:trPr>
          <w:trHeight w:val="320"/>
        </w:trPr>
        <w:tc>
          <w:tcPr>
            <w:tcW w:w="3369" w:type="dxa"/>
            <w:gridSpan w:val="2"/>
            <w:tcBorders>
              <w:top w:val="nil"/>
              <w:left w:val="nil"/>
              <w:bottom w:val="nil"/>
              <w:right w:val="nil"/>
            </w:tcBorders>
            <w:shd w:val="clear" w:color="auto" w:fill="auto"/>
            <w:noWrap/>
            <w:vAlign w:val="bottom"/>
            <w:hideMark/>
          </w:tcPr>
          <w:p w14:paraId="17C0B085"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Gestational Age (weeks)</w:t>
            </w:r>
          </w:p>
        </w:tc>
        <w:tc>
          <w:tcPr>
            <w:tcW w:w="1433" w:type="dxa"/>
            <w:tcBorders>
              <w:top w:val="nil"/>
              <w:left w:val="nil"/>
              <w:bottom w:val="nil"/>
              <w:right w:val="nil"/>
            </w:tcBorders>
            <w:shd w:val="clear" w:color="auto" w:fill="auto"/>
            <w:noWrap/>
            <w:vAlign w:val="bottom"/>
            <w:hideMark/>
          </w:tcPr>
          <w:p w14:paraId="56409623"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38.9 (</w:t>
            </w:r>
            <w:proofErr w:type="gramStart"/>
            <w:r w:rsidRPr="00E45821">
              <w:rPr>
                <w:rFonts w:eastAsia="Times New Roman" w:cs="Times New Roman"/>
                <w:sz w:val="20"/>
                <w:szCs w:val="20"/>
              </w:rPr>
              <w:t>1.9)*</w:t>
            </w:r>
            <w:proofErr w:type="gramEnd"/>
          </w:p>
        </w:tc>
        <w:tc>
          <w:tcPr>
            <w:tcW w:w="1433" w:type="dxa"/>
            <w:tcBorders>
              <w:top w:val="nil"/>
              <w:left w:val="nil"/>
              <w:bottom w:val="nil"/>
              <w:right w:val="nil"/>
            </w:tcBorders>
            <w:shd w:val="clear" w:color="auto" w:fill="auto"/>
            <w:noWrap/>
            <w:vAlign w:val="bottom"/>
            <w:hideMark/>
          </w:tcPr>
          <w:p w14:paraId="06CCA2EC"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38.3 (</w:t>
            </w:r>
            <w:proofErr w:type="gramStart"/>
            <w:r w:rsidRPr="00E45821">
              <w:rPr>
                <w:rFonts w:eastAsia="Times New Roman" w:cs="Times New Roman"/>
                <w:sz w:val="20"/>
                <w:szCs w:val="20"/>
              </w:rPr>
              <w:t>3.0)*</w:t>
            </w:r>
            <w:proofErr w:type="gramEnd"/>
          </w:p>
        </w:tc>
        <w:tc>
          <w:tcPr>
            <w:tcW w:w="1276" w:type="dxa"/>
            <w:tcBorders>
              <w:top w:val="nil"/>
              <w:left w:val="nil"/>
              <w:bottom w:val="nil"/>
              <w:right w:val="nil"/>
            </w:tcBorders>
            <w:vAlign w:val="bottom"/>
          </w:tcPr>
          <w:p w14:paraId="7879668A" w14:textId="0671349E"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7392E1EB" w14:textId="66E84A5B"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39.0 (1.5)</w:t>
            </w:r>
          </w:p>
        </w:tc>
        <w:tc>
          <w:tcPr>
            <w:tcW w:w="1563" w:type="dxa"/>
            <w:gridSpan w:val="2"/>
            <w:tcBorders>
              <w:top w:val="nil"/>
              <w:left w:val="nil"/>
              <w:bottom w:val="nil"/>
              <w:right w:val="nil"/>
            </w:tcBorders>
            <w:shd w:val="clear" w:color="auto" w:fill="auto"/>
            <w:noWrap/>
            <w:vAlign w:val="bottom"/>
            <w:hideMark/>
          </w:tcPr>
          <w:p w14:paraId="64F1D853"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38.3 (</w:t>
            </w:r>
            <w:proofErr w:type="gramStart"/>
            <w:r w:rsidRPr="00E45821">
              <w:rPr>
                <w:rFonts w:eastAsia="Times New Roman" w:cs="Times New Roman"/>
                <w:sz w:val="20"/>
                <w:szCs w:val="20"/>
              </w:rPr>
              <w:t>3.0)*</w:t>
            </w:r>
            <w:proofErr w:type="gramEnd"/>
          </w:p>
        </w:tc>
        <w:tc>
          <w:tcPr>
            <w:tcW w:w="1137" w:type="dxa"/>
            <w:gridSpan w:val="2"/>
            <w:tcBorders>
              <w:top w:val="nil"/>
              <w:left w:val="nil"/>
              <w:bottom w:val="nil"/>
              <w:right w:val="nil"/>
            </w:tcBorders>
            <w:vAlign w:val="bottom"/>
          </w:tcPr>
          <w:p w14:paraId="45A138ED" w14:textId="3A9E3D48" w:rsidR="00835719" w:rsidRPr="00E45821" w:rsidRDefault="00835719" w:rsidP="00835719">
            <w:pPr>
              <w:jc w:val="center"/>
              <w:rPr>
                <w:rFonts w:eastAsia="Times New Roman" w:cs="Times New Roman"/>
                <w:sz w:val="20"/>
                <w:szCs w:val="20"/>
              </w:rPr>
            </w:pPr>
            <w:r>
              <w:rPr>
                <w:rFonts w:eastAsia="Times New Roman" w:cs="Times New Roman"/>
                <w:sz w:val="20"/>
                <w:szCs w:val="20"/>
              </w:rPr>
              <w:t>0.040</w:t>
            </w:r>
          </w:p>
        </w:tc>
        <w:tc>
          <w:tcPr>
            <w:tcW w:w="1113" w:type="dxa"/>
            <w:gridSpan w:val="2"/>
            <w:tcBorders>
              <w:top w:val="nil"/>
              <w:left w:val="nil"/>
              <w:bottom w:val="nil"/>
              <w:right w:val="nil"/>
            </w:tcBorders>
            <w:vAlign w:val="bottom"/>
          </w:tcPr>
          <w:p w14:paraId="5511A36E" w14:textId="66C7AF88" w:rsidR="00835719" w:rsidRPr="00E45821" w:rsidRDefault="00835719" w:rsidP="00835719">
            <w:pPr>
              <w:jc w:val="center"/>
              <w:rPr>
                <w:rFonts w:eastAsia="Times New Roman" w:cs="Times New Roman"/>
                <w:sz w:val="20"/>
                <w:szCs w:val="20"/>
              </w:rPr>
            </w:pPr>
            <w:r>
              <w:rPr>
                <w:rFonts w:eastAsia="Times New Roman" w:cs="Times New Roman"/>
                <w:sz w:val="20"/>
                <w:szCs w:val="20"/>
              </w:rPr>
              <w:t>0.893</w:t>
            </w:r>
          </w:p>
        </w:tc>
      </w:tr>
      <w:tr w:rsidR="00835719" w:rsidRPr="00B75012" w14:paraId="0CD672EB" w14:textId="5BD7E734" w:rsidTr="009D01D9">
        <w:trPr>
          <w:trHeight w:val="320"/>
        </w:trPr>
        <w:tc>
          <w:tcPr>
            <w:tcW w:w="3369" w:type="dxa"/>
            <w:gridSpan w:val="2"/>
            <w:tcBorders>
              <w:top w:val="nil"/>
              <w:left w:val="nil"/>
              <w:bottom w:val="nil"/>
              <w:right w:val="nil"/>
            </w:tcBorders>
            <w:shd w:val="clear" w:color="auto" w:fill="auto"/>
            <w:noWrap/>
            <w:vAlign w:val="bottom"/>
            <w:hideMark/>
          </w:tcPr>
          <w:p w14:paraId="2C5EEA41"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Pre-Pregnancy BMI (kg/m</w:t>
            </w:r>
            <w:r w:rsidRPr="00E45821">
              <w:rPr>
                <w:rFonts w:eastAsia="Times New Roman" w:cs="Times New Roman"/>
                <w:b/>
                <w:bCs/>
                <w:sz w:val="20"/>
                <w:szCs w:val="20"/>
                <w:vertAlign w:val="superscript"/>
              </w:rPr>
              <w:t>3</w:t>
            </w:r>
            <w:r w:rsidRPr="00E45821">
              <w:rPr>
                <w:rFonts w:eastAsia="Times New Roman" w:cs="Times New Roman"/>
                <w:b/>
                <w:bCs/>
                <w:sz w:val="20"/>
                <w:szCs w:val="20"/>
              </w:rPr>
              <w:t>)</w:t>
            </w:r>
          </w:p>
        </w:tc>
        <w:tc>
          <w:tcPr>
            <w:tcW w:w="1433" w:type="dxa"/>
            <w:tcBorders>
              <w:top w:val="nil"/>
              <w:left w:val="nil"/>
              <w:bottom w:val="nil"/>
              <w:right w:val="nil"/>
            </w:tcBorders>
            <w:shd w:val="clear" w:color="auto" w:fill="auto"/>
            <w:noWrap/>
            <w:vAlign w:val="bottom"/>
            <w:hideMark/>
          </w:tcPr>
          <w:p w14:paraId="504D91CF"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27.5 (</w:t>
            </w:r>
            <w:proofErr w:type="gramStart"/>
            <w:r w:rsidRPr="00E45821">
              <w:rPr>
                <w:rFonts w:eastAsia="Times New Roman" w:cs="Times New Roman"/>
                <w:sz w:val="20"/>
                <w:szCs w:val="20"/>
              </w:rPr>
              <w:t>7.5)*</w:t>
            </w:r>
            <w:proofErr w:type="gramEnd"/>
          </w:p>
        </w:tc>
        <w:tc>
          <w:tcPr>
            <w:tcW w:w="1433" w:type="dxa"/>
            <w:tcBorders>
              <w:top w:val="nil"/>
              <w:left w:val="nil"/>
              <w:bottom w:val="nil"/>
              <w:right w:val="nil"/>
            </w:tcBorders>
            <w:shd w:val="clear" w:color="auto" w:fill="auto"/>
            <w:noWrap/>
            <w:vAlign w:val="bottom"/>
            <w:hideMark/>
          </w:tcPr>
          <w:p w14:paraId="4ADF9601"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27.3 (</w:t>
            </w:r>
            <w:proofErr w:type="gramStart"/>
            <w:r w:rsidRPr="00E45821">
              <w:rPr>
                <w:rFonts w:eastAsia="Times New Roman" w:cs="Times New Roman"/>
                <w:sz w:val="20"/>
                <w:szCs w:val="20"/>
              </w:rPr>
              <w:t>7.6)*</w:t>
            </w:r>
            <w:proofErr w:type="gramEnd"/>
          </w:p>
        </w:tc>
        <w:tc>
          <w:tcPr>
            <w:tcW w:w="1276" w:type="dxa"/>
            <w:tcBorders>
              <w:top w:val="nil"/>
              <w:left w:val="nil"/>
              <w:bottom w:val="nil"/>
              <w:right w:val="nil"/>
            </w:tcBorders>
            <w:vAlign w:val="bottom"/>
          </w:tcPr>
          <w:p w14:paraId="546F221C" w14:textId="561A0E23" w:rsidR="00835719" w:rsidRPr="00B75012" w:rsidRDefault="00835719" w:rsidP="00835719">
            <w:pPr>
              <w:jc w:val="center"/>
              <w:rPr>
                <w:rFonts w:eastAsia="Times New Roman" w:cs="Times New Roman"/>
                <w:sz w:val="20"/>
                <w:szCs w:val="20"/>
              </w:rPr>
            </w:pPr>
            <w:r>
              <w:rPr>
                <w:rFonts w:eastAsia="Times New Roman" w:cs="Times New Roman"/>
                <w:sz w:val="20"/>
                <w:szCs w:val="20"/>
              </w:rPr>
              <w:t>0.638</w:t>
            </w:r>
          </w:p>
        </w:tc>
        <w:tc>
          <w:tcPr>
            <w:tcW w:w="1636" w:type="dxa"/>
            <w:gridSpan w:val="3"/>
            <w:tcBorders>
              <w:top w:val="nil"/>
              <w:left w:val="nil"/>
              <w:bottom w:val="nil"/>
              <w:right w:val="nil"/>
            </w:tcBorders>
            <w:shd w:val="clear" w:color="auto" w:fill="auto"/>
            <w:noWrap/>
            <w:vAlign w:val="bottom"/>
            <w:hideMark/>
          </w:tcPr>
          <w:p w14:paraId="7E8A7C1A" w14:textId="52A9BAC6"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27.7 (</w:t>
            </w:r>
            <w:proofErr w:type="gramStart"/>
            <w:r w:rsidRPr="00E45821">
              <w:rPr>
                <w:rFonts w:eastAsia="Times New Roman" w:cs="Times New Roman"/>
                <w:sz w:val="20"/>
                <w:szCs w:val="20"/>
              </w:rPr>
              <w:t>7.4)*</w:t>
            </w:r>
            <w:proofErr w:type="gramEnd"/>
          </w:p>
        </w:tc>
        <w:tc>
          <w:tcPr>
            <w:tcW w:w="1563" w:type="dxa"/>
            <w:gridSpan w:val="2"/>
            <w:tcBorders>
              <w:top w:val="nil"/>
              <w:left w:val="nil"/>
              <w:bottom w:val="nil"/>
              <w:right w:val="nil"/>
            </w:tcBorders>
            <w:shd w:val="clear" w:color="auto" w:fill="auto"/>
            <w:noWrap/>
            <w:vAlign w:val="bottom"/>
            <w:hideMark/>
          </w:tcPr>
          <w:p w14:paraId="21C7E630"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26.3 (</w:t>
            </w:r>
            <w:proofErr w:type="gramStart"/>
            <w:r w:rsidRPr="00E45821">
              <w:rPr>
                <w:rFonts w:eastAsia="Times New Roman" w:cs="Times New Roman"/>
                <w:sz w:val="20"/>
                <w:szCs w:val="20"/>
              </w:rPr>
              <w:t>9.1)*</w:t>
            </w:r>
            <w:proofErr w:type="gramEnd"/>
          </w:p>
        </w:tc>
        <w:tc>
          <w:tcPr>
            <w:tcW w:w="1137" w:type="dxa"/>
            <w:gridSpan w:val="2"/>
            <w:tcBorders>
              <w:top w:val="nil"/>
              <w:left w:val="nil"/>
              <w:bottom w:val="nil"/>
              <w:right w:val="nil"/>
            </w:tcBorders>
            <w:vAlign w:val="bottom"/>
          </w:tcPr>
          <w:p w14:paraId="04CD9B7F" w14:textId="4493A12E" w:rsidR="00835719" w:rsidRPr="00E45821" w:rsidRDefault="00835719" w:rsidP="00835719">
            <w:pPr>
              <w:jc w:val="center"/>
              <w:rPr>
                <w:rFonts w:eastAsia="Times New Roman" w:cs="Times New Roman"/>
                <w:sz w:val="20"/>
                <w:szCs w:val="20"/>
              </w:rPr>
            </w:pPr>
            <w:r>
              <w:rPr>
                <w:rFonts w:eastAsia="Times New Roman" w:cs="Times New Roman"/>
                <w:sz w:val="20"/>
                <w:szCs w:val="20"/>
              </w:rPr>
              <w:t>0.443</w:t>
            </w:r>
          </w:p>
        </w:tc>
        <w:tc>
          <w:tcPr>
            <w:tcW w:w="1113" w:type="dxa"/>
            <w:gridSpan w:val="2"/>
            <w:tcBorders>
              <w:top w:val="nil"/>
              <w:left w:val="nil"/>
              <w:bottom w:val="nil"/>
              <w:right w:val="nil"/>
            </w:tcBorders>
            <w:vAlign w:val="bottom"/>
          </w:tcPr>
          <w:p w14:paraId="5ED3164D" w14:textId="1BF08F26" w:rsidR="00835719" w:rsidRPr="00E45821" w:rsidRDefault="00835719" w:rsidP="00835719">
            <w:pPr>
              <w:jc w:val="center"/>
              <w:rPr>
                <w:rFonts w:eastAsia="Times New Roman" w:cs="Times New Roman"/>
                <w:sz w:val="20"/>
                <w:szCs w:val="20"/>
              </w:rPr>
            </w:pPr>
            <w:r>
              <w:rPr>
                <w:rFonts w:eastAsia="Times New Roman" w:cs="Times New Roman"/>
                <w:sz w:val="20"/>
                <w:szCs w:val="20"/>
              </w:rPr>
              <w:t>0.767</w:t>
            </w:r>
          </w:p>
        </w:tc>
      </w:tr>
      <w:tr w:rsidR="00835719" w:rsidRPr="00B75012" w14:paraId="55B46119" w14:textId="2E7EF84D" w:rsidTr="009D01D9">
        <w:trPr>
          <w:trHeight w:val="320"/>
        </w:trPr>
        <w:tc>
          <w:tcPr>
            <w:tcW w:w="3369" w:type="dxa"/>
            <w:gridSpan w:val="2"/>
            <w:tcBorders>
              <w:top w:val="nil"/>
              <w:left w:val="nil"/>
              <w:bottom w:val="nil"/>
              <w:right w:val="nil"/>
            </w:tcBorders>
            <w:shd w:val="clear" w:color="auto" w:fill="auto"/>
            <w:noWrap/>
            <w:vAlign w:val="bottom"/>
            <w:hideMark/>
          </w:tcPr>
          <w:p w14:paraId="1A034CAF" w14:textId="012C0856"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Family Income (US dollars)</w:t>
            </w:r>
          </w:p>
        </w:tc>
        <w:tc>
          <w:tcPr>
            <w:tcW w:w="1433" w:type="dxa"/>
            <w:tcBorders>
              <w:top w:val="nil"/>
              <w:left w:val="nil"/>
              <w:bottom w:val="nil"/>
              <w:right w:val="nil"/>
            </w:tcBorders>
            <w:shd w:val="clear" w:color="auto" w:fill="auto"/>
            <w:noWrap/>
            <w:vAlign w:val="bottom"/>
            <w:hideMark/>
          </w:tcPr>
          <w:p w14:paraId="0BA1889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36800 (</w:t>
            </w:r>
            <w:proofErr w:type="gramStart"/>
            <w:r w:rsidRPr="00E45821">
              <w:rPr>
                <w:rFonts w:eastAsia="Times New Roman" w:cs="Times New Roman"/>
                <w:sz w:val="20"/>
                <w:szCs w:val="20"/>
              </w:rPr>
              <w:t>27500)*</w:t>
            </w:r>
            <w:proofErr w:type="gramEnd"/>
          </w:p>
        </w:tc>
        <w:tc>
          <w:tcPr>
            <w:tcW w:w="1433" w:type="dxa"/>
            <w:tcBorders>
              <w:top w:val="nil"/>
              <w:left w:val="nil"/>
              <w:bottom w:val="nil"/>
              <w:right w:val="nil"/>
            </w:tcBorders>
            <w:shd w:val="clear" w:color="auto" w:fill="auto"/>
            <w:noWrap/>
            <w:vAlign w:val="bottom"/>
            <w:hideMark/>
          </w:tcPr>
          <w:p w14:paraId="4F024A2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61400 (</w:t>
            </w:r>
            <w:proofErr w:type="gramStart"/>
            <w:r w:rsidRPr="00E45821">
              <w:rPr>
                <w:rFonts w:eastAsia="Times New Roman" w:cs="Times New Roman"/>
                <w:sz w:val="20"/>
                <w:szCs w:val="20"/>
              </w:rPr>
              <w:t>26600)*</w:t>
            </w:r>
            <w:proofErr w:type="gramEnd"/>
          </w:p>
        </w:tc>
        <w:tc>
          <w:tcPr>
            <w:tcW w:w="1276" w:type="dxa"/>
            <w:tcBorders>
              <w:top w:val="nil"/>
              <w:left w:val="nil"/>
              <w:bottom w:val="nil"/>
              <w:right w:val="nil"/>
            </w:tcBorders>
            <w:vAlign w:val="bottom"/>
          </w:tcPr>
          <w:p w14:paraId="276B1274" w14:textId="484FE1DB"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25E445BD" w14:textId="616CD66E"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41400 (</w:t>
            </w:r>
            <w:proofErr w:type="gramStart"/>
            <w:r w:rsidRPr="00E45821">
              <w:rPr>
                <w:rFonts w:eastAsia="Times New Roman" w:cs="Times New Roman"/>
                <w:sz w:val="20"/>
                <w:szCs w:val="20"/>
              </w:rPr>
              <w:t>27600)*</w:t>
            </w:r>
            <w:proofErr w:type="gramEnd"/>
          </w:p>
        </w:tc>
        <w:tc>
          <w:tcPr>
            <w:tcW w:w="1563" w:type="dxa"/>
            <w:gridSpan w:val="2"/>
            <w:tcBorders>
              <w:top w:val="nil"/>
              <w:left w:val="nil"/>
              <w:bottom w:val="nil"/>
              <w:right w:val="nil"/>
            </w:tcBorders>
            <w:shd w:val="clear" w:color="auto" w:fill="auto"/>
            <w:noWrap/>
            <w:vAlign w:val="bottom"/>
            <w:hideMark/>
          </w:tcPr>
          <w:p w14:paraId="41542FA3"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58900 (</w:t>
            </w:r>
            <w:proofErr w:type="gramStart"/>
            <w:r w:rsidRPr="00E45821">
              <w:rPr>
                <w:rFonts w:eastAsia="Times New Roman" w:cs="Times New Roman"/>
                <w:sz w:val="20"/>
                <w:szCs w:val="20"/>
              </w:rPr>
              <w:t>27600)*</w:t>
            </w:r>
            <w:proofErr w:type="gramEnd"/>
          </w:p>
        </w:tc>
        <w:tc>
          <w:tcPr>
            <w:tcW w:w="1137" w:type="dxa"/>
            <w:gridSpan w:val="2"/>
            <w:tcBorders>
              <w:top w:val="nil"/>
              <w:left w:val="nil"/>
              <w:bottom w:val="nil"/>
              <w:right w:val="nil"/>
            </w:tcBorders>
            <w:vAlign w:val="bottom"/>
          </w:tcPr>
          <w:p w14:paraId="58086170" w14:textId="73B3F132" w:rsidR="00835719" w:rsidRPr="00E45821" w:rsidRDefault="00835719" w:rsidP="00835719">
            <w:pPr>
              <w:jc w:val="center"/>
              <w:rPr>
                <w:rFonts w:eastAsia="Times New Roman" w:cs="Times New Roman"/>
                <w:sz w:val="20"/>
                <w:szCs w:val="20"/>
              </w:rPr>
            </w:pPr>
            <w:r>
              <w:rPr>
                <w:rFonts w:eastAsia="Times New Roman" w:cs="Times New Roman"/>
                <w:sz w:val="20"/>
                <w:szCs w:val="20"/>
              </w:rPr>
              <w:t>&lt;0.001</w:t>
            </w:r>
          </w:p>
        </w:tc>
        <w:tc>
          <w:tcPr>
            <w:tcW w:w="1113" w:type="dxa"/>
            <w:gridSpan w:val="2"/>
            <w:tcBorders>
              <w:top w:val="nil"/>
              <w:left w:val="nil"/>
              <w:bottom w:val="nil"/>
              <w:right w:val="nil"/>
            </w:tcBorders>
            <w:vAlign w:val="bottom"/>
          </w:tcPr>
          <w:p w14:paraId="548ED9C2" w14:textId="2A9D7BC1" w:rsidR="00835719" w:rsidRPr="00E45821" w:rsidRDefault="00835719" w:rsidP="00835719">
            <w:pPr>
              <w:jc w:val="center"/>
              <w:rPr>
                <w:rFonts w:eastAsia="Times New Roman" w:cs="Times New Roman"/>
                <w:sz w:val="20"/>
                <w:szCs w:val="20"/>
              </w:rPr>
            </w:pPr>
            <w:r>
              <w:rPr>
                <w:rFonts w:eastAsia="Times New Roman" w:cs="Times New Roman"/>
                <w:sz w:val="20"/>
                <w:szCs w:val="20"/>
              </w:rPr>
              <w:t>0.398</w:t>
            </w:r>
          </w:p>
        </w:tc>
      </w:tr>
      <w:tr w:rsidR="00835719" w:rsidRPr="00B75012" w14:paraId="367FCDA2" w14:textId="2F97700C" w:rsidTr="009D01D9">
        <w:trPr>
          <w:trHeight w:val="320"/>
        </w:trPr>
        <w:tc>
          <w:tcPr>
            <w:tcW w:w="3369" w:type="dxa"/>
            <w:gridSpan w:val="2"/>
            <w:tcBorders>
              <w:top w:val="nil"/>
              <w:left w:val="nil"/>
              <w:bottom w:val="nil"/>
              <w:right w:val="nil"/>
            </w:tcBorders>
            <w:shd w:val="clear" w:color="auto" w:fill="auto"/>
            <w:noWrap/>
            <w:vAlign w:val="bottom"/>
            <w:hideMark/>
          </w:tcPr>
          <w:p w14:paraId="03FDD09B"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Birthweight (grams)</w:t>
            </w:r>
          </w:p>
        </w:tc>
        <w:tc>
          <w:tcPr>
            <w:tcW w:w="1433" w:type="dxa"/>
            <w:tcBorders>
              <w:top w:val="nil"/>
              <w:left w:val="nil"/>
              <w:bottom w:val="nil"/>
              <w:right w:val="nil"/>
            </w:tcBorders>
            <w:shd w:val="clear" w:color="auto" w:fill="auto"/>
            <w:noWrap/>
            <w:vAlign w:val="bottom"/>
            <w:hideMark/>
          </w:tcPr>
          <w:p w14:paraId="3B387997"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3230 (566)</w:t>
            </w:r>
          </w:p>
        </w:tc>
        <w:tc>
          <w:tcPr>
            <w:tcW w:w="1433" w:type="dxa"/>
            <w:tcBorders>
              <w:top w:val="nil"/>
              <w:left w:val="nil"/>
              <w:bottom w:val="nil"/>
              <w:right w:val="nil"/>
            </w:tcBorders>
            <w:shd w:val="clear" w:color="auto" w:fill="auto"/>
            <w:noWrap/>
            <w:vAlign w:val="bottom"/>
            <w:hideMark/>
          </w:tcPr>
          <w:p w14:paraId="009D60F0"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3250 (782)</w:t>
            </w:r>
          </w:p>
        </w:tc>
        <w:tc>
          <w:tcPr>
            <w:tcW w:w="1276" w:type="dxa"/>
            <w:tcBorders>
              <w:top w:val="nil"/>
              <w:left w:val="nil"/>
              <w:bottom w:val="nil"/>
              <w:right w:val="nil"/>
            </w:tcBorders>
            <w:vAlign w:val="bottom"/>
          </w:tcPr>
          <w:p w14:paraId="0487CF6C" w14:textId="227D8424" w:rsidR="00835719" w:rsidRPr="00B75012" w:rsidRDefault="00835719" w:rsidP="00835719">
            <w:pPr>
              <w:jc w:val="center"/>
              <w:rPr>
                <w:rFonts w:eastAsia="Times New Roman" w:cs="Times New Roman"/>
                <w:sz w:val="20"/>
                <w:szCs w:val="20"/>
              </w:rPr>
            </w:pPr>
            <w:r>
              <w:rPr>
                <w:rFonts w:eastAsia="Times New Roman" w:cs="Times New Roman"/>
                <w:sz w:val="20"/>
                <w:szCs w:val="20"/>
              </w:rPr>
              <w:t>0.542</w:t>
            </w:r>
          </w:p>
        </w:tc>
        <w:tc>
          <w:tcPr>
            <w:tcW w:w="1636" w:type="dxa"/>
            <w:gridSpan w:val="3"/>
            <w:tcBorders>
              <w:top w:val="nil"/>
              <w:left w:val="nil"/>
              <w:bottom w:val="nil"/>
              <w:right w:val="nil"/>
            </w:tcBorders>
            <w:shd w:val="clear" w:color="auto" w:fill="auto"/>
            <w:noWrap/>
            <w:vAlign w:val="bottom"/>
            <w:hideMark/>
          </w:tcPr>
          <w:p w14:paraId="309C8AD0" w14:textId="755622F4"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3310 (516)</w:t>
            </w:r>
          </w:p>
        </w:tc>
        <w:tc>
          <w:tcPr>
            <w:tcW w:w="1563" w:type="dxa"/>
            <w:gridSpan w:val="2"/>
            <w:tcBorders>
              <w:top w:val="nil"/>
              <w:left w:val="nil"/>
              <w:bottom w:val="nil"/>
              <w:right w:val="nil"/>
            </w:tcBorders>
            <w:shd w:val="clear" w:color="auto" w:fill="auto"/>
            <w:noWrap/>
            <w:vAlign w:val="bottom"/>
            <w:hideMark/>
          </w:tcPr>
          <w:p w14:paraId="00862D2D"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3270 (806)</w:t>
            </w:r>
          </w:p>
        </w:tc>
        <w:tc>
          <w:tcPr>
            <w:tcW w:w="1137" w:type="dxa"/>
            <w:gridSpan w:val="2"/>
            <w:tcBorders>
              <w:top w:val="nil"/>
              <w:left w:val="nil"/>
              <w:bottom w:val="nil"/>
              <w:right w:val="nil"/>
            </w:tcBorders>
            <w:vAlign w:val="bottom"/>
          </w:tcPr>
          <w:p w14:paraId="5FB23A2C" w14:textId="21BF6C95" w:rsidR="00835719" w:rsidRPr="00E45821" w:rsidRDefault="00835719" w:rsidP="00835719">
            <w:pPr>
              <w:jc w:val="center"/>
              <w:rPr>
                <w:rFonts w:eastAsia="Times New Roman" w:cs="Times New Roman"/>
                <w:sz w:val="20"/>
                <w:szCs w:val="20"/>
              </w:rPr>
            </w:pPr>
            <w:r>
              <w:rPr>
                <w:rFonts w:eastAsia="Times New Roman" w:cs="Times New Roman"/>
                <w:sz w:val="20"/>
                <w:szCs w:val="20"/>
              </w:rPr>
              <w:t>0.001</w:t>
            </w:r>
          </w:p>
        </w:tc>
        <w:tc>
          <w:tcPr>
            <w:tcW w:w="1113" w:type="dxa"/>
            <w:gridSpan w:val="2"/>
            <w:tcBorders>
              <w:top w:val="nil"/>
              <w:left w:val="nil"/>
              <w:bottom w:val="nil"/>
              <w:right w:val="nil"/>
            </w:tcBorders>
            <w:vAlign w:val="bottom"/>
          </w:tcPr>
          <w:p w14:paraId="536EA491" w14:textId="467E883D" w:rsidR="00835719" w:rsidRPr="00E45821" w:rsidRDefault="00835719" w:rsidP="00835719">
            <w:pPr>
              <w:jc w:val="center"/>
              <w:rPr>
                <w:rFonts w:eastAsia="Times New Roman" w:cs="Times New Roman"/>
                <w:sz w:val="20"/>
                <w:szCs w:val="20"/>
              </w:rPr>
            </w:pPr>
            <w:r>
              <w:rPr>
                <w:rFonts w:eastAsia="Times New Roman" w:cs="Times New Roman"/>
                <w:sz w:val="20"/>
                <w:szCs w:val="20"/>
              </w:rPr>
              <w:t>0.799</w:t>
            </w:r>
          </w:p>
        </w:tc>
      </w:tr>
      <w:tr w:rsidR="00835719" w:rsidRPr="00B75012" w14:paraId="1E9FE079" w14:textId="7A808F54" w:rsidTr="009D01D9">
        <w:trPr>
          <w:trHeight w:val="486"/>
        </w:trPr>
        <w:tc>
          <w:tcPr>
            <w:tcW w:w="317" w:type="dxa"/>
            <w:tcBorders>
              <w:top w:val="nil"/>
              <w:left w:val="nil"/>
              <w:bottom w:val="nil"/>
              <w:right w:val="nil"/>
            </w:tcBorders>
            <w:shd w:val="clear" w:color="auto" w:fill="auto"/>
            <w:noWrap/>
            <w:vAlign w:val="bottom"/>
            <w:hideMark/>
          </w:tcPr>
          <w:p w14:paraId="60009D79" w14:textId="77777777" w:rsidR="00754566" w:rsidRPr="00E45821" w:rsidRDefault="00754566" w:rsidP="00D9157C">
            <w:pP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12A621F2" w14:textId="77777777" w:rsidR="00754566" w:rsidRPr="00E45821" w:rsidRDefault="00754566" w:rsidP="00D9157C">
            <w:pPr>
              <w:jc w:val="center"/>
              <w:rPr>
                <w:rFonts w:eastAsia="Times New Roman" w:cs="Times New Roman"/>
                <w:b/>
                <w:bCs/>
                <w:sz w:val="20"/>
                <w:szCs w:val="20"/>
              </w:rPr>
            </w:pPr>
            <w:r w:rsidRPr="00E45821">
              <w:rPr>
                <w:rFonts w:eastAsia="Times New Roman" w:cs="Times New Roman"/>
                <w:b/>
                <w:bCs/>
                <w:sz w:val="20"/>
                <w:szCs w:val="20"/>
              </w:rPr>
              <w:t>Categorical</w:t>
            </w:r>
          </w:p>
        </w:tc>
        <w:tc>
          <w:tcPr>
            <w:tcW w:w="1433" w:type="dxa"/>
            <w:tcBorders>
              <w:top w:val="nil"/>
              <w:left w:val="nil"/>
              <w:bottom w:val="nil"/>
              <w:right w:val="nil"/>
            </w:tcBorders>
            <w:shd w:val="clear" w:color="auto" w:fill="auto"/>
            <w:noWrap/>
            <w:vAlign w:val="bottom"/>
            <w:hideMark/>
          </w:tcPr>
          <w:p w14:paraId="0A71057A" w14:textId="77777777" w:rsidR="00754566" w:rsidRPr="00E45821" w:rsidRDefault="00754566" w:rsidP="007A32F8">
            <w:pPr>
              <w:jc w:val="center"/>
              <w:rPr>
                <w:rFonts w:eastAsia="Times New Roman" w:cs="Times New Roman"/>
                <w:b/>
                <w:bCs/>
                <w:sz w:val="20"/>
                <w:szCs w:val="20"/>
              </w:rPr>
            </w:pPr>
            <w:r w:rsidRPr="00E45821">
              <w:rPr>
                <w:rFonts w:eastAsia="Times New Roman" w:cs="Times New Roman"/>
                <w:b/>
                <w:bCs/>
                <w:sz w:val="20"/>
                <w:szCs w:val="20"/>
              </w:rPr>
              <w:t>N (%)</w:t>
            </w:r>
          </w:p>
        </w:tc>
        <w:tc>
          <w:tcPr>
            <w:tcW w:w="1433" w:type="dxa"/>
            <w:tcBorders>
              <w:top w:val="nil"/>
              <w:left w:val="nil"/>
              <w:bottom w:val="nil"/>
              <w:right w:val="nil"/>
            </w:tcBorders>
            <w:shd w:val="clear" w:color="auto" w:fill="auto"/>
            <w:noWrap/>
            <w:vAlign w:val="bottom"/>
            <w:hideMark/>
          </w:tcPr>
          <w:p w14:paraId="2CEBD484" w14:textId="77777777" w:rsidR="00754566" w:rsidRPr="00E45821" w:rsidRDefault="00754566" w:rsidP="007A32F8">
            <w:pPr>
              <w:jc w:val="center"/>
              <w:rPr>
                <w:rFonts w:eastAsia="Times New Roman" w:cs="Times New Roman"/>
                <w:b/>
                <w:bCs/>
                <w:sz w:val="20"/>
                <w:szCs w:val="20"/>
              </w:rPr>
            </w:pPr>
            <w:r w:rsidRPr="00E45821">
              <w:rPr>
                <w:rFonts w:eastAsia="Times New Roman" w:cs="Times New Roman"/>
                <w:b/>
                <w:bCs/>
                <w:sz w:val="20"/>
                <w:szCs w:val="20"/>
              </w:rPr>
              <w:t>N (%)</w:t>
            </w:r>
          </w:p>
        </w:tc>
        <w:tc>
          <w:tcPr>
            <w:tcW w:w="1276" w:type="dxa"/>
            <w:tcBorders>
              <w:top w:val="nil"/>
              <w:left w:val="nil"/>
              <w:bottom w:val="nil"/>
              <w:right w:val="nil"/>
            </w:tcBorders>
            <w:vAlign w:val="bottom"/>
          </w:tcPr>
          <w:p w14:paraId="13205832" w14:textId="77777777" w:rsidR="00754566" w:rsidRPr="00B75012" w:rsidRDefault="00754566" w:rsidP="007A32F8">
            <w:pPr>
              <w:jc w:val="center"/>
              <w:rPr>
                <w:rFonts w:eastAsia="Times New Roman" w:cs="Times New Roman"/>
                <w:b/>
                <w:bCs/>
                <w:sz w:val="20"/>
                <w:szCs w:val="20"/>
              </w:rPr>
            </w:pPr>
          </w:p>
        </w:tc>
        <w:tc>
          <w:tcPr>
            <w:tcW w:w="1636" w:type="dxa"/>
            <w:gridSpan w:val="3"/>
            <w:tcBorders>
              <w:top w:val="nil"/>
              <w:left w:val="nil"/>
              <w:bottom w:val="nil"/>
              <w:right w:val="nil"/>
            </w:tcBorders>
            <w:shd w:val="clear" w:color="auto" w:fill="auto"/>
            <w:noWrap/>
            <w:vAlign w:val="bottom"/>
            <w:hideMark/>
          </w:tcPr>
          <w:p w14:paraId="6E449275" w14:textId="03815180" w:rsidR="00754566" w:rsidRPr="00E45821" w:rsidRDefault="00754566" w:rsidP="007A32F8">
            <w:pPr>
              <w:jc w:val="center"/>
              <w:rPr>
                <w:rFonts w:eastAsia="Times New Roman" w:cs="Times New Roman"/>
                <w:b/>
                <w:bCs/>
                <w:sz w:val="20"/>
                <w:szCs w:val="20"/>
              </w:rPr>
            </w:pPr>
            <w:r w:rsidRPr="00E45821">
              <w:rPr>
                <w:rFonts w:eastAsia="Times New Roman" w:cs="Times New Roman"/>
                <w:b/>
                <w:bCs/>
                <w:sz w:val="20"/>
                <w:szCs w:val="20"/>
              </w:rPr>
              <w:t>N (%)</w:t>
            </w:r>
          </w:p>
        </w:tc>
        <w:tc>
          <w:tcPr>
            <w:tcW w:w="1563" w:type="dxa"/>
            <w:gridSpan w:val="2"/>
            <w:tcBorders>
              <w:top w:val="nil"/>
              <w:left w:val="nil"/>
              <w:bottom w:val="nil"/>
              <w:right w:val="nil"/>
            </w:tcBorders>
            <w:shd w:val="clear" w:color="auto" w:fill="auto"/>
            <w:noWrap/>
            <w:vAlign w:val="bottom"/>
            <w:hideMark/>
          </w:tcPr>
          <w:p w14:paraId="57B38FC8" w14:textId="77777777" w:rsidR="00754566" w:rsidRPr="00E45821" w:rsidRDefault="00754566" w:rsidP="007A32F8">
            <w:pPr>
              <w:jc w:val="center"/>
              <w:rPr>
                <w:rFonts w:eastAsia="Times New Roman" w:cs="Times New Roman"/>
                <w:b/>
                <w:bCs/>
                <w:sz w:val="20"/>
                <w:szCs w:val="20"/>
              </w:rPr>
            </w:pPr>
            <w:r w:rsidRPr="00E45821">
              <w:rPr>
                <w:rFonts w:eastAsia="Times New Roman" w:cs="Times New Roman"/>
                <w:b/>
                <w:bCs/>
                <w:sz w:val="20"/>
                <w:szCs w:val="20"/>
              </w:rPr>
              <w:t>N (%)</w:t>
            </w:r>
          </w:p>
        </w:tc>
        <w:tc>
          <w:tcPr>
            <w:tcW w:w="1137" w:type="dxa"/>
            <w:gridSpan w:val="2"/>
            <w:tcBorders>
              <w:top w:val="nil"/>
              <w:left w:val="nil"/>
              <w:bottom w:val="nil"/>
              <w:right w:val="nil"/>
            </w:tcBorders>
            <w:vAlign w:val="bottom"/>
          </w:tcPr>
          <w:p w14:paraId="31077736" w14:textId="77777777" w:rsidR="00754566" w:rsidRPr="00E45821" w:rsidRDefault="00754566" w:rsidP="007A32F8">
            <w:pPr>
              <w:jc w:val="center"/>
              <w:rPr>
                <w:rFonts w:eastAsia="Times New Roman" w:cs="Times New Roman"/>
                <w:b/>
                <w:bCs/>
                <w:sz w:val="20"/>
                <w:szCs w:val="20"/>
              </w:rPr>
            </w:pPr>
          </w:p>
        </w:tc>
        <w:tc>
          <w:tcPr>
            <w:tcW w:w="1113" w:type="dxa"/>
            <w:gridSpan w:val="2"/>
            <w:tcBorders>
              <w:top w:val="nil"/>
              <w:left w:val="nil"/>
              <w:bottom w:val="nil"/>
              <w:right w:val="nil"/>
            </w:tcBorders>
            <w:vAlign w:val="bottom"/>
          </w:tcPr>
          <w:p w14:paraId="06752977" w14:textId="77777777" w:rsidR="00754566" w:rsidRPr="00E45821" w:rsidRDefault="00754566" w:rsidP="007A32F8">
            <w:pPr>
              <w:jc w:val="center"/>
              <w:rPr>
                <w:rFonts w:eastAsia="Times New Roman" w:cs="Times New Roman"/>
                <w:b/>
                <w:bCs/>
                <w:sz w:val="20"/>
                <w:szCs w:val="20"/>
              </w:rPr>
            </w:pPr>
          </w:p>
        </w:tc>
      </w:tr>
      <w:tr w:rsidR="00835719" w:rsidRPr="00B75012" w14:paraId="615A0974" w14:textId="1DB4F9C7" w:rsidTr="009D01D9">
        <w:trPr>
          <w:trHeight w:val="320"/>
        </w:trPr>
        <w:tc>
          <w:tcPr>
            <w:tcW w:w="3369" w:type="dxa"/>
            <w:gridSpan w:val="2"/>
            <w:tcBorders>
              <w:top w:val="nil"/>
              <w:left w:val="nil"/>
              <w:bottom w:val="nil"/>
              <w:right w:val="nil"/>
            </w:tcBorders>
            <w:shd w:val="clear" w:color="auto" w:fill="auto"/>
            <w:noWrap/>
            <w:vAlign w:val="bottom"/>
            <w:hideMark/>
          </w:tcPr>
          <w:p w14:paraId="76733C40" w14:textId="77777777" w:rsidR="00754566" w:rsidRPr="00E45821" w:rsidRDefault="00754566" w:rsidP="00D9157C">
            <w:pPr>
              <w:rPr>
                <w:rFonts w:eastAsia="Times New Roman" w:cs="Times New Roman"/>
                <w:b/>
                <w:bCs/>
                <w:sz w:val="20"/>
                <w:szCs w:val="20"/>
              </w:rPr>
            </w:pPr>
            <w:r w:rsidRPr="00E45821">
              <w:rPr>
                <w:rFonts w:eastAsia="Times New Roman" w:cs="Times New Roman"/>
                <w:b/>
                <w:bCs/>
                <w:sz w:val="20"/>
                <w:szCs w:val="20"/>
              </w:rPr>
              <w:t>Maternal Race/Ethnicity</w:t>
            </w:r>
          </w:p>
        </w:tc>
        <w:tc>
          <w:tcPr>
            <w:tcW w:w="1433" w:type="dxa"/>
            <w:tcBorders>
              <w:top w:val="nil"/>
              <w:left w:val="nil"/>
              <w:bottom w:val="nil"/>
              <w:right w:val="nil"/>
            </w:tcBorders>
            <w:shd w:val="clear" w:color="auto" w:fill="auto"/>
            <w:noWrap/>
            <w:vAlign w:val="bottom"/>
            <w:hideMark/>
          </w:tcPr>
          <w:p w14:paraId="3DDB493A" w14:textId="77777777" w:rsidR="00754566" w:rsidRPr="00E45821" w:rsidRDefault="00754566" w:rsidP="007A32F8">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20951827" w14:textId="77777777" w:rsidR="00754566" w:rsidRPr="00E45821" w:rsidRDefault="00754566" w:rsidP="007A32F8">
            <w:pPr>
              <w:jc w:val="center"/>
              <w:rPr>
                <w:rFonts w:eastAsia="Times New Roman" w:cs="Times New Roman"/>
                <w:sz w:val="20"/>
                <w:szCs w:val="20"/>
              </w:rPr>
            </w:pPr>
          </w:p>
        </w:tc>
        <w:tc>
          <w:tcPr>
            <w:tcW w:w="1276" w:type="dxa"/>
            <w:tcBorders>
              <w:top w:val="nil"/>
              <w:left w:val="nil"/>
              <w:bottom w:val="nil"/>
              <w:right w:val="nil"/>
            </w:tcBorders>
            <w:vAlign w:val="bottom"/>
          </w:tcPr>
          <w:p w14:paraId="3902D943" w14:textId="77777777" w:rsidR="00754566" w:rsidRPr="00B75012" w:rsidRDefault="00754566" w:rsidP="007A32F8">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12CC6118" w14:textId="593A9F6C" w:rsidR="00754566" w:rsidRPr="00E45821" w:rsidRDefault="00754566" w:rsidP="007A32F8">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45B58FCA" w14:textId="77777777" w:rsidR="00754566" w:rsidRPr="00E45821" w:rsidRDefault="00754566" w:rsidP="007A32F8">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42DF0675" w14:textId="77777777" w:rsidR="00754566" w:rsidRPr="00E45821" w:rsidRDefault="00754566" w:rsidP="007A32F8">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01079511" w14:textId="77777777" w:rsidR="00754566" w:rsidRPr="00E45821" w:rsidRDefault="00754566" w:rsidP="007A32F8">
            <w:pPr>
              <w:jc w:val="center"/>
              <w:rPr>
                <w:rFonts w:eastAsia="Times New Roman" w:cs="Times New Roman"/>
                <w:sz w:val="20"/>
                <w:szCs w:val="20"/>
              </w:rPr>
            </w:pPr>
          </w:p>
        </w:tc>
      </w:tr>
      <w:tr w:rsidR="00835719" w:rsidRPr="00B75012" w14:paraId="11493B15" w14:textId="2C679599" w:rsidTr="009D01D9">
        <w:trPr>
          <w:trHeight w:val="380"/>
        </w:trPr>
        <w:tc>
          <w:tcPr>
            <w:tcW w:w="317" w:type="dxa"/>
            <w:tcBorders>
              <w:top w:val="nil"/>
              <w:left w:val="nil"/>
              <w:bottom w:val="nil"/>
              <w:right w:val="nil"/>
            </w:tcBorders>
            <w:shd w:val="clear" w:color="auto" w:fill="auto"/>
            <w:noWrap/>
            <w:vAlign w:val="bottom"/>
            <w:hideMark/>
          </w:tcPr>
          <w:p w14:paraId="56299582" w14:textId="77777777" w:rsidR="00DE5431" w:rsidRPr="00E45821" w:rsidRDefault="00DE5431" w:rsidP="00DE5431">
            <w:pP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14598B6C"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White</w:t>
            </w:r>
          </w:p>
        </w:tc>
        <w:tc>
          <w:tcPr>
            <w:tcW w:w="1433" w:type="dxa"/>
            <w:tcBorders>
              <w:top w:val="nil"/>
              <w:left w:val="nil"/>
              <w:bottom w:val="nil"/>
              <w:right w:val="nil"/>
            </w:tcBorders>
            <w:shd w:val="clear" w:color="auto" w:fill="auto"/>
            <w:noWrap/>
            <w:vAlign w:val="bottom"/>
            <w:hideMark/>
          </w:tcPr>
          <w:p w14:paraId="4A4676F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467 (</w:t>
            </w:r>
            <w:proofErr w:type="gramStart"/>
            <w:r w:rsidRPr="00E45821">
              <w:rPr>
                <w:rFonts w:eastAsia="Times New Roman" w:cs="Times New Roman"/>
                <w:sz w:val="20"/>
                <w:szCs w:val="20"/>
              </w:rPr>
              <w:t>31.1)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0C4FB010"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354 (</w:t>
            </w:r>
            <w:proofErr w:type="gramStart"/>
            <w:r w:rsidRPr="00E45821">
              <w:rPr>
                <w:rFonts w:eastAsia="Times New Roman" w:cs="Times New Roman"/>
                <w:sz w:val="20"/>
                <w:szCs w:val="20"/>
              </w:rPr>
              <w:t>75.8)</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2E2CA027" w14:textId="7FBE5651" w:rsidR="00DE5431" w:rsidRPr="00B75012" w:rsidRDefault="00DE5431" w:rsidP="00DE5431">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68221BB8" w14:textId="7ECA33A8"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292 (37.6)</w:t>
            </w:r>
          </w:p>
        </w:tc>
        <w:tc>
          <w:tcPr>
            <w:tcW w:w="1563" w:type="dxa"/>
            <w:gridSpan w:val="2"/>
            <w:tcBorders>
              <w:top w:val="nil"/>
              <w:left w:val="nil"/>
              <w:bottom w:val="nil"/>
              <w:right w:val="nil"/>
            </w:tcBorders>
            <w:shd w:val="clear" w:color="auto" w:fill="auto"/>
            <w:noWrap/>
            <w:vAlign w:val="bottom"/>
            <w:hideMark/>
          </w:tcPr>
          <w:p w14:paraId="7F8E4DB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163 (</w:t>
            </w:r>
            <w:proofErr w:type="gramStart"/>
            <w:r w:rsidRPr="00E45821">
              <w:rPr>
                <w:rFonts w:eastAsia="Times New Roman" w:cs="Times New Roman"/>
                <w:sz w:val="20"/>
                <w:szCs w:val="20"/>
              </w:rPr>
              <w:t>79.5)</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1CE2CAFA" w14:textId="36B5BF73" w:rsidR="00DE5431" w:rsidRPr="00E45821" w:rsidRDefault="00DE5431" w:rsidP="00DE5431">
            <w:pPr>
              <w:jc w:val="center"/>
              <w:rPr>
                <w:rFonts w:eastAsia="Times New Roman" w:cs="Times New Roman"/>
                <w:sz w:val="20"/>
                <w:szCs w:val="20"/>
              </w:rPr>
            </w:pPr>
            <w:r>
              <w:rPr>
                <w:rFonts w:eastAsia="Times New Roman" w:cs="Times New Roman"/>
                <w:sz w:val="20"/>
                <w:szCs w:val="20"/>
              </w:rPr>
              <w:t>0.098</w:t>
            </w:r>
          </w:p>
        </w:tc>
        <w:tc>
          <w:tcPr>
            <w:tcW w:w="1113" w:type="dxa"/>
            <w:gridSpan w:val="2"/>
            <w:tcBorders>
              <w:top w:val="nil"/>
              <w:left w:val="nil"/>
              <w:bottom w:val="nil"/>
              <w:right w:val="nil"/>
            </w:tcBorders>
            <w:vAlign w:val="bottom"/>
          </w:tcPr>
          <w:p w14:paraId="43919BBB" w14:textId="017507E2" w:rsidR="00DE5431" w:rsidRPr="00E45821" w:rsidRDefault="00DE5431" w:rsidP="00DE5431">
            <w:pPr>
              <w:jc w:val="center"/>
              <w:rPr>
                <w:rFonts w:eastAsia="Times New Roman" w:cs="Times New Roman"/>
                <w:sz w:val="20"/>
                <w:szCs w:val="20"/>
              </w:rPr>
            </w:pPr>
            <w:r>
              <w:rPr>
                <w:rFonts w:eastAsia="Times New Roman" w:cs="Times New Roman"/>
                <w:sz w:val="20"/>
                <w:szCs w:val="20"/>
              </w:rPr>
              <w:t>-</w:t>
            </w:r>
          </w:p>
        </w:tc>
      </w:tr>
      <w:tr w:rsidR="00835719" w:rsidRPr="00B75012" w14:paraId="07865B1F" w14:textId="37ACE2DB" w:rsidTr="009D01D9">
        <w:trPr>
          <w:trHeight w:val="297"/>
        </w:trPr>
        <w:tc>
          <w:tcPr>
            <w:tcW w:w="317" w:type="dxa"/>
            <w:tcBorders>
              <w:top w:val="nil"/>
              <w:left w:val="nil"/>
              <w:bottom w:val="nil"/>
              <w:right w:val="nil"/>
            </w:tcBorders>
            <w:shd w:val="clear" w:color="auto" w:fill="auto"/>
            <w:noWrap/>
            <w:vAlign w:val="bottom"/>
            <w:hideMark/>
          </w:tcPr>
          <w:p w14:paraId="416C4C00"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72AC7EC1"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Black/African American</w:t>
            </w:r>
          </w:p>
        </w:tc>
        <w:tc>
          <w:tcPr>
            <w:tcW w:w="1433" w:type="dxa"/>
            <w:tcBorders>
              <w:top w:val="nil"/>
              <w:left w:val="nil"/>
              <w:bottom w:val="nil"/>
              <w:right w:val="nil"/>
            </w:tcBorders>
            <w:shd w:val="clear" w:color="auto" w:fill="auto"/>
            <w:noWrap/>
            <w:vAlign w:val="bottom"/>
            <w:hideMark/>
          </w:tcPr>
          <w:p w14:paraId="5E879B63"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936 (</w:t>
            </w:r>
            <w:proofErr w:type="gramStart"/>
            <w:r w:rsidRPr="00E45821">
              <w:rPr>
                <w:rFonts w:eastAsia="Times New Roman" w:cs="Times New Roman"/>
                <w:sz w:val="20"/>
                <w:szCs w:val="20"/>
              </w:rPr>
              <w:t>62.3)</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136106C0"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10 (</w:t>
            </w:r>
            <w:proofErr w:type="gramStart"/>
            <w:r w:rsidRPr="00E45821">
              <w:rPr>
                <w:rFonts w:eastAsia="Times New Roman" w:cs="Times New Roman"/>
                <w:sz w:val="20"/>
                <w:szCs w:val="20"/>
              </w:rPr>
              <w:t>2.1)</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27C27C76"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0C4CA8CD" w14:textId="01B21454"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438 (56.4)</w:t>
            </w:r>
          </w:p>
        </w:tc>
        <w:tc>
          <w:tcPr>
            <w:tcW w:w="1563" w:type="dxa"/>
            <w:gridSpan w:val="2"/>
            <w:tcBorders>
              <w:top w:val="nil"/>
              <w:left w:val="nil"/>
              <w:bottom w:val="nil"/>
              <w:right w:val="nil"/>
            </w:tcBorders>
            <w:shd w:val="clear" w:color="auto" w:fill="auto"/>
            <w:noWrap/>
            <w:vAlign w:val="bottom"/>
            <w:hideMark/>
          </w:tcPr>
          <w:p w14:paraId="73F48B06"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 (</w:t>
            </w:r>
            <w:proofErr w:type="gramStart"/>
            <w:r w:rsidRPr="00E45821">
              <w:rPr>
                <w:rFonts w:eastAsia="Times New Roman" w:cs="Times New Roman"/>
                <w:sz w:val="20"/>
                <w:szCs w:val="20"/>
              </w:rPr>
              <w:t>2.0)</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7E87BAC1"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38147E17" w14:textId="77777777" w:rsidR="00DE5431" w:rsidRPr="00E45821" w:rsidRDefault="00DE5431" w:rsidP="00DE5431">
            <w:pPr>
              <w:jc w:val="center"/>
              <w:rPr>
                <w:rFonts w:eastAsia="Times New Roman" w:cs="Times New Roman"/>
                <w:sz w:val="20"/>
                <w:szCs w:val="20"/>
              </w:rPr>
            </w:pPr>
          </w:p>
        </w:tc>
      </w:tr>
      <w:tr w:rsidR="00835719" w:rsidRPr="00B75012" w14:paraId="071AFB90" w14:textId="50210A93" w:rsidTr="009D01D9">
        <w:trPr>
          <w:trHeight w:val="270"/>
        </w:trPr>
        <w:tc>
          <w:tcPr>
            <w:tcW w:w="317" w:type="dxa"/>
            <w:tcBorders>
              <w:top w:val="nil"/>
              <w:left w:val="nil"/>
              <w:bottom w:val="nil"/>
              <w:right w:val="nil"/>
            </w:tcBorders>
            <w:shd w:val="clear" w:color="auto" w:fill="auto"/>
            <w:noWrap/>
            <w:vAlign w:val="bottom"/>
            <w:hideMark/>
          </w:tcPr>
          <w:p w14:paraId="48626424"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01A8958B"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Asian</w:t>
            </w:r>
          </w:p>
        </w:tc>
        <w:tc>
          <w:tcPr>
            <w:tcW w:w="1433" w:type="dxa"/>
            <w:tcBorders>
              <w:top w:val="nil"/>
              <w:left w:val="nil"/>
              <w:bottom w:val="nil"/>
              <w:right w:val="nil"/>
            </w:tcBorders>
            <w:shd w:val="clear" w:color="auto" w:fill="auto"/>
            <w:noWrap/>
            <w:vAlign w:val="bottom"/>
            <w:hideMark/>
          </w:tcPr>
          <w:p w14:paraId="3B7DAE84"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13 (</w:t>
            </w:r>
            <w:proofErr w:type="gramStart"/>
            <w:r w:rsidRPr="00E45821">
              <w:rPr>
                <w:rFonts w:eastAsia="Times New Roman" w:cs="Times New Roman"/>
                <w:sz w:val="20"/>
                <w:szCs w:val="20"/>
              </w:rPr>
              <w:t>0.9)</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5F9CE08F"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13 (</w:t>
            </w:r>
            <w:proofErr w:type="gramStart"/>
            <w:r w:rsidRPr="00E45821">
              <w:rPr>
                <w:rFonts w:eastAsia="Times New Roman" w:cs="Times New Roman"/>
                <w:sz w:val="20"/>
                <w:szCs w:val="20"/>
              </w:rPr>
              <w:t>2.8)</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1B7D4CE6"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205FB4C1" w14:textId="0BF39A90"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6 (0.8)</w:t>
            </w:r>
          </w:p>
        </w:tc>
        <w:tc>
          <w:tcPr>
            <w:tcW w:w="1563" w:type="dxa"/>
            <w:gridSpan w:val="2"/>
            <w:tcBorders>
              <w:top w:val="nil"/>
              <w:left w:val="nil"/>
              <w:bottom w:val="nil"/>
              <w:right w:val="nil"/>
            </w:tcBorders>
            <w:shd w:val="clear" w:color="auto" w:fill="auto"/>
            <w:noWrap/>
            <w:vAlign w:val="bottom"/>
            <w:hideMark/>
          </w:tcPr>
          <w:p w14:paraId="12A60BAF"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7 (</w:t>
            </w:r>
            <w:proofErr w:type="gramStart"/>
            <w:r w:rsidRPr="00E45821">
              <w:rPr>
                <w:rFonts w:eastAsia="Times New Roman" w:cs="Times New Roman"/>
                <w:sz w:val="20"/>
                <w:szCs w:val="20"/>
              </w:rPr>
              <w:t>3.4)</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1E9F7FB9"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67F39945" w14:textId="77777777" w:rsidR="00DE5431" w:rsidRPr="00E45821" w:rsidRDefault="00DE5431" w:rsidP="00DE5431">
            <w:pPr>
              <w:jc w:val="center"/>
              <w:rPr>
                <w:rFonts w:eastAsia="Times New Roman" w:cs="Times New Roman"/>
                <w:sz w:val="20"/>
                <w:szCs w:val="20"/>
              </w:rPr>
            </w:pPr>
          </w:p>
        </w:tc>
      </w:tr>
      <w:tr w:rsidR="00835719" w:rsidRPr="00B75012" w14:paraId="0B2A608F" w14:textId="6D94DBF8" w:rsidTr="009D01D9">
        <w:trPr>
          <w:trHeight w:val="270"/>
        </w:trPr>
        <w:tc>
          <w:tcPr>
            <w:tcW w:w="317" w:type="dxa"/>
            <w:tcBorders>
              <w:top w:val="nil"/>
              <w:left w:val="nil"/>
              <w:bottom w:val="nil"/>
              <w:right w:val="nil"/>
            </w:tcBorders>
            <w:shd w:val="clear" w:color="auto" w:fill="auto"/>
            <w:noWrap/>
            <w:vAlign w:val="bottom"/>
            <w:hideMark/>
          </w:tcPr>
          <w:p w14:paraId="313185A0"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53E01B72"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Native Hawaiian Pacific Islander</w:t>
            </w:r>
          </w:p>
        </w:tc>
        <w:tc>
          <w:tcPr>
            <w:tcW w:w="1433" w:type="dxa"/>
            <w:tcBorders>
              <w:top w:val="nil"/>
              <w:left w:val="nil"/>
              <w:bottom w:val="nil"/>
              <w:right w:val="nil"/>
            </w:tcBorders>
            <w:shd w:val="clear" w:color="auto" w:fill="auto"/>
            <w:noWrap/>
            <w:vAlign w:val="bottom"/>
            <w:hideMark/>
          </w:tcPr>
          <w:p w14:paraId="5789D9D3"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 (</w:t>
            </w:r>
            <w:proofErr w:type="gramStart"/>
            <w:r w:rsidRPr="00E45821">
              <w:rPr>
                <w:rFonts w:eastAsia="Times New Roman" w:cs="Times New Roman"/>
                <w:sz w:val="20"/>
                <w:szCs w:val="20"/>
              </w:rPr>
              <w:t>0.1)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5E7665B1"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0 (0)</w:t>
            </w:r>
          </w:p>
        </w:tc>
        <w:tc>
          <w:tcPr>
            <w:tcW w:w="1276" w:type="dxa"/>
            <w:tcBorders>
              <w:top w:val="nil"/>
              <w:left w:val="nil"/>
              <w:bottom w:val="nil"/>
              <w:right w:val="nil"/>
            </w:tcBorders>
            <w:vAlign w:val="bottom"/>
          </w:tcPr>
          <w:p w14:paraId="1C4749B5"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7F2822AB" w14:textId="17471041"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0 (0)</w:t>
            </w:r>
          </w:p>
        </w:tc>
        <w:tc>
          <w:tcPr>
            <w:tcW w:w="1563" w:type="dxa"/>
            <w:gridSpan w:val="2"/>
            <w:tcBorders>
              <w:top w:val="nil"/>
              <w:left w:val="nil"/>
              <w:bottom w:val="nil"/>
              <w:right w:val="nil"/>
            </w:tcBorders>
            <w:shd w:val="clear" w:color="auto" w:fill="auto"/>
            <w:noWrap/>
            <w:vAlign w:val="bottom"/>
            <w:hideMark/>
          </w:tcPr>
          <w:p w14:paraId="41C7057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0 (0)</w:t>
            </w:r>
          </w:p>
        </w:tc>
        <w:tc>
          <w:tcPr>
            <w:tcW w:w="1137" w:type="dxa"/>
            <w:gridSpan w:val="2"/>
            <w:tcBorders>
              <w:top w:val="nil"/>
              <w:left w:val="nil"/>
              <w:bottom w:val="nil"/>
              <w:right w:val="nil"/>
            </w:tcBorders>
            <w:vAlign w:val="bottom"/>
          </w:tcPr>
          <w:p w14:paraId="02C7B4CE"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426FF21E" w14:textId="77777777" w:rsidR="00DE5431" w:rsidRPr="00E45821" w:rsidRDefault="00DE5431" w:rsidP="00DE5431">
            <w:pPr>
              <w:jc w:val="center"/>
              <w:rPr>
                <w:rFonts w:eastAsia="Times New Roman" w:cs="Times New Roman"/>
                <w:sz w:val="20"/>
                <w:szCs w:val="20"/>
              </w:rPr>
            </w:pPr>
          </w:p>
        </w:tc>
      </w:tr>
      <w:tr w:rsidR="00835719" w:rsidRPr="00B75012" w14:paraId="77F1D1DE" w14:textId="297C781B" w:rsidTr="009D01D9">
        <w:trPr>
          <w:trHeight w:val="270"/>
        </w:trPr>
        <w:tc>
          <w:tcPr>
            <w:tcW w:w="317" w:type="dxa"/>
            <w:tcBorders>
              <w:top w:val="nil"/>
              <w:left w:val="nil"/>
              <w:bottom w:val="nil"/>
              <w:right w:val="nil"/>
            </w:tcBorders>
            <w:shd w:val="clear" w:color="auto" w:fill="auto"/>
            <w:noWrap/>
            <w:vAlign w:val="bottom"/>
            <w:hideMark/>
          </w:tcPr>
          <w:p w14:paraId="73C700BF"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3474A56F"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American Indian/Alaska Native</w:t>
            </w:r>
          </w:p>
        </w:tc>
        <w:tc>
          <w:tcPr>
            <w:tcW w:w="1433" w:type="dxa"/>
            <w:tcBorders>
              <w:top w:val="nil"/>
              <w:left w:val="nil"/>
              <w:bottom w:val="nil"/>
              <w:right w:val="nil"/>
            </w:tcBorders>
            <w:shd w:val="clear" w:color="auto" w:fill="auto"/>
            <w:noWrap/>
            <w:vAlign w:val="bottom"/>
            <w:hideMark/>
          </w:tcPr>
          <w:p w14:paraId="79FB6B83"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 (</w:t>
            </w:r>
            <w:proofErr w:type="gramStart"/>
            <w:r w:rsidRPr="00E45821">
              <w:rPr>
                <w:rFonts w:eastAsia="Times New Roman" w:cs="Times New Roman"/>
                <w:sz w:val="20"/>
                <w:szCs w:val="20"/>
              </w:rPr>
              <w:t>0.1)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D5878C6"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 (</w:t>
            </w:r>
            <w:proofErr w:type="gramStart"/>
            <w:r w:rsidRPr="00E45821">
              <w:rPr>
                <w:rFonts w:eastAsia="Times New Roman" w:cs="Times New Roman"/>
                <w:sz w:val="20"/>
                <w:szCs w:val="20"/>
              </w:rPr>
              <w:t>0.9)</w:t>
            </w:r>
            <w:r w:rsidRPr="00E45821">
              <w:rPr>
                <w:rFonts w:ascii="Cambria Math" w:eastAsia="Times New Roman" w:hAnsi="Cambria Math" w:cs="Cambria Math"/>
                <w:sz w:val="20"/>
                <w:szCs w:val="20"/>
                <w:vertAlign w:val="superscript"/>
              </w:rPr>
              <w:t>⍭</w:t>
            </w:r>
            <w:proofErr w:type="gramEnd"/>
            <w:r w:rsidRPr="00E45821">
              <w:rPr>
                <w:rFonts w:eastAsia="Times New Roman" w:cs="Times New Roman"/>
                <w:sz w:val="20"/>
                <w:szCs w:val="20"/>
                <w:vertAlign w:val="superscript"/>
              </w:rPr>
              <w:t>.</w:t>
            </w:r>
          </w:p>
        </w:tc>
        <w:tc>
          <w:tcPr>
            <w:tcW w:w="1276" w:type="dxa"/>
            <w:tcBorders>
              <w:top w:val="nil"/>
              <w:left w:val="nil"/>
              <w:bottom w:val="nil"/>
              <w:right w:val="nil"/>
            </w:tcBorders>
            <w:vAlign w:val="bottom"/>
          </w:tcPr>
          <w:p w14:paraId="325172E9"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061E2B42" w14:textId="43A8805E"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0 (0)</w:t>
            </w:r>
          </w:p>
        </w:tc>
        <w:tc>
          <w:tcPr>
            <w:tcW w:w="1563" w:type="dxa"/>
            <w:gridSpan w:val="2"/>
            <w:tcBorders>
              <w:top w:val="nil"/>
              <w:left w:val="nil"/>
              <w:bottom w:val="nil"/>
              <w:right w:val="nil"/>
            </w:tcBorders>
            <w:shd w:val="clear" w:color="auto" w:fill="auto"/>
            <w:noWrap/>
            <w:vAlign w:val="bottom"/>
            <w:hideMark/>
          </w:tcPr>
          <w:p w14:paraId="4E6E48F6"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 (</w:t>
            </w:r>
            <w:proofErr w:type="gramStart"/>
            <w:r w:rsidRPr="00E45821">
              <w:rPr>
                <w:rFonts w:eastAsia="Times New Roman" w:cs="Times New Roman"/>
                <w:sz w:val="20"/>
                <w:szCs w:val="20"/>
              </w:rPr>
              <w:t>1.0)</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271875C8"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706B488E" w14:textId="77777777" w:rsidR="00DE5431" w:rsidRPr="00E45821" w:rsidRDefault="00DE5431" w:rsidP="00DE5431">
            <w:pPr>
              <w:jc w:val="center"/>
              <w:rPr>
                <w:rFonts w:eastAsia="Times New Roman" w:cs="Times New Roman"/>
                <w:sz w:val="20"/>
                <w:szCs w:val="20"/>
              </w:rPr>
            </w:pPr>
          </w:p>
        </w:tc>
      </w:tr>
      <w:tr w:rsidR="00835719" w:rsidRPr="00B75012" w14:paraId="41DB3BD9" w14:textId="45A8577A" w:rsidTr="009D01D9">
        <w:trPr>
          <w:trHeight w:val="270"/>
        </w:trPr>
        <w:tc>
          <w:tcPr>
            <w:tcW w:w="317" w:type="dxa"/>
            <w:tcBorders>
              <w:top w:val="nil"/>
              <w:left w:val="nil"/>
              <w:bottom w:val="nil"/>
              <w:right w:val="nil"/>
            </w:tcBorders>
            <w:shd w:val="clear" w:color="auto" w:fill="auto"/>
            <w:noWrap/>
            <w:vAlign w:val="bottom"/>
            <w:hideMark/>
          </w:tcPr>
          <w:p w14:paraId="130D1CF3"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791C4DF2"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Other</w:t>
            </w:r>
          </w:p>
        </w:tc>
        <w:tc>
          <w:tcPr>
            <w:tcW w:w="1433" w:type="dxa"/>
            <w:tcBorders>
              <w:top w:val="nil"/>
              <w:left w:val="nil"/>
              <w:bottom w:val="nil"/>
              <w:right w:val="nil"/>
            </w:tcBorders>
            <w:shd w:val="clear" w:color="auto" w:fill="auto"/>
            <w:noWrap/>
            <w:vAlign w:val="bottom"/>
            <w:hideMark/>
          </w:tcPr>
          <w:p w14:paraId="4DE73B8B"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77 (</w:t>
            </w:r>
            <w:proofErr w:type="gramStart"/>
            <w:r w:rsidRPr="00E45821">
              <w:rPr>
                <w:rFonts w:eastAsia="Times New Roman" w:cs="Times New Roman"/>
                <w:sz w:val="20"/>
                <w:szCs w:val="20"/>
              </w:rPr>
              <w:t>5.1)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AE41C70"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37 (</w:t>
            </w:r>
            <w:proofErr w:type="gramStart"/>
            <w:r w:rsidRPr="00E45821">
              <w:rPr>
                <w:rFonts w:eastAsia="Times New Roman" w:cs="Times New Roman"/>
                <w:sz w:val="20"/>
                <w:szCs w:val="20"/>
              </w:rPr>
              <w:t>7.9)</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318056A4"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5C23BF77" w14:textId="1B694B74"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37 (4.8)</w:t>
            </w:r>
          </w:p>
        </w:tc>
        <w:tc>
          <w:tcPr>
            <w:tcW w:w="1563" w:type="dxa"/>
            <w:gridSpan w:val="2"/>
            <w:tcBorders>
              <w:top w:val="nil"/>
              <w:left w:val="nil"/>
              <w:bottom w:val="nil"/>
              <w:right w:val="nil"/>
            </w:tcBorders>
            <w:shd w:val="clear" w:color="auto" w:fill="auto"/>
            <w:noWrap/>
            <w:vAlign w:val="bottom"/>
            <w:hideMark/>
          </w:tcPr>
          <w:p w14:paraId="62751CB5"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12 (</w:t>
            </w:r>
            <w:proofErr w:type="gramStart"/>
            <w:r w:rsidRPr="00E45821">
              <w:rPr>
                <w:rFonts w:eastAsia="Times New Roman" w:cs="Times New Roman"/>
                <w:sz w:val="20"/>
                <w:szCs w:val="20"/>
              </w:rPr>
              <w:t>5.9)</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6630BE82"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77095D3C" w14:textId="77777777" w:rsidR="00DE5431" w:rsidRPr="00E45821" w:rsidRDefault="00DE5431" w:rsidP="00DE5431">
            <w:pPr>
              <w:jc w:val="center"/>
              <w:rPr>
                <w:rFonts w:eastAsia="Times New Roman" w:cs="Times New Roman"/>
                <w:sz w:val="20"/>
                <w:szCs w:val="20"/>
              </w:rPr>
            </w:pPr>
          </w:p>
        </w:tc>
      </w:tr>
      <w:tr w:rsidR="00835719" w:rsidRPr="00B75012" w14:paraId="1AB6A8E9" w14:textId="332C40AF" w:rsidTr="009D01D9">
        <w:trPr>
          <w:trHeight w:val="270"/>
        </w:trPr>
        <w:tc>
          <w:tcPr>
            <w:tcW w:w="317" w:type="dxa"/>
            <w:tcBorders>
              <w:top w:val="nil"/>
              <w:left w:val="nil"/>
              <w:bottom w:val="nil"/>
              <w:right w:val="nil"/>
            </w:tcBorders>
            <w:shd w:val="clear" w:color="auto" w:fill="auto"/>
            <w:noWrap/>
            <w:vAlign w:val="bottom"/>
            <w:hideMark/>
          </w:tcPr>
          <w:p w14:paraId="1293C37C"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49BF22BF"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Multiple Race</w:t>
            </w:r>
          </w:p>
        </w:tc>
        <w:tc>
          <w:tcPr>
            <w:tcW w:w="1433" w:type="dxa"/>
            <w:tcBorders>
              <w:top w:val="nil"/>
              <w:left w:val="nil"/>
              <w:bottom w:val="nil"/>
              <w:right w:val="nil"/>
            </w:tcBorders>
            <w:shd w:val="clear" w:color="auto" w:fill="auto"/>
            <w:noWrap/>
            <w:vAlign w:val="bottom"/>
            <w:hideMark/>
          </w:tcPr>
          <w:p w14:paraId="44A4C3CA"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6 (</w:t>
            </w:r>
            <w:proofErr w:type="gramStart"/>
            <w:r w:rsidRPr="00E45821">
              <w:rPr>
                <w:rFonts w:eastAsia="Times New Roman" w:cs="Times New Roman"/>
                <w:sz w:val="20"/>
                <w:szCs w:val="20"/>
              </w:rPr>
              <w:t>0.4)</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7FF80461"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12 (</w:t>
            </w:r>
            <w:proofErr w:type="gramStart"/>
            <w:r w:rsidRPr="00E45821">
              <w:rPr>
                <w:rFonts w:eastAsia="Times New Roman" w:cs="Times New Roman"/>
                <w:sz w:val="20"/>
                <w:szCs w:val="20"/>
              </w:rPr>
              <w:t>2.6)</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11DBACA8"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68CD01EF" w14:textId="0F10C82A"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 (0.4)</w:t>
            </w:r>
          </w:p>
        </w:tc>
        <w:tc>
          <w:tcPr>
            <w:tcW w:w="1563" w:type="dxa"/>
            <w:gridSpan w:val="2"/>
            <w:tcBorders>
              <w:top w:val="nil"/>
              <w:left w:val="nil"/>
              <w:bottom w:val="nil"/>
              <w:right w:val="nil"/>
            </w:tcBorders>
            <w:shd w:val="clear" w:color="auto" w:fill="auto"/>
            <w:noWrap/>
            <w:vAlign w:val="bottom"/>
            <w:hideMark/>
          </w:tcPr>
          <w:p w14:paraId="1BD0220A"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 (</w:t>
            </w:r>
            <w:proofErr w:type="gramStart"/>
            <w:r w:rsidRPr="00E45821">
              <w:rPr>
                <w:rFonts w:eastAsia="Times New Roman" w:cs="Times New Roman"/>
                <w:sz w:val="20"/>
                <w:szCs w:val="20"/>
              </w:rPr>
              <w:t>1.5)</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43BA4E51"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5D5B63F9" w14:textId="77777777" w:rsidR="00DE5431" w:rsidRPr="00E45821" w:rsidRDefault="00DE5431" w:rsidP="00DE5431">
            <w:pPr>
              <w:jc w:val="center"/>
              <w:rPr>
                <w:rFonts w:eastAsia="Times New Roman" w:cs="Times New Roman"/>
                <w:sz w:val="20"/>
                <w:szCs w:val="20"/>
              </w:rPr>
            </w:pPr>
          </w:p>
        </w:tc>
      </w:tr>
      <w:tr w:rsidR="00835719" w:rsidRPr="00B75012" w14:paraId="18EC0949" w14:textId="3288D925" w:rsidTr="009D01D9">
        <w:trPr>
          <w:trHeight w:val="450"/>
        </w:trPr>
        <w:tc>
          <w:tcPr>
            <w:tcW w:w="3369" w:type="dxa"/>
            <w:gridSpan w:val="2"/>
            <w:tcBorders>
              <w:top w:val="nil"/>
              <w:left w:val="nil"/>
              <w:bottom w:val="nil"/>
              <w:right w:val="nil"/>
            </w:tcBorders>
            <w:shd w:val="clear" w:color="auto" w:fill="auto"/>
            <w:noWrap/>
            <w:vAlign w:val="bottom"/>
            <w:hideMark/>
          </w:tcPr>
          <w:p w14:paraId="6C7AACDD" w14:textId="77777777" w:rsidR="00DE5431" w:rsidRPr="00E45821" w:rsidRDefault="00DE5431" w:rsidP="00DE5431">
            <w:pPr>
              <w:rPr>
                <w:rFonts w:eastAsia="Times New Roman" w:cs="Times New Roman"/>
                <w:b/>
                <w:bCs/>
                <w:sz w:val="20"/>
                <w:szCs w:val="20"/>
              </w:rPr>
            </w:pPr>
            <w:r w:rsidRPr="00E45821">
              <w:rPr>
                <w:rFonts w:eastAsia="Times New Roman" w:cs="Times New Roman"/>
                <w:b/>
                <w:bCs/>
                <w:sz w:val="20"/>
                <w:szCs w:val="20"/>
              </w:rPr>
              <w:t>Offspring Sex</w:t>
            </w:r>
          </w:p>
        </w:tc>
        <w:tc>
          <w:tcPr>
            <w:tcW w:w="1433" w:type="dxa"/>
            <w:tcBorders>
              <w:top w:val="nil"/>
              <w:left w:val="nil"/>
              <w:bottom w:val="nil"/>
              <w:right w:val="nil"/>
            </w:tcBorders>
            <w:shd w:val="clear" w:color="auto" w:fill="auto"/>
            <w:noWrap/>
            <w:vAlign w:val="bottom"/>
            <w:hideMark/>
          </w:tcPr>
          <w:p w14:paraId="3946794C" w14:textId="77777777" w:rsidR="00DE5431" w:rsidRPr="00E45821" w:rsidRDefault="00DE5431" w:rsidP="00DE5431">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5FA8185F" w14:textId="77777777" w:rsidR="00DE5431" w:rsidRPr="00E45821" w:rsidRDefault="00DE5431" w:rsidP="00DE5431">
            <w:pPr>
              <w:jc w:val="center"/>
              <w:rPr>
                <w:rFonts w:eastAsia="Times New Roman" w:cs="Times New Roman"/>
                <w:sz w:val="20"/>
                <w:szCs w:val="20"/>
              </w:rPr>
            </w:pPr>
          </w:p>
        </w:tc>
        <w:tc>
          <w:tcPr>
            <w:tcW w:w="1276" w:type="dxa"/>
            <w:tcBorders>
              <w:top w:val="nil"/>
              <w:left w:val="nil"/>
              <w:bottom w:val="nil"/>
              <w:right w:val="nil"/>
            </w:tcBorders>
            <w:vAlign w:val="bottom"/>
          </w:tcPr>
          <w:p w14:paraId="75DF8854"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4EBBE474" w14:textId="0B3B1D4B" w:rsidR="00DE5431" w:rsidRPr="00E45821" w:rsidRDefault="00DE5431" w:rsidP="00DE5431">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19381E38" w14:textId="77777777" w:rsidR="00DE5431" w:rsidRPr="00E45821" w:rsidRDefault="00DE5431" w:rsidP="00DE5431">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46FF4080"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495A4318" w14:textId="77777777" w:rsidR="00DE5431" w:rsidRPr="00E45821" w:rsidRDefault="00DE5431" w:rsidP="00DE5431">
            <w:pPr>
              <w:jc w:val="center"/>
              <w:rPr>
                <w:rFonts w:eastAsia="Times New Roman" w:cs="Times New Roman"/>
                <w:sz w:val="20"/>
                <w:szCs w:val="20"/>
              </w:rPr>
            </w:pPr>
          </w:p>
        </w:tc>
      </w:tr>
      <w:tr w:rsidR="00835719" w:rsidRPr="00B75012" w14:paraId="5E6F234D" w14:textId="1A4BAF1C" w:rsidTr="009D01D9">
        <w:trPr>
          <w:trHeight w:val="380"/>
        </w:trPr>
        <w:tc>
          <w:tcPr>
            <w:tcW w:w="317" w:type="dxa"/>
            <w:tcBorders>
              <w:top w:val="nil"/>
              <w:left w:val="nil"/>
              <w:bottom w:val="nil"/>
              <w:right w:val="nil"/>
            </w:tcBorders>
            <w:shd w:val="clear" w:color="auto" w:fill="auto"/>
            <w:noWrap/>
            <w:vAlign w:val="bottom"/>
            <w:hideMark/>
          </w:tcPr>
          <w:p w14:paraId="322CFF2D"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03462A08"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Male</w:t>
            </w:r>
          </w:p>
        </w:tc>
        <w:tc>
          <w:tcPr>
            <w:tcW w:w="1433" w:type="dxa"/>
            <w:tcBorders>
              <w:top w:val="nil"/>
              <w:left w:val="nil"/>
              <w:bottom w:val="nil"/>
              <w:right w:val="nil"/>
            </w:tcBorders>
            <w:shd w:val="clear" w:color="auto" w:fill="auto"/>
            <w:noWrap/>
            <w:vAlign w:val="bottom"/>
            <w:hideMark/>
          </w:tcPr>
          <w:p w14:paraId="35C72FB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736 (</w:t>
            </w:r>
            <w:proofErr w:type="gramStart"/>
            <w:r w:rsidRPr="00E45821">
              <w:rPr>
                <w:rFonts w:eastAsia="Times New Roman" w:cs="Times New Roman"/>
                <w:sz w:val="20"/>
                <w:szCs w:val="20"/>
              </w:rPr>
              <w:t>49.0)</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57EBC9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240 (51.4)</w:t>
            </w:r>
          </w:p>
        </w:tc>
        <w:tc>
          <w:tcPr>
            <w:tcW w:w="1276" w:type="dxa"/>
            <w:tcBorders>
              <w:top w:val="nil"/>
              <w:left w:val="nil"/>
              <w:bottom w:val="nil"/>
              <w:right w:val="nil"/>
            </w:tcBorders>
            <w:vAlign w:val="bottom"/>
          </w:tcPr>
          <w:p w14:paraId="2C2A9494" w14:textId="3D138E40" w:rsidR="00835719" w:rsidRPr="00B75012" w:rsidRDefault="00835719" w:rsidP="00835719">
            <w:pPr>
              <w:jc w:val="center"/>
              <w:rPr>
                <w:rFonts w:eastAsia="Times New Roman" w:cs="Times New Roman"/>
                <w:sz w:val="20"/>
                <w:szCs w:val="20"/>
              </w:rPr>
            </w:pPr>
            <w:r>
              <w:rPr>
                <w:rFonts w:eastAsia="Times New Roman" w:cs="Times New Roman"/>
                <w:sz w:val="20"/>
                <w:szCs w:val="20"/>
              </w:rPr>
              <w:t>0.002</w:t>
            </w:r>
          </w:p>
        </w:tc>
        <w:tc>
          <w:tcPr>
            <w:tcW w:w="1636" w:type="dxa"/>
            <w:gridSpan w:val="3"/>
            <w:tcBorders>
              <w:top w:val="nil"/>
              <w:left w:val="nil"/>
              <w:bottom w:val="nil"/>
              <w:right w:val="nil"/>
            </w:tcBorders>
            <w:shd w:val="clear" w:color="auto" w:fill="auto"/>
            <w:noWrap/>
            <w:vAlign w:val="bottom"/>
            <w:hideMark/>
          </w:tcPr>
          <w:p w14:paraId="5A163C1B" w14:textId="3D421BA0"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381 (49.1)</w:t>
            </w:r>
          </w:p>
        </w:tc>
        <w:tc>
          <w:tcPr>
            <w:tcW w:w="1563" w:type="dxa"/>
            <w:gridSpan w:val="2"/>
            <w:tcBorders>
              <w:top w:val="nil"/>
              <w:left w:val="nil"/>
              <w:bottom w:val="nil"/>
              <w:right w:val="nil"/>
            </w:tcBorders>
            <w:shd w:val="clear" w:color="auto" w:fill="auto"/>
            <w:noWrap/>
            <w:vAlign w:val="bottom"/>
            <w:hideMark/>
          </w:tcPr>
          <w:p w14:paraId="220CC1AF"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108 (52.7)</w:t>
            </w:r>
          </w:p>
        </w:tc>
        <w:tc>
          <w:tcPr>
            <w:tcW w:w="1137" w:type="dxa"/>
            <w:gridSpan w:val="2"/>
            <w:tcBorders>
              <w:top w:val="nil"/>
              <w:left w:val="nil"/>
              <w:bottom w:val="nil"/>
              <w:right w:val="nil"/>
            </w:tcBorders>
            <w:vAlign w:val="bottom"/>
          </w:tcPr>
          <w:p w14:paraId="64897AE5" w14:textId="161B540C" w:rsidR="00835719" w:rsidRPr="00E45821" w:rsidRDefault="00835719" w:rsidP="00835719">
            <w:pPr>
              <w:jc w:val="center"/>
              <w:rPr>
                <w:rFonts w:eastAsia="Times New Roman" w:cs="Times New Roman"/>
                <w:sz w:val="20"/>
                <w:szCs w:val="20"/>
              </w:rPr>
            </w:pPr>
            <w:r>
              <w:rPr>
                <w:rFonts w:eastAsia="Times New Roman" w:cs="Times New Roman"/>
                <w:sz w:val="20"/>
                <w:szCs w:val="20"/>
              </w:rPr>
              <w:t>0.617</w:t>
            </w:r>
          </w:p>
        </w:tc>
        <w:tc>
          <w:tcPr>
            <w:tcW w:w="1113" w:type="dxa"/>
            <w:gridSpan w:val="2"/>
            <w:tcBorders>
              <w:top w:val="nil"/>
              <w:left w:val="nil"/>
              <w:bottom w:val="nil"/>
              <w:right w:val="nil"/>
            </w:tcBorders>
            <w:vAlign w:val="bottom"/>
          </w:tcPr>
          <w:p w14:paraId="093C861A" w14:textId="22F1C83E" w:rsidR="00835719" w:rsidRPr="00E45821" w:rsidRDefault="00835719" w:rsidP="00835719">
            <w:pPr>
              <w:jc w:val="center"/>
              <w:rPr>
                <w:rFonts w:eastAsia="Times New Roman" w:cs="Times New Roman"/>
                <w:sz w:val="20"/>
                <w:szCs w:val="20"/>
              </w:rPr>
            </w:pPr>
            <w:r>
              <w:rPr>
                <w:rFonts w:eastAsia="Times New Roman" w:cs="Times New Roman"/>
                <w:sz w:val="20"/>
                <w:szCs w:val="20"/>
              </w:rPr>
              <w:t>0.936</w:t>
            </w:r>
          </w:p>
        </w:tc>
      </w:tr>
      <w:tr w:rsidR="00835719" w:rsidRPr="00B75012" w14:paraId="4848A68F" w14:textId="42B3D571" w:rsidTr="009D01D9">
        <w:trPr>
          <w:trHeight w:val="252"/>
        </w:trPr>
        <w:tc>
          <w:tcPr>
            <w:tcW w:w="317" w:type="dxa"/>
            <w:tcBorders>
              <w:top w:val="nil"/>
              <w:left w:val="nil"/>
              <w:bottom w:val="nil"/>
              <w:right w:val="nil"/>
            </w:tcBorders>
            <w:shd w:val="clear" w:color="auto" w:fill="auto"/>
            <w:noWrap/>
            <w:vAlign w:val="bottom"/>
            <w:hideMark/>
          </w:tcPr>
          <w:p w14:paraId="68AA1ACF"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60D36F3C"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Female</w:t>
            </w:r>
          </w:p>
        </w:tc>
        <w:tc>
          <w:tcPr>
            <w:tcW w:w="1433" w:type="dxa"/>
            <w:tcBorders>
              <w:top w:val="nil"/>
              <w:left w:val="nil"/>
              <w:bottom w:val="nil"/>
              <w:right w:val="nil"/>
            </w:tcBorders>
            <w:shd w:val="clear" w:color="auto" w:fill="auto"/>
            <w:noWrap/>
            <w:vAlign w:val="bottom"/>
            <w:hideMark/>
          </w:tcPr>
          <w:p w14:paraId="2A5F2A30"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727 (</w:t>
            </w:r>
            <w:proofErr w:type="gramStart"/>
            <w:r w:rsidRPr="00E45821">
              <w:rPr>
                <w:rFonts w:eastAsia="Times New Roman" w:cs="Times New Roman"/>
                <w:sz w:val="20"/>
                <w:szCs w:val="20"/>
              </w:rPr>
              <w:t>48.4)</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1FE241A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227 (48.6)</w:t>
            </w:r>
          </w:p>
        </w:tc>
        <w:tc>
          <w:tcPr>
            <w:tcW w:w="1276" w:type="dxa"/>
            <w:tcBorders>
              <w:top w:val="nil"/>
              <w:left w:val="nil"/>
              <w:bottom w:val="nil"/>
              <w:right w:val="nil"/>
            </w:tcBorders>
            <w:vAlign w:val="bottom"/>
          </w:tcPr>
          <w:p w14:paraId="6076145F"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45FDE283" w14:textId="6EAC3B91"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395 (50.9)</w:t>
            </w:r>
          </w:p>
        </w:tc>
        <w:tc>
          <w:tcPr>
            <w:tcW w:w="1563" w:type="dxa"/>
            <w:gridSpan w:val="2"/>
            <w:tcBorders>
              <w:top w:val="nil"/>
              <w:left w:val="nil"/>
              <w:bottom w:val="nil"/>
              <w:right w:val="nil"/>
            </w:tcBorders>
            <w:shd w:val="clear" w:color="auto" w:fill="auto"/>
            <w:noWrap/>
            <w:vAlign w:val="bottom"/>
            <w:hideMark/>
          </w:tcPr>
          <w:p w14:paraId="37E78791"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97 (47.3)</w:t>
            </w:r>
          </w:p>
        </w:tc>
        <w:tc>
          <w:tcPr>
            <w:tcW w:w="1137" w:type="dxa"/>
            <w:gridSpan w:val="2"/>
            <w:tcBorders>
              <w:top w:val="nil"/>
              <w:left w:val="nil"/>
              <w:bottom w:val="nil"/>
              <w:right w:val="nil"/>
            </w:tcBorders>
            <w:vAlign w:val="bottom"/>
          </w:tcPr>
          <w:p w14:paraId="0810259F"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6E8008DE" w14:textId="77777777" w:rsidR="00835719" w:rsidRPr="00E45821" w:rsidRDefault="00835719" w:rsidP="00835719">
            <w:pPr>
              <w:jc w:val="center"/>
              <w:rPr>
                <w:rFonts w:eastAsia="Times New Roman" w:cs="Times New Roman"/>
                <w:sz w:val="20"/>
                <w:szCs w:val="20"/>
              </w:rPr>
            </w:pPr>
          </w:p>
        </w:tc>
      </w:tr>
      <w:tr w:rsidR="00835719" w:rsidRPr="00B75012" w14:paraId="7DB86AA7" w14:textId="4B1149CE" w:rsidTr="009D01D9">
        <w:trPr>
          <w:trHeight w:val="414"/>
        </w:trPr>
        <w:tc>
          <w:tcPr>
            <w:tcW w:w="3369" w:type="dxa"/>
            <w:gridSpan w:val="2"/>
            <w:tcBorders>
              <w:top w:val="nil"/>
              <w:left w:val="nil"/>
              <w:bottom w:val="nil"/>
              <w:right w:val="nil"/>
            </w:tcBorders>
            <w:shd w:val="clear" w:color="auto" w:fill="auto"/>
            <w:noWrap/>
            <w:vAlign w:val="bottom"/>
            <w:hideMark/>
          </w:tcPr>
          <w:p w14:paraId="262A9078"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Season of Birth</w:t>
            </w:r>
          </w:p>
        </w:tc>
        <w:tc>
          <w:tcPr>
            <w:tcW w:w="1433" w:type="dxa"/>
            <w:tcBorders>
              <w:top w:val="nil"/>
              <w:left w:val="nil"/>
              <w:bottom w:val="nil"/>
              <w:right w:val="nil"/>
            </w:tcBorders>
            <w:shd w:val="clear" w:color="auto" w:fill="auto"/>
            <w:noWrap/>
            <w:vAlign w:val="bottom"/>
            <w:hideMark/>
          </w:tcPr>
          <w:p w14:paraId="49F5213D" w14:textId="77777777" w:rsidR="00835719" w:rsidRPr="00E45821" w:rsidRDefault="00835719" w:rsidP="00835719">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5C08EC3D" w14:textId="77777777" w:rsidR="00835719" w:rsidRPr="00E45821" w:rsidRDefault="00835719" w:rsidP="00835719">
            <w:pPr>
              <w:jc w:val="center"/>
              <w:rPr>
                <w:rFonts w:eastAsia="Times New Roman" w:cs="Times New Roman"/>
                <w:sz w:val="20"/>
                <w:szCs w:val="20"/>
              </w:rPr>
            </w:pPr>
          </w:p>
        </w:tc>
        <w:tc>
          <w:tcPr>
            <w:tcW w:w="1276" w:type="dxa"/>
            <w:tcBorders>
              <w:top w:val="nil"/>
              <w:left w:val="nil"/>
              <w:bottom w:val="nil"/>
              <w:right w:val="nil"/>
            </w:tcBorders>
            <w:vAlign w:val="bottom"/>
          </w:tcPr>
          <w:p w14:paraId="6EE12B65"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5D5BBA26" w14:textId="786C540B" w:rsidR="00835719" w:rsidRPr="00E45821" w:rsidRDefault="00835719" w:rsidP="00835719">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2301236A" w14:textId="77777777" w:rsidR="00835719" w:rsidRPr="00E45821" w:rsidRDefault="00835719" w:rsidP="00835719">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7149476A"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234596B6" w14:textId="77777777" w:rsidR="00835719" w:rsidRPr="00E45821" w:rsidRDefault="00835719" w:rsidP="00835719">
            <w:pPr>
              <w:jc w:val="center"/>
              <w:rPr>
                <w:rFonts w:eastAsia="Times New Roman" w:cs="Times New Roman"/>
                <w:sz w:val="20"/>
                <w:szCs w:val="20"/>
              </w:rPr>
            </w:pPr>
          </w:p>
        </w:tc>
      </w:tr>
      <w:tr w:rsidR="00835719" w:rsidRPr="00B75012" w14:paraId="10DC4585" w14:textId="36BDA1E8" w:rsidTr="009D01D9">
        <w:trPr>
          <w:trHeight w:val="380"/>
        </w:trPr>
        <w:tc>
          <w:tcPr>
            <w:tcW w:w="317" w:type="dxa"/>
            <w:tcBorders>
              <w:top w:val="nil"/>
              <w:left w:val="nil"/>
              <w:bottom w:val="nil"/>
              <w:right w:val="nil"/>
            </w:tcBorders>
            <w:shd w:val="clear" w:color="auto" w:fill="auto"/>
            <w:noWrap/>
            <w:vAlign w:val="bottom"/>
            <w:hideMark/>
          </w:tcPr>
          <w:p w14:paraId="26E07E02"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0D4ED797"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Spring</w:t>
            </w:r>
          </w:p>
        </w:tc>
        <w:tc>
          <w:tcPr>
            <w:tcW w:w="1433" w:type="dxa"/>
            <w:tcBorders>
              <w:top w:val="nil"/>
              <w:left w:val="nil"/>
              <w:bottom w:val="nil"/>
              <w:right w:val="nil"/>
            </w:tcBorders>
            <w:shd w:val="clear" w:color="auto" w:fill="auto"/>
            <w:noWrap/>
            <w:vAlign w:val="bottom"/>
            <w:hideMark/>
          </w:tcPr>
          <w:p w14:paraId="24B16C90"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319 (</w:t>
            </w:r>
            <w:proofErr w:type="gramStart"/>
            <w:r w:rsidRPr="00E45821">
              <w:rPr>
                <w:rFonts w:eastAsia="Times New Roman" w:cs="Times New Roman"/>
                <w:sz w:val="20"/>
                <w:szCs w:val="20"/>
              </w:rPr>
              <w:t>21.2)</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459E8656"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125 (26.8)</w:t>
            </w:r>
          </w:p>
        </w:tc>
        <w:tc>
          <w:tcPr>
            <w:tcW w:w="1276" w:type="dxa"/>
            <w:tcBorders>
              <w:top w:val="nil"/>
              <w:left w:val="nil"/>
              <w:bottom w:val="nil"/>
              <w:right w:val="nil"/>
            </w:tcBorders>
            <w:vAlign w:val="bottom"/>
          </w:tcPr>
          <w:p w14:paraId="41A27755" w14:textId="333A5CB4" w:rsidR="00835719" w:rsidRPr="00B75012" w:rsidRDefault="00077A1D"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6D9469A8" w14:textId="38A2339A"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166 (</w:t>
            </w:r>
            <w:proofErr w:type="gramStart"/>
            <w:r w:rsidRPr="00E45821">
              <w:rPr>
                <w:rFonts w:eastAsia="Times New Roman" w:cs="Times New Roman"/>
                <w:sz w:val="20"/>
                <w:szCs w:val="20"/>
              </w:rPr>
              <w:t>21.4)</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71A638C1"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53 (25.9)</w:t>
            </w:r>
          </w:p>
        </w:tc>
        <w:tc>
          <w:tcPr>
            <w:tcW w:w="1137" w:type="dxa"/>
            <w:gridSpan w:val="2"/>
            <w:tcBorders>
              <w:top w:val="nil"/>
              <w:left w:val="nil"/>
              <w:bottom w:val="nil"/>
              <w:right w:val="nil"/>
            </w:tcBorders>
            <w:vAlign w:val="bottom"/>
          </w:tcPr>
          <w:p w14:paraId="23F91401" w14:textId="206FD254" w:rsidR="00835719" w:rsidRPr="00E45821" w:rsidRDefault="00835719" w:rsidP="00835719">
            <w:pPr>
              <w:jc w:val="center"/>
              <w:rPr>
                <w:rFonts w:eastAsia="Times New Roman" w:cs="Times New Roman"/>
                <w:sz w:val="20"/>
                <w:szCs w:val="20"/>
              </w:rPr>
            </w:pPr>
            <w:r>
              <w:rPr>
                <w:rFonts w:eastAsia="Times New Roman" w:cs="Times New Roman"/>
                <w:sz w:val="20"/>
                <w:szCs w:val="20"/>
              </w:rPr>
              <w:t>0.857</w:t>
            </w:r>
          </w:p>
        </w:tc>
        <w:tc>
          <w:tcPr>
            <w:tcW w:w="1113" w:type="dxa"/>
            <w:gridSpan w:val="2"/>
            <w:tcBorders>
              <w:top w:val="nil"/>
              <w:left w:val="nil"/>
              <w:bottom w:val="nil"/>
              <w:right w:val="nil"/>
            </w:tcBorders>
            <w:vAlign w:val="bottom"/>
          </w:tcPr>
          <w:p w14:paraId="25813239" w14:textId="7FCA53F2" w:rsidR="00835719" w:rsidRPr="00E45821" w:rsidRDefault="00835719" w:rsidP="00835719">
            <w:pPr>
              <w:jc w:val="center"/>
              <w:rPr>
                <w:rFonts w:eastAsia="Times New Roman" w:cs="Times New Roman"/>
                <w:sz w:val="20"/>
                <w:szCs w:val="20"/>
              </w:rPr>
            </w:pPr>
            <w:r>
              <w:rPr>
                <w:rFonts w:eastAsia="Times New Roman" w:cs="Times New Roman"/>
                <w:sz w:val="20"/>
                <w:szCs w:val="20"/>
              </w:rPr>
              <w:t>0.718</w:t>
            </w:r>
          </w:p>
        </w:tc>
      </w:tr>
      <w:tr w:rsidR="00835719" w:rsidRPr="00B75012" w14:paraId="6C74D87E" w14:textId="1E4CFFF4" w:rsidTr="009D01D9">
        <w:trPr>
          <w:trHeight w:val="279"/>
        </w:trPr>
        <w:tc>
          <w:tcPr>
            <w:tcW w:w="317" w:type="dxa"/>
            <w:tcBorders>
              <w:top w:val="nil"/>
              <w:left w:val="nil"/>
              <w:bottom w:val="nil"/>
              <w:right w:val="nil"/>
            </w:tcBorders>
            <w:shd w:val="clear" w:color="auto" w:fill="auto"/>
            <w:noWrap/>
            <w:vAlign w:val="bottom"/>
            <w:hideMark/>
          </w:tcPr>
          <w:p w14:paraId="6D63A71A"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230E7B98"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Summer</w:t>
            </w:r>
          </w:p>
        </w:tc>
        <w:tc>
          <w:tcPr>
            <w:tcW w:w="1433" w:type="dxa"/>
            <w:tcBorders>
              <w:top w:val="nil"/>
              <w:left w:val="nil"/>
              <w:bottom w:val="nil"/>
              <w:right w:val="nil"/>
            </w:tcBorders>
            <w:shd w:val="clear" w:color="auto" w:fill="auto"/>
            <w:noWrap/>
            <w:vAlign w:val="bottom"/>
            <w:hideMark/>
          </w:tcPr>
          <w:p w14:paraId="7DA84677"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415 (</w:t>
            </w:r>
            <w:proofErr w:type="gramStart"/>
            <w:r w:rsidRPr="00E45821">
              <w:rPr>
                <w:rFonts w:eastAsia="Times New Roman" w:cs="Times New Roman"/>
                <w:sz w:val="20"/>
                <w:szCs w:val="20"/>
              </w:rPr>
              <w:t>27.6)</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BA431A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121 (25.9)</w:t>
            </w:r>
          </w:p>
        </w:tc>
        <w:tc>
          <w:tcPr>
            <w:tcW w:w="1276" w:type="dxa"/>
            <w:tcBorders>
              <w:top w:val="nil"/>
              <w:left w:val="nil"/>
              <w:bottom w:val="nil"/>
              <w:right w:val="nil"/>
            </w:tcBorders>
            <w:vAlign w:val="bottom"/>
          </w:tcPr>
          <w:p w14:paraId="432B4746"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251289CC" w14:textId="5C339D6D"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219 (</w:t>
            </w:r>
            <w:proofErr w:type="gramStart"/>
            <w:r w:rsidRPr="00E45821">
              <w:rPr>
                <w:rFonts w:eastAsia="Times New Roman" w:cs="Times New Roman"/>
                <w:sz w:val="20"/>
                <w:szCs w:val="20"/>
              </w:rPr>
              <w:t>28.2)</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533D29AE"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50 (24.4)</w:t>
            </w:r>
          </w:p>
        </w:tc>
        <w:tc>
          <w:tcPr>
            <w:tcW w:w="1137" w:type="dxa"/>
            <w:gridSpan w:val="2"/>
            <w:tcBorders>
              <w:top w:val="nil"/>
              <w:left w:val="nil"/>
              <w:bottom w:val="nil"/>
              <w:right w:val="nil"/>
            </w:tcBorders>
            <w:vAlign w:val="bottom"/>
          </w:tcPr>
          <w:p w14:paraId="0B040098"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33978F9A" w14:textId="77777777" w:rsidR="00DE5431" w:rsidRPr="00E45821" w:rsidRDefault="00DE5431" w:rsidP="00DE5431">
            <w:pPr>
              <w:jc w:val="center"/>
              <w:rPr>
                <w:rFonts w:eastAsia="Times New Roman" w:cs="Times New Roman"/>
                <w:sz w:val="20"/>
                <w:szCs w:val="20"/>
              </w:rPr>
            </w:pPr>
          </w:p>
        </w:tc>
      </w:tr>
      <w:tr w:rsidR="00835719" w:rsidRPr="00B75012" w14:paraId="1F1B82F0" w14:textId="40DF19A6" w:rsidTr="009D01D9">
        <w:trPr>
          <w:trHeight w:val="270"/>
        </w:trPr>
        <w:tc>
          <w:tcPr>
            <w:tcW w:w="317" w:type="dxa"/>
            <w:tcBorders>
              <w:top w:val="nil"/>
              <w:left w:val="nil"/>
              <w:bottom w:val="nil"/>
              <w:right w:val="nil"/>
            </w:tcBorders>
            <w:shd w:val="clear" w:color="auto" w:fill="auto"/>
            <w:noWrap/>
            <w:vAlign w:val="bottom"/>
            <w:hideMark/>
          </w:tcPr>
          <w:p w14:paraId="59A24345"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40FBA4AE"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Fall</w:t>
            </w:r>
          </w:p>
        </w:tc>
        <w:tc>
          <w:tcPr>
            <w:tcW w:w="1433" w:type="dxa"/>
            <w:tcBorders>
              <w:top w:val="nil"/>
              <w:left w:val="nil"/>
              <w:bottom w:val="nil"/>
              <w:right w:val="nil"/>
            </w:tcBorders>
            <w:shd w:val="clear" w:color="auto" w:fill="auto"/>
            <w:noWrap/>
            <w:vAlign w:val="bottom"/>
            <w:hideMark/>
          </w:tcPr>
          <w:p w14:paraId="10E96F4C"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414 (</w:t>
            </w:r>
            <w:proofErr w:type="gramStart"/>
            <w:r w:rsidRPr="00E45821">
              <w:rPr>
                <w:rFonts w:eastAsia="Times New Roman" w:cs="Times New Roman"/>
                <w:sz w:val="20"/>
                <w:szCs w:val="20"/>
              </w:rPr>
              <w:t>27.5)</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65F600B"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107 (22.9)</w:t>
            </w:r>
          </w:p>
        </w:tc>
        <w:tc>
          <w:tcPr>
            <w:tcW w:w="1276" w:type="dxa"/>
            <w:tcBorders>
              <w:top w:val="nil"/>
              <w:left w:val="nil"/>
              <w:bottom w:val="nil"/>
              <w:right w:val="nil"/>
            </w:tcBorders>
            <w:vAlign w:val="bottom"/>
          </w:tcPr>
          <w:p w14:paraId="40BBE511"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73F470FE" w14:textId="3B72DE03"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217 (</w:t>
            </w:r>
            <w:proofErr w:type="gramStart"/>
            <w:r w:rsidRPr="00E45821">
              <w:rPr>
                <w:rFonts w:eastAsia="Times New Roman" w:cs="Times New Roman"/>
                <w:sz w:val="20"/>
                <w:szCs w:val="20"/>
              </w:rPr>
              <w:t>28.0)</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039FA8C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52 (25.4)</w:t>
            </w:r>
          </w:p>
        </w:tc>
        <w:tc>
          <w:tcPr>
            <w:tcW w:w="1137" w:type="dxa"/>
            <w:gridSpan w:val="2"/>
            <w:tcBorders>
              <w:top w:val="nil"/>
              <w:left w:val="nil"/>
              <w:bottom w:val="nil"/>
              <w:right w:val="nil"/>
            </w:tcBorders>
            <w:vAlign w:val="bottom"/>
          </w:tcPr>
          <w:p w14:paraId="49E7CFF8"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5D222EB0" w14:textId="77777777" w:rsidR="00DE5431" w:rsidRPr="00E45821" w:rsidRDefault="00DE5431" w:rsidP="00DE5431">
            <w:pPr>
              <w:jc w:val="center"/>
              <w:rPr>
                <w:rFonts w:eastAsia="Times New Roman" w:cs="Times New Roman"/>
                <w:sz w:val="20"/>
                <w:szCs w:val="20"/>
              </w:rPr>
            </w:pPr>
          </w:p>
        </w:tc>
      </w:tr>
      <w:tr w:rsidR="00835719" w:rsidRPr="00B75012" w14:paraId="60EE374B" w14:textId="72F58FF6" w:rsidTr="009D01D9">
        <w:trPr>
          <w:trHeight w:val="270"/>
        </w:trPr>
        <w:tc>
          <w:tcPr>
            <w:tcW w:w="317" w:type="dxa"/>
            <w:tcBorders>
              <w:top w:val="nil"/>
              <w:left w:val="nil"/>
              <w:bottom w:val="nil"/>
              <w:right w:val="nil"/>
            </w:tcBorders>
            <w:shd w:val="clear" w:color="auto" w:fill="auto"/>
            <w:noWrap/>
            <w:vAlign w:val="bottom"/>
            <w:hideMark/>
          </w:tcPr>
          <w:p w14:paraId="7D7AE915"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6F4CB7CC"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Winter</w:t>
            </w:r>
          </w:p>
        </w:tc>
        <w:tc>
          <w:tcPr>
            <w:tcW w:w="1433" w:type="dxa"/>
            <w:tcBorders>
              <w:top w:val="nil"/>
              <w:left w:val="nil"/>
              <w:bottom w:val="nil"/>
              <w:right w:val="nil"/>
            </w:tcBorders>
            <w:shd w:val="clear" w:color="auto" w:fill="auto"/>
            <w:noWrap/>
            <w:vAlign w:val="bottom"/>
            <w:hideMark/>
          </w:tcPr>
          <w:p w14:paraId="6D33FFF9"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295 (</w:t>
            </w:r>
            <w:proofErr w:type="gramStart"/>
            <w:r w:rsidRPr="00E45821">
              <w:rPr>
                <w:rFonts w:eastAsia="Times New Roman" w:cs="Times New Roman"/>
                <w:sz w:val="20"/>
                <w:szCs w:val="20"/>
              </w:rPr>
              <w:t>19.6)</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7EEFDED3"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114 (24.4)</w:t>
            </w:r>
          </w:p>
        </w:tc>
        <w:tc>
          <w:tcPr>
            <w:tcW w:w="1276" w:type="dxa"/>
            <w:tcBorders>
              <w:top w:val="nil"/>
              <w:left w:val="nil"/>
              <w:bottom w:val="nil"/>
              <w:right w:val="nil"/>
            </w:tcBorders>
            <w:vAlign w:val="bottom"/>
          </w:tcPr>
          <w:p w14:paraId="7307D8BD"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53445018" w14:textId="6FA6F4BD"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170 (</w:t>
            </w:r>
            <w:proofErr w:type="gramStart"/>
            <w:r w:rsidRPr="00E45821">
              <w:rPr>
                <w:rFonts w:eastAsia="Times New Roman" w:cs="Times New Roman"/>
                <w:sz w:val="20"/>
                <w:szCs w:val="20"/>
              </w:rPr>
              <w:t>21.9)</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7EC183E7"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50 (24.4)</w:t>
            </w:r>
          </w:p>
        </w:tc>
        <w:tc>
          <w:tcPr>
            <w:tcW w:w="1137" w:type="dxa"/>
            <w:gridSpan w:val="2"/>
            <w:tcBorders>
              <w:top w:val="nil"/>
              <w:left w:val="nil"/>
              <w:bottom w:val="nil"/>
              <w:right w:val="nil"/>
            </w:tcBorders>
            <w:vAlign w:val="bottom"/>
          </w:tcPr>
          <w:p w14:paraId="51A0C661"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1FE75460" w14:textId="77777777" w:rsidR="00DE5431" w:rsidRPr="00E45821" w:rsidRDefault="00DE5431" w:rsidP="00DE5431">
            <w:pPr>
              <w:jc w:val="center"/>
              <w:rPr>
                <w:rFonts w:eastAsia="Times New Roman" w:cs="Times New Roman"/>
                <w:sz w:val="20"/>
                <w:szCs w:val="20"/>
              </w:rPr>
            </w:pPr>
          </w:p>
        </w:tc>
      </w:tr>
      <w:tr w:rsidR="00835719" w:rsidRPr="00B75012" w14:paraId="4A3FC719" w14:textId="01A339EB" w:rsidTr="009D01D9">
        <w:trPr>
          <w:trHeight w:val="360"/>
        </w:trPr>
        <w:tc>
          <w:tcPr>
            <w:tcW w:w="3369" w:type="dxa"/>
            <w:gridSpan w:val="2"/>
            <w:tcBorders>
              <w:top w:val="nil"/>
              <w:left w:val="nil"/>
              <w:bottom w:val="nil"/>
              <w:right w:val="nil"/>
            </w:tcBorders>
            <w:shd w:val="clear" w:color="auto" w:fill="auto"/>
            <w:noWrap/>
            <w:vAlign w:val="bottom"/>
            <w:hideMark/>
          </w:tcPr>
          <w:p w14:paraId="2DCC142F" w14:textId="77777777" w:rsidR="00754566" w:rsidRPr="00E45821" w:rsidRDefault="00754566" w:rsidP="00D9157C">
            <w:pPr>
              <w:rPr>
                <w:rFonts w:eastAsia="Times New Roman" w:cs="Times New Roman"/>
                <w:b/>
                <w:bCs/>
                <w:sz w:val="20"/>
                <w:szCs w:val="20"/>
              </w:rPr>
            </w:pPr>
          </w:p>
          <w:p w14:paraId="092F240C" w14:textId="77777777" w:rsidR="00754566" w:rsidRPr="00E45821" w:rsidRDefault="00754566" w:rsidP="00D9157C">
            <w:pPr>
              <w:rPr>
                <w:rFonts w:eastAsia="Times New Roman" w:cs="Times New Roman"/>
                <w:b/>
                <w:bCs/>
                <w:sz w:val="20"/>
                <w:szCs w:val="20"/>
              </w:rPr>
            </w:pPr>
          </w:p>
          <w:p w14:paraId="70869315" w14:textId="77777777" w:rsidR="00754566" w:rsidRPr="00E45821" w:rsidRDefault="00754566" w:rsidP="00D9157C">
            <w:pPr>
              <w:rPr>
                <w:rFonts w:eastAsia="Times New Roman" w:cs="Times New Roman"/>
                <w:b/>
                <w:bCs/>
                <w:sz w:val="20"/>
                <w:szCs w:val="20"/>
              </w:rPr>
            </w:pPr>
            <w:r w:rsidRPr="00E45821">
              <w:rPr>
                <w:rFonts w:eastAsia="Times New Roman" w:cs="Times New Roman"/>
                <w:b/>
                <w:bCs/>
                <w:sz w:val="20"/>
                <w:szCs w:val="20"/>
              </w:rPr>
              <w:lastRenderedPageBreak/>
              <w:t>Mode of Delivery</w:t>
            </w:r>
          </w:p>
        </w:tc>
        <w:tc>
          <w:tcPr>
            <w:tcW w:w="1433" w:type="dxa"/>
            <w:tcBorders>
              <w:top w:val="nil"/>
              <w:left w:val="nil"/>
              <w:bottom w:val="nil"/>
              <w:right w:val="nil"/>
            </w:tcBorders>
            <w:shd w:val="clear" w:color="auto" w:fill="auto"/>
            <w:noWrap/>
            <w:vAlign w:val="bottom"/>
            <w:hideMark/>
          </w:tcPr>
          <w:p w14:paraId="75C58BB4" w14:textId="77777777" w:rsidR="00754566" w:rsidRPr="00E45821" w:rsidRDefault="00754566" w:rsidP="007A32F8">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368D7AFE" w14:textId="77777777" w:rsidR="00754566" w:rsidRPr="00E45821" w:rsidRDefault="00754566" w:rsidP="007A32F8">
            <w:pPr>
              <w:jc w:val="center"/>
              <w:rPr>
                <w:rFonts w:eastAsia="Times New Roman" w:cs="Times New Roman"/>
                <w:sz w:val="20"/>
                <w:szCs w:val="20"/>
              </w:rPr>
            </w:pPr>
          </w:p>
        </w:tc>
        <w:tc>
          <w:tcPr>
            <w:tcW w:w="1276" w:type="dxa"/>
            <w:tcBorders>
              <w:top w:val="nil"/>
              <w:left w:val="nil"/>
              <w:bottom w:val="nil"/>
              <w:right w:val="nil"/>
            </w:tcBorders>
            <w:vAlign w:val="bottom"/>
          </w:tcPr>
          <w:p w14:paraId="49484BE1" w14:textId="77777777" w:rsidR="00754566" w:rsidRPr="00B75012" w:rsidRDefault="00754566" w:rsidP="007A32F8">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6CB42CD3" w14:textId="62CC0E2A" w:rsidR="00754566" w:rsidRPr="00E45821" w:rsidRDefault="00754566" w:rsidP="007A32F8">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57289097" w14:textId="77777777" w:rsidR="00754566" w:rsidRPr="00E45821" w:rsidRDefault="00754566" w:rsidP="007A32F8">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6DF19042" w14:textId="77777777" w:rsidR="00754566" w:rsidRPr="00E45821" w:rsidRDefault="00754566" w:rsidP="007A32F8">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67383467" w14:textId="77777777" w:rsidR="00754566" w:rsidRPr="00E45821" w:rsidRDefault="00754566" w:rsidP="007A32F8">
            <w:pPr>
              <w:jc w:val="center"/>
              <w:rPr>
                <w:rFonts w:eastAsia="Times New Roman" w:cs="Times New Roman"/>
                <w:sz w:val="20"/>
                <w:szCs w:val="20"/>
              </w:rPr>
            </w:pPr>
          </w:p>
        </w:tc>
      </w:tr>
      <w:tr w:rsidR="00835719" w:rsidRPr="00B75012" w14:paraId="68C84FB2" w14:textId="4D34D46B" w:rsidTr="009D01D9">
        <w:trPr>
          <w:trHeight w:val="58"/>
        </w:trPr>
        <w:tc>
          <w:tcPr>
            <w:tcW w:w="317" w:type="dxa"/>
            <w:tcBorders>
              <w:top w:val="nil"/>
              <w:left w:val="nil"/>
              <w:bottom w:val="nil"/>
              <w:right w:val="nil"/>
            </w:tcBorders>
            <w:shd w:val="clear" w:color="auto" w:fill="auto"/>
            <w:noWrap/>
            <w:vAlign w:val="bottom"/>
            <w:hideMark/>
          </w:tcPr>
          <w:p w14:paraId="0BC5E68C"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422A41E1"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Normal/Vaginal</w:t>
            </w:r>
          </w:p>
        </w:tc>
        <w:tc>
          <w:tcPr>
            <w:tcW w:w="1433" w:type="dxa"/>
            <w:tcBorders>
              <w:top w:val="nil"/>
              <w:left w:val="nil"/>
              <w:bottom w:val="nil"/>
              <w:right w:val="nil"/>
            </w:tcBorders>
            <w:shd w:val="clear" w:color="auto" w:fill="auto"/>
            <w:noWrap/>
            <w:vAlign w:val="bottom"/>
            <w:hideMark/>
          </w:tcPr>
          <w:p w14:paraId="6A2E3757"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916 (</w:t>
            </w:r>
            <w:proofErr w:type="gramStart"/>
            <w:r w:rsidRPr="00E45821">
              <w:rPr>
                <w:rFonts w:eastAsia="Times New Roman" w:cs="Times New Roman"/>
                <w:sz w:val="20"/>
                <w:szCs w:val="20"/>
              </w:rPr>
              <w:t>60.9)</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0A0E064F"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280 (</w:t>
            </w:r>
            <w:proofErr w:type="gramStart"/>
            <w:r w:rsidRPr="00E45821">
              <w:rPr>
                <w:rFonts w:eastAsia="Times New Roman" w:cs="Times New Roman"/>
                <w:sz w:val="20"/>
                <w:szCs w:val="20"/>
              </w:rPr>
              <w:t>60.0)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1872EFA3" w14:textId="54C35AA6" w:rsidR="00835719" w:rsidRPr="00B75012" w:rsidRDefault="00835719" w:rsidP="00835719">
            <w:pPr>
              <w:jc w:val="center"/>
              <w:rPr>
                <w:rFonts w:eastAsia="Times New Roman" w:cs="Times New Roman"/>
                <w:sz w:val="20"/>
                <w:szCs w:val="20"/>
              </w:rPr>
            </w:pPr>
            <w:r>
              <w:rPr>
                <w:rFonts w:eastAsia="Times New Roman" w:cs="Times New Roman"/>
                <w:sz w:val="20"/>
                <w:szCs w:val="20"/>
              </w:rPr>
              <w:t>0.017</w:t>
            </w:r>
          </w:p>
        </w:tc>
        <w:tc>
          <w:tcPr>
            <w:tcW w:w="1636" w:type="dxa"/>
            <w:gridSpan w:val="3"/>
            <w:tcBorders>
              <w:top w:val="nil"/>
              <w:left w:val="nil"/>
              <w:bottom w:val="nil"/>
              <w:right w:val="nil"/>
            </w:tcBorders>
            <w:shd w:val="clear" w:color="auto" w:fill="auto"/>
            <w:noWrap/>
            <w:vAlign w:val="bottom"/>
            <w:hideMark/>
          </w:tcPr>
          <w:p w14:paraId="5714C849" w14:textId="77231894"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470 (60.6)</w:t>
            </w:r>
          </w:p>
        </w:tc>
        <w:tc>
          <w:tcPr>
            <w:tcW w:w="1563" w:type="dxa"/>
            <w:gridSpan w:val="2"/>
            <w:tcBorders>
              <w:top w:val="nil"/>
              <w:left w:val="nil"/>
              <w:bottom w:val="nil"/>
              <w:right w:val="nil"/>
            </w:tcBorders>
            <w:shd w:val="clear" w:color="auto" w:fill="auto"/>
            <w:noWrap/>
            <w:vAlign w:val="bottom"/>
            <w:hideMark/>
          </w:tcPr>
          <w:p w14:paraId="53546C37"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134 (65.4)</w:t>
            </w:r>
          </w:p>
        </w:tc>
        <w:tc>
          <w:tcPr>
            <w:tcW w:w="1137" w:type="dxa"/>
            <w:gridSpan w:val="2"/>
            <w:tcBorders>
              <w:top w:val="nil"/>
              <w:left w:val="nil"/>
              <w:bottom w:val="nil"/>
              <w:right w:val="nil"/>
            </w:tcBorders>
            <w:vAlign w:val="bottom"/>
          </w:tcPr>
          <w:p w14:paraId="7EC5EF53" w14:textId="7E8A82F3" w:rsidR="00835719" w:rsidRPr="00E45821" w:rsidRDefault="00835719" w:rsidP="00835719">
            <w:pPr>
              <w:jc w:val="center"/>
              <w:rPr>
                <w:rFonts w:eastAsia="Times New Roman" w:cs="Times New Roman"/>
                <w:sz w:val="20"/>
                <w:szCs w:val="20"/>
              </w:rPr>
            </w:pPr>
            <w:r>
              <w:rPr>
                <w:rFonts w:eastAsia="Times New Roman" w:cs="Times New Roman"/>
                <w:sz w:val="20"/>
                <w:szCs w:val="20"/>
              </w:rPr>
              <w:t>0.298</w:t>
            </w:r>
          </w:p>
        </w:tc>
        <w:tc>
          <w:tcPr>
            <w:tcW w:w="1113" w:type="dxa"/>
            <w:gridSpan w:val="2"/>
            <w:tcBorders>
              <w:top w:val="nil"/>
              <w:left w:val="nil"/>
              <w:bottom w:val="nil"/>
              <w:right w:val="nil"/>
            </w:tcBorders>
            <w:vAlign w:val="bottom"/>
          </w:tcPr>
          <w:p w14:paraId="0A7B454E" w14:textId="6C546705" w:rsidR="00835719" w:rsidRPr="00E45821" w:rsidRDefault="00835719" w:rsidP="00835719">
            <w:pPr>
              <w:jc w:val="center"/>
              <w:rPr>
                <w:rFonts w:eastAsia="Times New Roman" w:cs="Times New Roman"/>
                <w:sz w:val="20"/>
                <w:szCs w:val="20"/>
              </w:rPr>
            </w:pPr>
            <w:r>
              <w:rPr>
                <w:rFonts w:eastAsia="Times New Roman" w:cs="Times New Roman"/>
                <w:sz w:val="20"/>
                <w:szCs w:val="20"/>
              </w:rPr>
              <w:t>0.801</w:t>
            </w:r>
          </w:p>
        </w:tc>
      </w:tr>
      <w:tr w:rsidR="00835719" w:rsidRPr="00B75012" w14:paraId="322B0511" w14:textId="633C338A" w:rsidTr="009D01D9">
        <w:trPr>
          <w:trHeight w:val="270"/>
        </w:trPr>
        <w:tc>
          <w:tcPr>
            <w:tcW w:w="317" w:type="dxa"/>
            <w:tcBorders>
              <w:top w:val="nil"/>
              <w:left w:val="nil"/>
              <w:bottom w:val="nil"/>
              <w:right w:val="nil"/>
            </w:tcBorders>
            <w:shd w:val="clear" w:color="auto" w:fill="auto"/>
            <w:noWrap/>
            <w:vAlign w:val="bottom"/>
            <w:hideMark/>
          </w:tcPr>
          <w:p w14:paraId="67A65812"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738DA6C4"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C-section</w:t>
            </w:r>
          </w:p>
        </w:tc>
        <w:tc>
          <w:tcPr>
            <w:tcW w:w="1433" w:type="dxa"/>
            <w:tcBorders>
              <w:top w:val="nil"/>
              <w:left w:val="nil"/>
              <w:bottom w:val="nil"/>
              <w:right w:val="nil"/>
            </w:tcBorders>
            <w:shd w:val="clear" w:color="auto" w:fill="auto"/>
            <w:noWrap/>
            <w:vAlign w:val="bottom"/>
            <w:hideMark/>
          </w:tcPr>
          <w:p w14:paraId="1C43B38D"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540 (</w:t>
            </w:r>
            <w:proofErr w:type="gramStart"/>
            <w:r w:rsidRPr="00E45821">
              <w:rPr>
                <w:rFonts w:eastAsia="Times New Roman" w:cs="Times New Roman"/>
                <w:sz w:val="20"/>
                <w:szCs w:val="20"/>
              </w:rPr>
              <w:t>35.9)</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C4BF5EC"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159 (</w:t>
            </w:r>
            <w:proofErr w:type="gramStart"/>
            <w:r w:rsidRPr="00E45821">
              <w:rPr>
                <w:rFonts w:eastAsia="Times New Roman" w:cs="Times New Roman"/>
                <w:sz w:val="20"/>
                <w:szCs w:val="20"/>
              </w:rPr>
              <w:t>34.0)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22B55CC5"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39264670" w14:textId="68F1E399"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306 (39.4)</w:t>
            </w:r>
          </w:p>
        </w:tc>
        <w:tc>
          <w:tcPr>
            <w:tcW w:w="1563" w:type="dxa"/>
            <w:gridSpan w:val="2"/>
            <w:tcBorders>
              <w:top w:val="nil"/>
              <w:left w:val="nil"/>
              <w:bottom w:val="nil"/>
              <w:right w:val="nil"/>
            </w:tcBorders>
            <w:shd w:val="clear" w:color="auto" w:fill="auto"/>
            <w:noWrap/>
            <w:vAlign w:val="bottom"/>
            <w:hideMark/>
          </w:tcPr>
          <w:p w14:paraId="0C68F927"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71 (34.6)</w:t>
            </w:r>
          </w:p>
        </w:tc>
        <w:tc>
          <w:tcPr>
            <w:tcW w:w="1137" w:type="dxa"/>
            <w:gridSpan w:val="2"/>
            <w:tcBorders>
              <w:top w:val="nil"/>
              <w:left w:val="nil"/>
              <w:bottom w:val="nil"/>
              <w:right w:val="nil"/>
            </w:tcBorders>
            <w:vAlign w:val="bottom"/>
          </w:tcPr>
          <w:p w14:paraId="179218CA"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5ACDC730" w14:textId="77777777" w:rsidR="00835719" w:rsidRPr="00E45821" w:rsidRDefault="00835719" w:rsidP="00835719">
            <w:pPr>
              <w:jc w:val="center"/>
              <w:rPr>
                <w:rFonts w:eastAsia="Times New Roman" w:cs="Times New Roman"/>
                <w:sz w:val="20"/>
                <w:szCs w:val="20"/>
              </w:rPr>
            </w:pPr>
          </w:p>
        </w:tc>
      </w:tr>
      <w:tr w:rsidR="00835719" w:rsidRPr="00B75012" w14:paraId="32133137" w14:textId="3A86EC52" w:rsidTr="009D01D9">
        <w:trPr>
          <w:trHeight w:val="414"/>
        </w:trPr>
        <w:tc>
          <w:tcPr>
            <w:tcW w:w="3369" w:type="dxa"/>
            <w:gridSpan w:val="2"/>
            <w:tcBorders>
              <w:top w:val="nil"/>
              <w:left w:val="nil"/>
              <w:bottom w:val="nil"/>
              <w:right w:val="nil"/>
            </w:tcBorders>
            <w:shd w:val="clear" w:color="auto" w:fill="auto"/>
            <w:noWrap/>
            <w:vAlign w:val="bottom"/>
            <w:hideMark/>
          </w:tcPr>
          <w:p w14:paraId="376E23FC"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Presence/Absence of Labor</w:t>
            </w:r>
          </w:p>
        </w:tc>
        <w:tc>
          <w:tcPr>
            <w:tcW w:w="1433" w:type="dxa"/>
            <w:tcBorders>
              <w:top w:val="nil"/>
              <w:left w:val="nil"/>
              <w:bottom w:val="nil"/>
              <w:right w:val="nil"/>
            </w:tcBorders>
            <w:shd w:val="clear" w:color="auto" w:fill="auto"/>
            <w:noWrap/>
            <w:vAlign w:val="bottom"/>
            <w:hideMark/>
          </w:tcPr>
          <w:p w14:paraId="176746FA" w14:textId="77777777" w:rsidR="00835719" w:rsidRPr="00E45821" w:rsidRDefault="00835719" w:rsidP="00835719">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701AA2C9" w14:textId="77777777" w:rsidR="00835719" w:rsidRPr="00E45821" w:rsidRDefault="00835719" w:rsidP="00835719">
            <w:pPr>
              <w:jc w:val="center"/>
              <w:rPr>
                <w:rFonts w:eastAsia="Times New Roman" w:cs="Times New Roman"/>
                <w:sz w:val="20"/>
                <w:szCs w:val="20"/>
              </w:rPr>
            </w:pPr>
          </w:p>
        </w:tc>
        <w:tc>
          <w:tcPr>
            <w:tcW w:w="1276" w:type="dxa"/>
            <w:tcBorders>
              <w:top w:val="nil"/>
              <w:left w:val="nil"/>
              <w:bottom w:val="nil"/>
              <w:right w:val="nil"/>
            </w:tcBorders>
            <w:vAlign w:val="bottom"/>
          </w:tcPr>
          <w:p w14:paraId="025E7151"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48E3DB2D" w14:textId="573AB5D4" w:rsidR="00835719" w:rsidRPr="00E45821" w:rsidRDefault="00835719" w:rsidP="00835719">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685C2563" w14:textId="77777777" w:rsidR="00835719" w:rsidRPr="00E45821" w:rsidRDefault="00835719" w:rsidP="00835719">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6524EA44"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543C22CC" w14:textId="77777777" w:rsidR="00835719" w:rsidRPr="00E45821" w:rsidRDefault="00835719" w:rsidP="00835719">
            <w:pPr>
              <w:jc w:val="center"/>
              <w:rPr>
                <w:rFonts w:eastAsia="Times New Roman" w:cs="Times New Roman"/>
                <w:sz w:val="20"/>
                <w:szCs w:val="20"/>
              </w:rPr>
            </w:pPr>
          </w:p>
        </w:tc>
      </w:tr>
      <w:tr w:rsidR="00835719" w:rsidRPr="00B75012" w14:paraId="780A5E76" w14:textId="13401E8A" w:rsidTr="009D01D9">
        <w:trPr>
          <w:trHeight w:val="380"/>
        </w:trPr>
        <w:tc>
          <w:tcPr>
            <w:tcW w:w="317" w:type="dxa"/>
            <w:tcBorders>
              <w:top w:val="nil"/>
              <w:left w:val="nil"/>
              <w:bottom w:val="nil"/>
              <w:right w:val="nil"/>
            </w:tcBorders>
            <w:shd w:val="clear" w:color="auto" w:fill="auto"/>
            <w:noWrap/>
            <w:vAlign w:val="bottom"/>
            <w:hideMark/>
          </w:tcPr>
          <w:p w14:paraId="2553D430"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4A4A0FA5" w14:textId="77777777" w:rsidR="00835719" w:rsidRDefault="00835719" w:rsidP="00835719">
            <w:pPr>
              <w:rPr>
                <w:rFonts w:eastAsia="Times New Roman" w:cs="Times New Roman"/>
                <w:sz w:val="20"/>
                <w:szCs w:val="20"/>
              </w:rPr>
            </w:pPr>
            <w:r w:rsidRPr="00E45821">
              <w:rPr>
                <w:rFonts w:eastAsia="Times New Roman" w:cs="Times New Roman"/>
                <w:sz w:val="20"/>
                <w:szCs w:val="20"/>
              </w:rPr>
              <w:t xml:space="preserve">Spontaneous, spontaneous </w:t>
            </w:r>
          </w:p>
          <w:p w14:paraId="1BFFFAAC" w14:textId="0D2238BB" w:rsidR="00835719" w:rsidRPr="00E45821" w:rsidRDefault="00835719" w:rsidP="00835719">
            <w:pPr>
              <w:rPr>
                <w:rFonts w:eastAsia="Times New Roman" w:cs="Times New Roman"/>
                <w:sz w:val="20"/>
                <w:szCs w:val="20"/>
              </w:rPr>
            </w:pPr>
            <w:r>
              <w:rPr>
                <w:rFonts w:eastAsia="Times New Roman" w:cs="Times New Roman"/>
                <w:sz w:val="20"/>
                <w:szCs w:val="20"/>
              </w:rPr>
              <w:t xml:space="preserve">   </w:t>
            </w:r>
            <w:r w:rsidRPr="00E45821">
              <w:rPr>
                <w:rFonts w:eastAsia="Times New Roman" w:cs="Times New Roman"/>
                <w:sz w:val="20"/>
                <w:szCs w:val="20"/>
              </w:rPr>
              <w:t>augmented, or</w:t>
            </w:r>
            <w:r>
              <w:rPr>
                <w:rFonts w:eastAsia="Times New Roman" w:cs="Times New Roman"/>
                <w:sz w:val="20"/>
                <w:szCs w:val="20"/>
              </w:rPr>
              <w:t xml:space="preserve"> </w:t>
            </w:r>
            <w:r w:rsidRPr="00E45821">
              <w:rPr>
                <w:rFonts w:eastAsia="Times New Roman" w:cs="Times New Roman"/>
                <w:sz w:val="20"/>
                <w:szCs w:val="20"/>
              </w:rPr>
              <w:t>induced labor</w:t>
            </w:r>
          </w:p>
        </w:tc>
        <w:tc>
          <w:tcPr>
            <w:tcW w:w="1433" w:type="dxa"/>
            <w:tcBorders>
              <w:top w:val="nil"/>
              <w:left w:val="nil"/>
              <w:bottom w:val="nil"/>
              <w:right w:val="nil"/>
            </w:tcBorders>
            <w:shd w:val="clear" w:color="auto" w:fill="auto"/>
            <w:noWrap/>
            <w:vAlign w:val="bottom"/>
            <w:hideMark/>
          </w:tcPr>
          <w:p w14:paraId="46406C08"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1206 (</w:t>
            </w:r>
            <w:proofErr w:type="gramStart"/>
            <w:r w:rsidRPr="00E45821">
              <w:rPr>
                <w:rFonts w:eastAsia="Times New Roman" w:cs="Times New Roman"/>
                <w:sz w:val="20"/>
                <w:szCs w:val="20"/>
              </w:rPr>
              <w:t>80.2)</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07D36B0"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369 (</w:t>
            </w:r>
            <w:proofErr w:type="gramStart"/>
            <w:r w:rsidRPr="00E45821">
              <w:rPr>
                <w:rFonts w:eastAsia="Times New Roman" w:cs="Times New Roman"/>
                <w:sz w:val="20"/>
                <w:szCs w:val="20"/>
              </w:rPr>
              <w:t>79.0)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04AB0AA3" w14:textId="4EF65756"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4EA7D83A" w14:textId="62DE4933"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627 (</w:t>
            </w:r>
            <w:proofErr w:type="gramStart"/>
            <w:r w:rsidRPr="00E45821">
              <w:rPr>
                <w:rFonts w:eastAsia="Times New Roman" w:cs="Times New Roman"/>
                <w:sz w:val="20"/>
                <w:szCs w:val="20"/>
              </w:rPr>
              <w:t>80.8)</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181EFE31"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180 (</w:t>
            </w:r>
            <w:proofErr w:type="gramStart"/>
            <w:r w:rsidRPr="00E45821">
              <w:rPr>
                <w:rFonts w:eastAsia="Times New Roman" w:cs="Times New Roman"/>
                <w:sz w:val="20"/>
                <w:szCs w:val="20"/>
              </w:rPr>
              <w:t>87.8)</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1DE055C6" w14:textId="58048FCA" w:rsidR="00835719" w:rsidRPr="00E45821" w:rsidRDefault="00835719" w:rsidP="00835719">
            <w:pPr>
              <w:jc w:val="center"/>
              <w:rPr>
                <w:rFonts w:eastAsia="Times New Roman" w:cs="Times New Roman"/>
                <w:sz w:val="20"/>
                <w:szCs w:val="20"/>
              </w:rPr>
            </w:pPr>
            <w:r>
              <w:rPr>
                <w:rFonts w:eastAsia="Times New Roman" w:cs="Times New Roman"/>
                <w:sz w:val="20"/>
                <w:szCs w:val="20"/>
              </w:rPr>
              <w:t>0.268</w:t>
            </w:r>
          </w:p>
        </w:tc>
        <w:tc>
          <w:tcPr>
            <w:tcW w:w="1113" w:type="dxa"/>
            <w:gridSpan w:val="2"/>
            <w:tcBorders>
              <w:top w:val="nil"/>
              <w:left w:val="nil"/>
              <w:bottom w:val="nil"/>
              <w:right w:val="nil"/>
            </w:tcBorders>
            <w:vAlign w:val="bottom"/>
          </w:tcPr>
          <w:p w14:paraId="424744E7" w14:textId="3774E8A8" w:rsidR="00835719" w:rsidRPr="00E45821" w:rsidRDefault="00835719" w:rsidP="00835719">
            <w:pPr>
              <w:jc w:val="center"/>
              <w:rPr>
                <w:rFonts w:eastAsia="Times New Roman" w:cs="Times New Roman"/>
                <w:sz w:val="20"/>
                <w:szCs w:val="20"/>
              </w:rPr>
            </w:pPr>
            <w:r>
              <w:rPr>
                <w:rFonts w:eastAsia="Times New Roman" w:cs="Times New Roman"/>
                <w:sz w:val="20"/>
                <w:szCs w:val="20"/>
              </w:rPr>
              <w:t>0.429</w:t>
            </w:r>
          </w:p>
        </w:tc>
      </w:tr>
      <w:tr w:rsidR="00835719" w:rsidRPr="00B75012" w14:paraId="4E716E5E" w14:textId="49ACB57B" w:rsidTr="009D01D9">
        <w:trPr>
          <w:trHeight w:val="360"/>
        </w:trPr>
        <w:tc>
          <w:tcPr>
            <w:tcW w:w="317" w:type="dxa"/>
            <w:tcBorders>
              <w:top w:val="nil"/>
              <w:left w:val="nil"/>
              <w:bottom w:val="nil"/>
              <w:right w:val="nil"/>
            </w:tcBorders>
            <w:shd w:val="clear" w:color="auto" w:fill="auto"/>
            <w:noWrap/>
            <w:vAlign w:val="bottom"/>
            <w:hideMark/>
          </w:tcPr>
          <w:p w14:paraId="31D246CE"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6AF319DC"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No labor</w:t>
            </w:r>
          </w:p>
        </w:tc>
        <w:tc>
          <w:tcPr>
            <w:tcW w:w="1433" w:type="dxa"/>
            <w:tcBorders>
              <w:top w:val="nil"/>
              <w:left w:val="nil"/>
              <w:bottom w:val="nil"/>
              <w:right w:val="nil"/>
            </w:tcBorders>
            <w:shd w:val="clear" w:color="auto" w:fill="auto"/>
            <w:noWrap/>
            <w:vAlign w:val="bottom"/>
            <w:hideMark/>
          </w:tcPr>
          <w:p w14:paraId="0B3402A3"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249 (</w:t>
            </w:r>
            <w:proofErr w:type="gramStart"/>
            <w:r w:rsidRPr="00E45821">
              <w:rPr>
                <w:rFonts w:eastAsia="Times New Roman" w:cs="Times New Roman"/>
                <w:sz w:val="20"/>
                <w:szCs w:val="20"/>
              </w:rPr>
              <w:t>16.6)</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555E87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43 (</w:t>
            </w:r>
            <w:proofErr w:type="gramStart"/>
            <w:r w:rsidRPr="00E45821">
              <w:rPr>
                <w:rFonts w:eastAsia="Times New Roman" w:cs="Times New Roman"/>
                <w:sz w:val="20"/>
                <w:szCs w:val="20"/>
              </w:rPr>
              <w:t>9.2)</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715044EE"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2BC4722E" w14:textId="2FF1FBA9"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148 (</w:t>
            </w:r>
            <w:proofErr w:type="gramStart"/>
            <w:r w:rsidRPr="00E45821">
              <w:rPr>
                <w:rFonts w:eastAsia="Times New Roman" w:cs="Times New Roman"/>
                <w:sz w:val="20"/>
                <w:szCs w:val="20"/>
              </w:rPr>
              <w:t>19.1)</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2A5D0AB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16 (</w:t>
            </w:r>
            <w:proofErr w:type="gramStart"/>
            <w:r w:rsidRPr="00E45821">
              <w:rPr>
                <w:rFonts w:eastAsia="Times New Roman" w:cs="Times New Roman"/>
                <w:sz w:val="20"/>
                <w:szCs w:val="20"/>
              </w:rPr>
              <w:t>7.8)</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01BB1464"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0109F89A" w14:textId="77777777" w:rsidR="00835719" w:rsidRPr="00E45821" w:rsidRDefault="00835719" w:rsidP="00835719">
            <w:pPr>
              <w:jc w:val="center"/>
              <w:rPr>
                <w:rFonts w:eastAsia="Times New Roman" w:cs="Times New Roman"/>
                <w:sz w:val="20"/>
                <w:szCs w:val="20"/>
              </w:rPr>
            </w:pPr>
          </w:p>
        </w:tc>
      </w:tr>
      <w:tr w:rsidR="00835719" w:rsidRPr="00B75012" w14:paraId="42D78CB9" w14:textId="13283A81" w:rsidTr="009D01D9">
        <w:trPr>
          <w:trHeight w:val="450"/>
        </w:trPr>
        <w:tc>
          <w:tcPr>
            <w:tcW w:w="3369" w:type="dxa"/>
            <w:gridSpan w:val="2"/>
            <w:tcBorders>
              <w:top w:val="nil"/>
              <w:left w:val="nil"/>
              <w:bottom w:val="nil"/>
              <w:right w:val="nil"/>
            </w:tcBorders>
            <w:shd w:val="clear" w:color="auto" w:fill="auto"/>
            <w:noWrap/>
            <w:vAlign w:val="bottom"/>
            <w:hideMark/>
          </w:tcPr>
          <w:p w14:paraId="70A3DC18"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Maternal Smoking</w:t>
            </w:r>
          </w:p>
        </w:tc>
        <w:tc>
          <w:tcPr>
            <w:tcW w:w="1433" w:type="dxa"/>
            <w:tcBorders>
              <w:top w:val="nil"/>
              <w:left w:val="nil"/>
              <w:bottom w:val="nil"/>
              <w:right w:val="nil"/>
            </w:tcBorders>
            <w:shd w:val="clear" w:color="auto" w:fill="auto"/>
            <w:noWrap/>
            <w:vAlign w:val="bottom"/>
            <w:hideMark/>
          </w:tcPr>
          <w:p w14:paraId="593F7DA7" w14:textId="77777777" w:rsidR="00835719" w:rsidRPr="00E45821" w:rsidRDefault="00835719" w:rsidP="00835719">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73C45019" w14:textId="77777777" w:rsidR="00835719" w:rsidRPr="00E45821" w:rsidRDefault="00835719" w:rsidP="00835719">
            <w:pPr>
              <w:jc w:val="center"/>
              <w:rPr>
                <w:rFonts w:eastAsia="Times New Roman" w:cs="Times New Roman"/>
                <w:sz w:val="20"/>
                <w:szCs w:val="20"/>
              </w:rPr>
            </w:pPr>
          </w:p>
        </w:tc>
        <w:tc>
          <w:tcPr>
            <w:tcW w:w="1276" w:type="dxa"/>
            <w:tcBorders>
              <w:top w:val="nil"/>
              <w:left w:val="nil"/>
              <w:bottom w:val="nil"/>
              <w:right w:val="nil"/>
            </w:tcBorders>
            <w:vAlign w:val="bottom"/>
          </w:tcPr>
          <w:p w14:paraId="1E6C85D1"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4D41C684" w14:textId="288F5996" w:rsidR="00835719" w:rsidRPr="00E45821" w:rsidRDefault="00835719" w:rsidP="00835719">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6F69A478" w14:textId="77777777" w:rsidR="00835719" w:rsidRPr="00E45821" w:rsidRDefault="00835719" w:rsidP="00835719">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09593312"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3E08E29A" w14:textId="77777777" w:rsidR="00835719" w:rsidRPr="00E45821" w:rsidRDefault="00835719" w:rsidP="00835719">
            <w:pPr>
              <w:jc w:val="center"/>
              <w:rPr>
                <w:rFonts w:eastAsia="Times New Roman" w:cs="Times New Roman"/>
                <w:sz w:val="20"/>
                <w:szCs w:val="20"/>
              </w:rPr>
            </w:pPr>
          </w:p>
        </w:tc>
      </w:tr>
      <w:tr w:rsidR="00835719" w:rsidRPr="00B75012" w14:paraId="5DA5BB9A" w14:textId="456170A5" w:rsidTr="009D01D9">
        <w:trPr>
          <w:trHeight w:val="380"/>
        </w:trPr>
        <w:tc>
          <w:tcPr>
            <w:tcW w:w="317" w:type="dxa"/>
            <w:tcBorders>
              <w:top w:val="nil"/>
              <w:left w:val="nil"/>
              <w:bottom w:val="nil"/>
              <w:right w:val="nil"/>
            </w:tcBorders>
            <w:shd w:val="clear" w:color="auto" w:fill="auto"/>
            <w:noWrap/>
            <w:vAlign w:val="bottom"/>
            <w:hideMark/>
          </w:tcPr>
          <w:p w14:paraId="623E7C3B"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1230DA46"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Yes/Cotinine positive (&gt;200 ng/mL)</w:t>
            </w:r>
          </w:p>
        </w:tc>
        <w:tc>
          <w:tcPr>
            <w:tcW w:w="1433" w:type="dxa"/>
            <w:tcBorders>
              <w:top w:val="nil"/>
              <w:left w:val="nil"/>
              <w:bottom w:val="nil"/>
              <w:right w:val="nil"/>
            </w:tcBorders>
            <w:shd w:val="clear" w:color="auto" w:fill="auto"/>
            <w:noWrap/>
            <w:vAlign w:val="bottom"/>
            <w:hideMark/>
          </w:tcPr>
          <w:p w14:paraId="7732660D"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77 (</w:t>
            </w:r>
            <w:proofErr w:type="gramStart"/>
            <w:r w:rsidRPr="00E45821">
              <w:rPr>
                <w:rFonts w:eastAsia="Times New Roman" w:cs="Times New Roman"/>
                <w:sz w:val="20"/>
                <w:szCs w:val="20"/>
              </w:rPr>
              <w:t>5.1)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381EA85"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0 (</w:t>
            </w:r>
            <w:proofErr w:type="gramStart"/>
            <w:r w:rsidRPr="00E45821">
              <w:rPr>
                <w:rFonts w:eastAsia="Times New Roman" w:cs="Times New Roman"/>
                <w:sz w:val="20"/>
                <w:szCs w:val="20"/>
              </w:rPr>
              <w:t>0.0)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367CFB30" w14:textId="06D81FDD"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0A0EDC71" w14:textId="44597226"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37 (</w:t>
            </w:r>
            <w:proofErr w:type="gramStart"/>
            <w:r w:rsidRPr="00E45821">
              <w:rPr>
                <w:rFonts w:eastAsia="Times New Roman" w:cs="Times New Roman"/>
                <w:sz w:val="20"/>
                <w:szCs w:val="20"/>
              </w:rPr>
              <w:t>4.8)</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772B92A5"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0 (</w:t>
            </w:r>
            <w:proofErr w:type="gramStart"/>
            <w:r w:rsidRPr="00E45821">
              <w:rPr>
                <w:rFonts w:eastAsia="Times New Roman" w:cs="Times New Roman"/>
                <w:sz w:val="20"/>
                <w:szCs w:val="20"/>
              </w:rPr>
              <w:t>0)</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462B3A6A" w14:textId="049908A8" w:rsidR="00835719" w:rsidRPr="00E45821" w:rsidRDefault="00835719" w:rsidP="00835719">
            <w:pPr>
              <w:jc w:val="center"/>
              <w:rPr>
                <w:rFonts w:eastAsia="Times New Roman" w:cs="Times New Roman"/>
                <w:sz w:val="20"/>
                <w:szCs w:val="20"/>
              </w:rPr>
            </w:pPr>
            <w:r>
              <w:rPr>
                <w:rFonts w:eastAsia="Times New Roman" w:cs="Times New Roman"/>
                <w:sz w:val="20"/>
                <w:szCs w:val="20"/>
              </w:rPr>
              <w:t>0.113</w:t>
            </w:r>
          </w:p>
        </w:tc>
        <w:tc>
          <w:tcPr>
            <w:tcW w:w="1113" w:type="dxa"/>
            <w:gridSpan w:val="2"/>
            <w:tcBorders>
              <w:top w:val="nil"/>
              <w:left w:val="nil"/>
              <w:bottom w:val="nil"/>
              <w:right w:val="nil"/>
            </w:tcBorders>
            <w:vAlign w:val="bottom"/>
          </w:tcPr>
          <w:p w14:paraId="036CD17F" w14:textId="75EE3730" w:rsidR="00835719" w:rsidRPr="00E45821" w:rsidRDefault="00835719" w:rsidP="00835719">
            <w:pPr>
              <w:jc w:val="center"/>
              <w:rPr>
                <w:rFonts w:eastAsia="Times New Roman" w:cs="Times New Roman"/>
                <w:sz w:val="20"/>
                <w:szCs w:val="20"/>
              </w:rPr>
            </w:pPr>
            <w:r>
              <w:rPr>
                <w:rFonts w:eastAsia="Times New Roman" w:cs="Times New Roman"/>
                <w:sz w:val="20"/>
                <w:szCs w:val="20"/>
              </w:rPr>
              <w:t>-</w:t>
            </w:r>
          </w:p>
        </w:tc>
      </w:tr>
      <w:tr w:rsidR="00835719" w:rsidRPr="00B75012" w14:paraId="3DAA6E5D" w14:textId="3262F3DB" w:rsidTr="009D01D9">
        <w:trPr>
          <w:trHeight w:val="216"/>
        </w:trPr>
        <w:tc>
          <w:tcPr>
            <w:tcW w:w="317" w:type="dxa"/>
            <w:tcBorders>
              <w:top w:val="nil"/>
              <w:left w:val="nil"/>
              <w:bottom w:val="nil"/>
              <w:right w:val="nil"/>
            </w:tcBorders>
            <w:shd w:val="clear" w:color="auto" w:fill="auto"/>
            <w:noWrap/>
            <w:vAlign w:val="bottom"/>
            <w:hideMark/>
          </w:tcPr>
          <w:p w14:paraId="3A1ADFEF"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340D9743"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No/Cotinine negative (&lt;200 ng/mL)</w:t>
            </w:r>
          </w:p>
        </w:tc>
        <w:tc>
          <w:tcPr>
            <w:tcW w:w="1433" w:type="dxa"/>
            <w:tcBorders>
              <w:top w:val="nil"/>
              <w:left w:val="nil"/>
              <w:bottom w:val="nil"/>
              <w:right w:val="nil"/>
            </w:tcBorders>
            <w:shd w:val="clear" w:color="auto" w:fill="auto"/>
            <w:noWrap/>
            <w:vAlign w:val="bottom"/>
            <w:hideMark/>
          </w:tcPr>
          <w:p w14:paraId="0870AB1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1085 (</w:t>
            </w:r>
            <w:proofErr w:type="gramStart"/>
            <w:r w:rsidRPr="00E45821">
              <w:rPr>
                <w:rFonts w:eastAsia="Times New Roman" w:cs="Times New Roman"/>
                <w:sz w:val="20"/>
                <w:szCs w:val="20"/>
              </w:rPr>
              <w:t>72.2)</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560BC0A"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 (</w:t>
            </w:r>
            <w:proofErr w:type="gramStart"/>
            <w:r w:rsidRPr="00E45821">
              <w:rPr>
                <w:rFonts w:eastAsia="Times New Roman" w:cs="Times New Roman"/>
                <w:sz w:val="20"/>
                <w:szCs w:val="20"/>
              </w:rPr>
              <w:t>0.9)</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4CCF5E95"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4B1AC34B" w14:textId="2D951EE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736 (</w:t>
            </w:r>
            <w:proofErr w:type="gramStart"/>
            <w:r w:rsidRPr="00E45821">
              <w:rPr>
                <w:rFonts w:eastAsia="Times New Roman" w:cs="Times New Roman"/>
                <w:sz w:val="20"/>
                <w:szCs w:val="20"/>
              </w:rPr>
              <w:t>94.8)</w:t>
            </w:r>
            <w:r w:rsidRPr="00E45821">
              <w:rPr>
                <w:rFonts w:ascii="Cambria Math" w:eastAsia="Times New Roman" w:hAnsi="Cambria Math" w:cs="Cambria Math"/>
                <w:sz w:val="20"/>
                <w:szCs w:val="20"/>
                <w:vertAlign w:val="superscript"/>
              </w:rPr>
              <w:t>⍭</w:t>
            </w:r>
            <w:proofErr w:type="gramEnd"/>
          </w:p>
        </w:tc>
        <w:tc>
          <w:tcPr>
            <w:tcW w:w="1563" w:type="dxa"/>
            <w:gridSpan w:val="2"/>
            <w:tcBorders>
              <w:top w:val="nil"/>
              <w:left w:val="nil"/>
              <w:bottom w:val="nil"/>
              <w:right w:val="nil"/>
            </w:tcBorders>
            <w:shd w:val="clear" w:color="auto" w:fill="auto"/>
            <w:noWrap/>
            <w:vAlign w:val="bottom"/>
            <w:hideMark/>
          </w:tcPr>
          <w:p w14:paraId="5CC2F128"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2 (</w:t>
            </w:r>
            <w:proofErr w:type="gramStart"/>
            <w:r w:rsidRPr="00E45821">
              <w:rPr>
                <w:rFonts w:eastAsia="Times New Roman" w:cs="Times New Roman"/>
                <w:sz w:val="20"/>
                <w:szCs w:val="20"/>
              </w:rPr>
              <w:t>1.0)</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1931F55C"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2C9E8F9F" w14:textId="77777777" w:rsidR="00835719" w:rsidRPr="00E45821" w:rsidRDefault="00835719" w:rsidP="00835719">
            <w:pPr>
              <w:jc w:val="center"/>
              <w:rPr>
                <w:rFonts w:eastAsia="Times New Roman" w:cs="Times New Roman"/>
                <w:sz w:val="20"/>
                <w:szCs w:val="20"/>
              </w:rPr>
            </w:pPr>
          </w:p>
        </w:tc>
      </w:tr>
      <w:tr w:rsidR="00835719" w:rsidRPr="00B75012" w14:paraId="33E9310F" w14:textId="60337902" w:rsidTr="009D01D9">
        <w:trPr>
          <w:trHeight w:val="414"/>
        </w:trPr>
        <w:tc>
          <w:tcPr>
            <w:tcW w:w="3369" w:type="dxa"/>
            <w:gridSpan w:val="2"/>
            <w:tcBorders>
              <w:top w:val="nil"/>
              <w:left w:val="nil"/>
              <w:bottom w:val="nil"/>
              <w:right w:val="nil"/>
            </w:tcBorders>
            <w:shd w:val="clear" w:color="auto" w:fill="auto"/>
            <w:noWrap/>
            <w:vAlign w:val="bottom"/>
            <w:hideMark/>
          </w:tcPr>
          <w:p w14:paraId="4E58AFAA"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Maternal Smoking (Self-report)</w:t>
            </w:r>
          </w:p>
        </w:tc>
        <w:tc>
          <w:tcPr>
            <w:tcW w:w="1433" w:type="dxa"/>
            <w:tcBorders>
              <w:top w:val="nil"/>
              <w:left w:val="nil"/>
              <w:bottom w:val="nil"/>
              <w:right w:val="nil"/>
            </w:tcBorders>
            <w:shd w:val="clear" w:color="auto" w:fill="auto"/>
            <w:noWrap/>
            <w:vAlign w:val="bottom"/>
            <w:hideMark/>
          </w:tcPr>
          <w:p w14:paraId="3B57EA58" w14:textId="77777777" w:rsidR="00835719" w:rsidRPr="00E45821" w:rsidRDefault="00835719" w:rsidP="00835719">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36C606CA" w14:textId="77777777" w:rsidR="00835719" w:rsidRPr="00E45821" w:rsidRDefault="00835719" w:rsidP="00835719">
            <w:pPr>
              <w:jc w:val="center"/>
              <w:rPr>
                <w:rFonts w:eastAsia="Times New Roman" w:cs="Times New Roman"/>
                <w:sz w:val="20"/>
                <w:szCs w:val="20"/>
              </w:rPr>
            </w:pPr>
          </w:p>
        </w:tc>
        <w:tc>
          <w:tcPr>
            <w:tcW w:w="1276" w:type="dxa"/>
            <w:tcBorders>
              <w:top w:val="nil"/>
              <w:left w:val="nil"/>
              <w:bottom w:val="nil"/>
              <w:right w:val="nil"/>
            </w:tcBorders>
            <w:vAlign w:val="bottom"/>
          </w:tcPr>
          <w:p w14:paraId="56822923"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65FF3E89" w14:textId="5AA7129E" w:rsidR="00835719" w:rsidRPr="00E45821" w:rsidRDefault="00835719" w:rsidP="00835719">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0C0EEEBB" w14:textId="77777777" w:rsidR="00835719" w:rsidRPr="00E45821" w:rsidRDefault="00835719" w:rsidP="00835719">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31B6284E"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3435055D" w14:textId="77777777" w:rsidR="00835719" w:rsidRPr="00E45821" w:rsidRDefault="00835719" w:rsidP="00835719">
            <w:pPr>
              <w:jc w:val="center"/>
              <w:rPr>
                <w:rFonts w:eastAsia="Times New Roman" w:cs="Times New Roman"/>
                <w:sz w:val="20"/>
                <w:szCs w:val="20"/>
              </w:rPr>
            </w:pPr>
          </w:p>
        </w:tc>
      </w:tr>
      <w:tr w:rsidR="00835719" w:rsidRPr="00B75012" w14:paraId="0A8B5455" w14:textId="34872BF5" w:rsidTr="009D01D9">
        <w:trPr>
          <w:trHeight w:val="380"/>
        </w:trPr>
        <w:tc>
          <w:tcPr>
            <w:tcW w:w="317" w:type="dxa"/>
            <w:tcBorders>
              <w:top w:val="nil"/>
              <w:left w:val="nil"/>
              <w:bottom w:val="nil"/>
              <w:right w:val="nil"/>
            </w:tcBorders>
            <w:shd w:val="clear" w:color="auto" w:fill="auto"/>
            <w:noWrap/>
            <w:vAlign w:val="bottom"/>
            <w:hideMark/>
          </w:tcPr>
          <w:p w14:paraId="140BDDF9"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264F64E9"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Yes</w:t>
            </w:r>
          </w:p>
        </w:tc>
        <w:tc>
          <w:tcPr>
            <w:tcW w:w="1433" w:type="dxa"/>
            <w:tcBorders>
              <w:top w:val="nil"/>
              <w:left w:val="nil"/>
              <w:bottom w:val="nil"/>
              <w:right w:val="nil"/>
            </w:tcBorders>
            <w:shd w:val="clear" w:color="auto" w:fill="auto"/>
            <w:noWrap/>
            <w:vAlign w:val="bottom"/>
            <w:hideMark/>
          </w:tcPr>
          <w:p w14:paraId="4EDF151C"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151 (</w:t>
            </w:r>
            <w:proofErr w:type="gramStart"/>
            <w:r w:rsidRPr="00E45821">
              <w:rPr>
                <w:rFonts w:eastAsia="Times New Roman" w:cs="Times New Roman"/>
                <w:sz w:val="20"/>
                <w:szCs w:val="20"/>
              </w:rPr>
              <w:t>10.0)</w:t>
            </w:r>
            <w:r w:rsidRPr="00E45821">
              <w:rPr>
                <w:rFonts w:ascii="Cambria Math" w:eastAsia="Times New Roman" w:hAnsi="Cambria Math" w:cs="Cambria Math"/>
                <w:sz w:val="20"/>
                <w:szCs w:val="20"/>
              </w:rPr>
              <w:t>⍭</w:t>
            </w:r>
            <w:proofErr w:type="gramEnd"/>
          </w:p>
        </w:tc>
        <w:tc>
          <w:tcPr>
            <w:tcW w:w="1433" w:type="dxa"/>
            <w:tcBorders>
              <w:top w:val="nil"/>
              <w:left w:val="nil"/>
              <w:bottom w:val="nil"/>
              <w:right w:val="nil"/>
            </w:tcBorders>
            <w:shd w:val="clear" w:color="auto" w:fill="auto"/>
            <w:noWrap/>
            <w:vAlign w:val="bottom"/>
            <w:hideMark/>
          </w:tcPr>
          <w:p w14:paraId="5F39C489"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12 (</w:t>
            </w:r>
            <w:proofErr w:type="gramStart"/>
            <w:r w:rsidRPr="00E45821">
              <w:rPr>
                <w:rFonts w:eastAsia="Times New Roman" w:cs="Times New Roman"/>
                <w:sz w:val="20"/>
                <w:szCs w:val="20"/>
              </w:rPr>
              <w:t>2.6)</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56004B35" w14:textId="262FDFDA"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4635B527" w14:textId="518E2A79"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65 (8.4)</w:t>
            </w:r>
          </w:p>
        </w:tc>
        <w:tc>
          <w:tcPr>
            <w:tcW w:w="1563" w:type="dxa"/>
            <w:gridSpan w:val="2"/>
            <w:tcBorders>
              <w:top w:val="nil"/>
              <w:left w:val="nil"/>
              <w:bottom w:val="nil"/>
              <w:right w:val="nil"/>
            </w:tcBorders>
            <w:shd w:val="clear" w:color="auto" w:fill="auto"/>
            <w:noWrap/>
            <w:vAlign w:val="bottom"/>
            <w:hideMark/>
          </w:tcPr>
          <w:p w14:paraId="15737CE7"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 (</w:t>
            </w:r>
            <w:proofErr w:type="gramStart"/>
            <w:r w:rsidRPr="00E45821">
              <w:rPr>
                <w:rFonts w:eastAsia="Times New Roman" w:cs="Times New Roman"/>
                <w:sz w:val="20"/>
                <w:szCs w:val="20"/>
              </w:rPr>
              <w:t>2.0)</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40AE2414" w14:textId="0F9F3E16" w:rsidR="00835719" w:rsidRPr="00E45821" w:rsidRDefault="00835719" w:rsidP="00835719">
            <w:pPr>
              <w:jc w:val="center"/>
              <w:rPr>
                <w:rFonts w:eastAsia="Times New Roman" w:cs="Times New Roman"/>
                <w:sz w:val="20"/>
                <w:szCs w:val="20"/>
              </w:rPr>
            </w:pPr>
            <w:r>
              <w:rPr>
                <w:rFonts w:eastAsia="Times New Roman" w:cs="Times New Roman"/>
                <w:sz w:val="20"/>
                <w:szCs w:val="20"/>
              </w:rPr>
              <w:t>0.223</w:t>
            </w:r>
          </w:p>
        </w:tc>
        <w:tc>
          <w:tcPr>
            <w:tcW w:w="1113" w:type="dxa"/>
            <w:gridSpan w:val="2"/>
            <w:tcBorders>
              <w:top w:val="nil"/>
              <w:left w:val="nil"/>
              <w:bottom w:val="nil"/>
              <w:right w:val="nil"/>
            </w:tcBorders>
            <w:vAlign w:val="bottom"/>
          </w:tcPr>
          <w:p w14:paraId="73AAF771" w14:textId="1026F90B" w:rsidR="00835719" w:rsidRPr="00E45821" w:rsidRDefault="00835719" w:rsidP="00835719">
            <w:pPr>
              <w:jc w:val="center"/>
              <w:rPr>
                <w:rFonts w:eastAsia="Times New Roman" w:cs="Times New Roman"/>
                <w:sz w:val="20"/>
                <w:szCs w:val="20"/>
              </w:rPr>
            </w:pPr>
            <w:r>
              <w:rPr>
                <w:rFonts w:eastAsia="Times New Roman" w:cs="Times New Roman"/>
                <w:sz w:val="20"/>
                <w:szCs w:val="20"/>
              </w:rPr>
              <w:t>0.738</w:t>
            </w:r>
          </w:p>
        </w:tc>
      </w:tr>
      <w:tr w:rsidR="00835719" w:rsidRPr="00B75012" w14:paraId="1E4845FF" w14:textId="1A25311D" w:rsidTr="009D01D9">
        <w:trPr>
          <w:trHeight w:val="333"/>
        </w:trPr>
        <w:tc>
          <w:tcPr>
            <w:tcW w:w="317" w:type="dxa"/>
            <w:tcBorders>
              <w:top w:val="nil"/>
              <w:left w:val="nil"/>
              <w:bottom w:val="nil"/>
              <w:right w:val="nil"/>
            </w:tcBorders>
            <w:shd w:val="clear" w:color="auto" w:fill="auto"/>
            <w:noWrap/>
            <w:vAlign w:val="bottom"/>
            <w:hideMark/>
          </w:tcPr>
          <w:p w14:paraId="1E2EED04"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09476568"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No</w:t>
            </w:r>
          </w:p>
        </w:tc>
        <w:tc>
          <w:tcPr>
            <w:tcW w:w="1433" w:type="dxa"/>
            <w:tcBorders>
              <w:top w:val="nil"/>
              <w:left w:val="nil"/>
              <w:bottom w:val="nil"/>
              <w:right w:val="nil"/>
            </w:tcBorders>
            <w:shd w:val="clear" w:color="auto" w:fill="auto"/>
            <w:noWrap/>
            <w:vAlign w:val="bottom"/>
            <w:hideMark/>
          </w:tcPr>
          <w:p w14:paraId="130A0E0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1351 (</w:t>
            </w:r>
            <w:proofErr w:type="gramStart"/>
            <w:r w:rsidRPr="00E45821">
              <w:rPr>
                <w:rFonts w:eastAsia="Times New Roman" w:cs="Times New Roman"/>
                <w:sz w:val="20"/>
                <w:szCs w:val="20"/>
              </w:rPr>
              <w:t>89.9)</w:t>
            </w:r>
            <w:r w:rsidRPr="00E45821">
              <w:rPr>
                <w:rFonts w:ascii="Cambria Math" w:eastAsia="Times New Roman" w:hAnsi="Cambria Math" w:cs="Cambria Math"/>
                <w:sz w:val="20"/>
                <w:szCs w:val="20"/>
              </w:rPr>
              <w:t>⍭</w:t>
            </w:r>
            <w:proofErr w:type="gramEnd"/>
          </w:p>
        </w:tc>
        <w:tc>
          <w:tcPr>
            <w:tcW w:w="1433" w:type="dxa"/>
            <w:tcBorders>
              <w:top w:val="nil"/>
              <w:left w:val="nil"/>
              <w:bottom w:val="nil"/>
              <w:right w:val="nil"/>
            </w:tcBorders>
            <w:shd w:val="clear" w:color="auto" w:fill="auto"/>
            <w:noWrap/>
            <w:vAlign w:val="bottom"/>
            <w:hideMark/>
          </w:tcPr>
          <w:p w14:paraId="03C96583"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414 (</w:t>
            </w:r>
            <w:proofErr w:type="gramStart"/>
            <w:r w:rsidRPr="00E45821">
              <w:rPr>
                <w:rFonts w:eastAsia="Times New Roman" w:cs="Times New Roman"/>
                <w:sz w:val="20"/>
                <w:szCs w:val="20"/>
              </w:rPr>
              <w:t>88.7)</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515A6D4B"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6047F7D4" w14:textId="01F5E4E2"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711 (91.6)</w:t>
            </w:r>
          </w:p>
        </w:tc>
        <w:tc>
          <w:tcPr>
            <w:tcW w:w="1563" w:type="dxa"/>
            <w:gridSpan w:val="2"/>
            <w:tcBorders>
              <w:top w:val="nil"/>
              <w:left w:val="nil"/>
              <w:bottom w:val="nil"/>
              <w:right w:val="nil"/>
            </w:tcBorders>
            <w:shd w:val="clear" w:color="auto" w:fill="auto"/>
            <w:noWrap/>
            <w:vAlign w:val="bottom"/>
            <w:hideMark/>
          </w:tcPr>
          <w:p w14:paraId="43FB646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199 (</w:t>
            </w:r>
            <w:proofErr w:type="gramStart"/>
            <w:r w:rsidRPr="00E45821">
              <w:rPr>
                <w:rFonts w:eastAsia="Times New Roman" w:cs="Times New Roman"/>
                <w:sz w:val="20"/>
                <w:szCs w:val="20"/>
              </w:rPr>
              <w:t>97.1)</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1FD9E321"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04EB284E" w14:textId="77777777" w:rsidR="00835719" w:rsidRPr="00E45821" w:rsidRDefault="00835719" w:rsidP="00835719">
            <w:pPr>
              <w:jc w:val="center"/>
              <w:rPr>
                <w:rFonts w:eastAsia="Times New Roman" w:cs="Times New Roman"/>
                <w:sz w:val="20"/>
                <w:szCs w:val="20"/>
              </w:rPr>
            </w:pPr>
          </w:p>
        </w:tc>
      </w:tr>
      <w:tr w:rsidR="00835719" w:rsidRPr="00B75012" w14:paraId="566B5FAD" w14:textId="303041F6" w:rsidTr="009D01D9">
        <w:trPr>
          <w:trHeight w:val="405"/>
        </w:trPr>
        <w:tc>
          <w:tcPr>
            <w:tcW w:w="3369" w:type="dxa"/>
            <w:gridSpan w:val="2"/>
            <w:tcBorders>
              <w:top w:val="nil"/>
              <w:left w:val="nil"/>
              <w:bottom w:val="nil"/>
              <w:right w:val="nil"/>
            </w:tcBorders>
            <w:shd w:val="clear" w:color="auto" w:fill="auto"/>
            <w:noWrap/>
            <w:vAlign w:val="bottom"/>
            <w:hideMark/>
          </w:tcPr>
          <w:p w14:paraId="55B21B68" w14:textId="77777777" w:rsidR="00835719" w:rsidRPr="00E45821" w:rsidRDefault="00835719" w:rsidP="00835719">
            <w:pPr>
              <w:rPr>
                <w:rFonts w:eastAsia="Times New Roman" w:cs="Times New Roman"/>
                <w:b/>
                <w:bCs/>
                <w:sz w:val="20"/>
                <w:szCs w:val="20"/>
              </w:rPr>
            </w:pPr>
            <w:r w:rsidRPr="00E45821">
              <w:rPr>
                <w:rFonts w:eastAsia="Times New Roman" w:cs="Times New Roman"/>
                <w:b/>
                <w:bCs/>
                <w:sz w:val="20"/>
                <w:szCs w:val="20"/>
              </w:rPr>
              <w:t>Maternal Education</w:t>
            </w:r>
          </w:p>
        </w:tc>
        <w:tc>
          <w:tcPr>
            <w:tcW w:w="1433" w:type="dxa"/>
            <w:tcBorders>
              <w:top w:val="nil"/>
              <w:left w:val="nil"/>
              <w:bottom w:val="nil"/>
              <w:right w:val="nil"/>
            </w:tcBorders>
            <w:shd w:val="clear" w:color="auto" w:fill="auto"/>
            <w:noWrap/>
            <w:vAlign w:val="bottom"/>
            <w:hideMark/>
          </w:tcPr>
          <w:p w14:paraId="2CD24178" w14:textId="77777777" w:rsidR="00835719" w:rsidRPr="00E45821" w:rsidRDefault="00835719" w:rsidP="00835719">
            <w:pPr>
              <w:jc w:val="center"/>
              <w:rPr>
                <w:rFonts w:eastAsia="Times New Roman" w:cs="Times New Roman"/>
                <w:b/>
                <w:bCs/>
                <w:sz w:val="20"/>
                <w:szCs w:val="20"/>
              </w:rPr>
            </w:pPr>
          </w:p>
        </w:tc>
        <w:tc>
          <w:tcPr>
            <w:tcW w:w="1433" w:type="dxa"/>
            <w:tcBorders>
              <w:top w:val="nil"/>
              <w:left w:val="nil"/>
              <w:bottom w:val="nil"/>
              <w:right w:val="nil"/>
            </w:tcBorders>
            <w:shd w:val="clear" w:color="auto" w:fill="auto"/>
            <w:noWrap/>
            <w:vAlign w:val="bottom"/>
            <w:hideMark/>
          </w:tcPr>
          <w:p w14:paraId="19266686" w14:textId="77777777" w:rsidR="00835719" w:rsidRPr="00E45821" w:rsidRDefault="00835719" w:rsidP="00835719">
            <w:pPr>
              <w:jc w:val="center"/>
              <w:rPr>
                <w:rFonts w:eastAsia="Times New Roman" w:cs="Times New Roman"/>
                <w:sz w:val="20"/>
                <w:szCs w:val="20"/>
              </w:rPr>
            </w:pPr>
          </w:p>
        </w:tc>
        <w:tc>
          <w:tcPr>
            <w:tcW w:w="1276" w:type="dxa"/>
            <w:tcBorders>
              <w:top w:val="nil"/>
              <w:left w:val="nil"/>
              <w:bottom w:val="nil"/>
              <w:right w:val="nil"/>
            </w:tcBorders>
            <w:vAlign w:val="bottom"/>
          </w:tcPr>
          <w:p w14:paraId="2FA76C1E" w14:textId="77777777" w:rsidR="00835719" w:rsidRPr="00B75012" w:rsidRDefault="00835719" w:rsidP="00835719">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7137D28E" w14:textId="0C6F94AD" w:rsidR="00835719" w:rsidRPr="00E45821" w:rsidRDefault="00835719" w:rsidP="00835719">
            <w:pPr>
              <w:jc w:val="center"/>
              <w:rPr>
                <w:rFonts w:eastAsia="Times New Roman" w:cs="Times New Roman"/>
                <w:sz w:val="20"/>
                <w:szCs w:val="20"/>
              </w:rPr>
            </w:pPr>
          </w:p>
        </w:tc>
        <w:tc>
          <w:tcPr>
            <w:tcW w:w="1563" w:type="dxa"/>
            <w:gridSpan w:val="2"/>
            <w:tcBorders>
              <w:top w:val="nil"/>
              <w:left w:val="nil"/>
              <w:bottom w:val="nil"/>
              <w:right w:val="nil"/>
            </w:tcBorders>
            <w:shd w:val="clear" w:color="auto" w:fill="auto"/>
            <w:noWrap/>
            <w:vAlign w:val="bottom"/>
            <w:hideMark/>
          </w:tcPr>
          <w:p w14:paraId="0595946A" w14:textId="77777777" w:rsidR="00835719" w:rsidRPr="00E45821" w:rsidRDefault="00835719" w:rsidP="00835719">
            <w:pPr>
              <w:jc w:val="center"/>
              <w:rPr>
                <w:rFonts w:eastAsia="Times New Roman" w:cs="Times New Roman"/>
                <w:sz w:val="20"/>
                <w:szCs w:val="20"/>
              </w:rPr>
            </w:pPr>
          </w:p>
        </w:tc>
        <w:tc>
          <w:tcPr>
            <w:tcW w:w="1137" w:type="dxa"/>
            <w:gridSpan w:val="2"/>
            <w:tcBorders>
              <w:top w:val="nil"/>
              <w:left w:val="nil"/>
              <w:bottom w:val="nil"/>
              <w:right w:val="nil"/>
            </w:tcBorders>
            <w:vAlign w:val="bottom"/>
          </w:tcPr>
          <w:p w14:paraId="465F5927" w14:textId="77777777" w:rsidR="00835719" w:rsidRPr="00E45821" w:rsidRDefault="00835719" w:rsidP="00835719">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52EBFE64" w14:textId="77777777" w:rsidR="00835719" w:rsidRPr="00E45821" w:rsidRDefault="00835719" w:rsidP="00835719">
            <w:pPr>
              <w:jc w:val="center"/>
              <w:rPr>
                <w:rFonts w:eastAsia="Times New Roman" w:cs="Times New Roman"/>
                <w:sz w:val="20"/>
                <w:szCs w:val="20"/>
              </w:rPr>
            </w:pPr>
          </w:p>
        </w:tc>
      </w:tr>
      <w:tr w:rsidR="00835719" w:rsidRPr="00B75012" w14:paraId="3ACB809A" w14:textId="3DA0E752" w:rsidTr="009D01D9">
        <w:trPr>
          <w:trHeight w:val="380"/>
        </w:trPr>
        <w:tc>
          <w:tcPr>
            <w:tcW w:w="317" w:type="dxa"/>
            <w:tcBorders>
              <w:top w:val="nil"/>
              <w:left w:val="nil"/>
              <w:bottom w:val="nil"/>
              <w:right w:val="nil"/>
            </w:tcBorders>
            <w:shd w:val="clear" w:color="auto" w:fill="auto"/>
            <w:noWrap/>
            <w:vAlign w:val="bottom"/>
            <w:hideMark/>
          </w:tcPr>
          <w:p w14:paraId="70426063" w14:textId="77777777" w:rsidR="00835719" w:rsidRPr="00E45821" w:rsidRDefault="00835719" w:rsidP="00835719">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3D78AF6D" w14:textId="77777777" w:rsidR="00835719" w:rsidRPr="00E45821" w:rsidRDefault="00835719" w:rsidP="00835719">
            <w:pPr>
              <w:rPr>
                <w:rFonts w:eastAsia="Times New Roman" w:cs="Times New Roman"/>
                <w:sz w:val="20"/>
                <w:szCs w:val="20"/>
              </w:rPr>
            </w:pPr>
            <w:r w:rsidRPr="00E45821">
              <w:rPr>
                <w:rFonts w:eastAsia="Times New Roman" w:cs="Times New Roman"/>
                <w:sz w:val="20"/>
                <w:szCs w:val="20"/>
              </w:rPr>
              <w:t>Less than high school</w:t>
            </w:r>
          </w:p>
        </w:tc>
        <w:tc>
          <w:tcPr>
            <w:tcW w:w="1433" w:type="dxa"/>
            <w:tcBorders>
              <w:top w:val="nil"/>
              <w:left w:val="nil"/>
              <w:bottom w:val="nil"/>
              <w:right w:val="nil"/>
            </w:tcBorders>
            <w:shd w:val="clear" w:color="auto" w:fill="auto"/>
            <w:noWrap/>
            <w:vAlign w:val="bottom"/>
            <w:hideMark/>
          </w:tcPr>
          <w:p w14:paraId="59EEAD02"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184 (</w:t>
            </w:r>
            <w:proofErr w:type="gramStart"/>
            <w:r w:rsidRPr="00E45821">
              <w:rPr>
                <w:rFonts w:eastAsia="Times New Roman" w:cs="Times New Roman"/>
                <w:sz w:val="20"/>
                <w:szCs w:val="20"/>
              </w:rPr>
              <w:t>12.2)</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346FF959"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16 (</w:t>
            </w:r>
            <w:proofErr w:type="gramStart"/>
            <w:r w:rsidRPr="00E45821">
              <w:rPr>
                <w:rFonts w:eastAsia="Times New Roman" w:cs="Times New Roman"/>
                <w:sz w:val="20"/>
                <w:szCs w:val="20"/>
              </w:rPr>
              <w:t>3.4)</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0E9219D7" w14:textId="6674EE3C" w:rsidR="00835719" w:rsidRPr="00B75012" w:rsidRDefault="00835719" w:rsidP="00835719">
            <w:pPr>
              <w:jc w:val="center"/>
              <w:rPr>
                <w:rFonts w:eastAsia="Times New Roman" w:cs="Times New Roman"/>
                <w:sz w:val="20"/>
                <w:szCs w:val="20"/>
              </w:rPr>
            </w:pPr>
            <w:r>
              <w:rPr>
                <w:rFonts w:eastAsia="Times New Roman" w:cs="Times New Roman"/>
                <w:sz w:val="20"/>
                <w:szCs w:val="20"/>
              </w:rPr>
              <w:t>&lt;0.001</w:t>
            </w:r>
          </w:p>
        </w:tc>
        <w:tc>
          <w:tcPr>
            <w:tcW w:w="1636" w:type="dxa"/>
            <w:gridSpan w:val="3"/>
            <w:tcBorders>
              <w:top w:val="nil"/>
              <w:left w:val="nil"/>
              <w:bottom w:val="nil"/>
              <w:right w:val="nil"/>
            </w:tcBorders>
            <w:shd w:val="clear" w:color="auto" w:fill="auto"/>
            <w:noWrap/>
            <w:vAlign w:val="bottom"/>
            <w:hideMark/>
          </w:tcPr>
          <w:p w14:paraId="46BD9A15" w14:textId="763C9E4E"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66 (8.5)</w:t>
            </w:r>
          </w:p>
        </w:tc>
        <w:tc>
          <w:tcPr>
            <w:tcW w:w="1563" w:type="dxa"/>
            <w:gridSpan w:val="2"/>
            <w:tcBorders>
              <w:top w:val="nil"/>
              <w:left w:val="nil"/>
              <w:bottom w:val="nil"/>
              <w:right w:val="nil"/>
            </w:tcBorders>
            <w:shd w:val="clear" w:color="auto" w:fill="auto"/>
            <w:noWrap/>
            <w:vAlign w:val="bottom"/>
            <w:hideMark/>
          </w:tcPr>
          <w:p w14:paraId="72CCEDCB" w14:textId="77777777" w:rsidR="00835719" w:rsidRPr="00E45821" w:rsidRDefault="00835719" w:rsidP="00835719">
            <w:pPr>
              <w:jc w:val="center"/>
              <w:rPr>
                <w:rFonts w:eastAsia="Times New Roman" w:cs="Times New Roman"/>
                <w:sz w:val="20"/>
                <w:szCs w:val="20"/>
              </w:rPr>
            </w:pPr>
            <w:r w:rsidRPr="00E45821">
              <w:rPr>
                <w:rFonts w:eastAsia="Times New Roman" w:cs="Times New Roman"/>
                <w:sz w:val="20"/>
                <w:szCs w:val="20"/>
              </w:rPr>
              <w:t>10 (</w:t>
            </w:r>
            <w:proofErr w:type="gramStart"/>
            <w:r w:rsidRPr="00E45821">
              <w:rPr>
                <w:rFonts w:eastAsia="Times New Roman" w:cs="Times New Roman"/>
                <w:sz w:val="20"/>
                <w:szCs w:val="20"/>
              </w:rPr>
              <w:t>4.9)</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60D715F8" w14:textId="0448B3B4" w:rsidR="00835719" w:rsidRPr="00E45821" w:rsidRDefault="00835719" w:rsidP="00835719">
            <w:pPr>
              <w:jc w:val="center"/>
              <w:rPr>
                <w:rFonts w:eastAsia="Times New Roman" w:cs="Times New Roman"/>
                <w:sz w:val="20"/>
                <w:szCs w:val="20"/>
              </w:rPr>
            </w:pPr>
            <w:r>
              <w:rPr>
                <w:rFonts w:eastAsia="Times New Roman" w:cs="Times New Roman"/>
                <w:sz w:val="20"/>
                <w:szCs w:val="20"/>
              </w:rPr>
              <w:t>0.007</w:t>
            </w:r>
          </w:p>
        </w:tc>
        <w:tc>
          <w:tcPr>
            <w:tcW w:w="1113" w:type="dxa"/>
            <w:gridSpan w:val="2"/>
            <w:tcBorders>
              <w:top w:val="nil"/>
              <w:left w:val="nil"/>
              <w:bottom w:val="nil"/>
              <w:right w:val="nil"/>
            </w:tcBorders>
            <w:vAlign w:val="bottom"/>
          </w:tcPr>
          <w:p w14:paraId="3672BB7D" w14:textId="4BA58560" w:rsidR="00835719" w:rsidRPr="00E45821" w:rsidRDefault="00835719" w:rsidP="00835719">
            <w:pPr>
              <w:jc w:val="center"/>
              <w:rPr>
                <w:rFonts w:eastAsia="Times New Roman" w:cs="Times New Roman"/>
                <w:sz w:val="20"/>
                <w:szCs w:val="20"/>
              </w:rPr>
            </w:pPr>
            <w:r>
              <w:rPr>
                <w:rFonts w:eastAsia="Times New Roman" w:cs="Times New Roman"/>
                <w:sz w:val="20"/>
                <w:szCs w:val="20"/>
              </w:rPr>
              <w:t>0.857</w:t>
            </w:r>
          </w:p>
        </w:tc>
      </w:tr>
      <w:tr w:rsidR="00835719" w:rsidRPr="00B75012" w14:paraId="58B0A4F4" w14:textId="7CFC794C" w:rsidTr="009D01D9">
        <w:trPr>
          <w:trHeight w:val="297"/>
        </w:trPr>
        <w:tc>
          <w:tcPr>
            <w:tcW w:w="317" w:type="dxa"/>
            <w:tcBorders>
              <w:top w:val="nil"/>
              <w:left w:val="nil"/>
              <w:bottom w:val="nil"/>
              <w:right w:val="nil"/>
            </w:tcBorders>
            <w:shd w:val="clear" w:color="auto" w:fill="auto"/>
            <w:noWrap/>
            <w:vAlign w:val="bottom"/>
            <w:hideMark/>
          </w:tcPr>
          <w:p w14:paraId="2C117787"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352338E1"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High school completion</w:t>
            </w:r>
          </w:p>
        </w:tc>
        <w:tc>
          <w:tcPr>
            <w:tcW w:w="1433" w:type="dxa"/>
            <w:tcBorders>
              <w:top w:val="nil"/>
              <w:left w:val="nil"/>
              <w:bottom w:val="nil"/>
              <w:right w:val="nil"/>
            </w:tcBorders>
            <w:shd w:val="clear" w:color="auto" w:fill="auto"/>
            <w:noWrap/>
            <w:vAlign w:val="bottom"/>
            <w:hideMark/>
          </w:tcPr>
          <w:p w14:paraId="2349EA7B"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709 (</w:t>
            </w:r>
            <w:proofErr w:type="gramStart"/>
            <w:r w:rsidRPr="00E45821">
              <w:rPr>
                <w:rFonts w:eastAsia="Times New Roman" w:cs="Times New Roman"/>
                <w:sz w:val="20"/>
                <w:szCs w:val="20"/>
              </w:rPr>
              <w:t>47.2)</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65B522E2"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112 (</w:t>
            </w:r>
            <w:proofErr w:type="gramStart"/>
            <w:r w:rsidRPr="00E45821">
              <w:rPr>
                <w:rFonts w:eastAsia="Times New Roman" w:cs="Times New Roman"/>
                <w:sz w:val="20"/>
                <w:szCs w:val="20"/>
              </w:rPr>
              <w:t>24.0)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79DB8FCC"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71082CC3" w14:textId="4BC5AF1C"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346 (44.6)</w:t>
            </w:r>
          </w:p>
        </w:tc>
        <w:tc>
          <w:tcPr>
            <w:tcW w:w="1563" w:type="dxa"/>
            <w:gridSpan w:val="2"/>
            <w:tcBorders>
              <w:top w:val="nil"/>
              <w:left w:val="nil"/>
              <w:bottom w:val="nil"/>
              <w:right w:val="nil"/>
            </w:tcBorders>
            <w:shd w:val="clear" w:color="auto" w:fill="auto"/>
            <w:noWrap/>
            <w:vAlign w:val="bottom"/>
            <w:hideMark/>
          </w:tcPr>
          <w:p w14:paraId="61AA2DEC"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57 (</w:t>
            </w:r>
            <w:proofErr w:type="gramStart"/>
            <w:r w:rsidRPr="00E45821">
              <w:rPr>
                <w:rFonts w:eastAsia="Times New Roman" w:cs="Times New Roman"/>
                <w:sz w:val="20"/>
                <w:szCs w:val="20"/>
              </w:rPr>
              <w:t>27.8)</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7CC658E2"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604CD51A" w14:textId="77777777" w:rsidR="00DE5431" w:rsidRPr="00E45821" w:rsidRDefault="00DE5431" w:rsidP="00DE5431">
            <w:pPr>
              <w:jc w:val="center"/>
              <w:rPr>
                <w:rFonts w:eastAsia="Times New Roman" w:cs="Times New Roman"/>
                <w:sz w:val="20"/>
                <w:szCs w:val="20"/>
              </w:rPr>
            </w:pPr>
          </w:p>
        </w:tc>
      </w:tr>
      <w:tr w:rsidR="00835719" w:rsidRPr="00B75012" w14:paraId="3231218D" w14:textId="42E5C1EC" w:rsidTr="009D01D9">
        <w:trPr>
          <w:trHeight w:val="270"/>
        </w:trPr>
        <w:tc>
          <w:tcPr>
            <w:tcW w:w="317" w:type="dxa"/>
            <w:tcBorders>
              <w:top w:val="nil"/>
              <w:left w:val="nil"/>
              <w:bottom w:val="nil"/>
              <w:right w:val="nil"/>
            </w:tcBorders>
            <w:shd w:val="clear" w:color="auto" w:fill="auto"/>
            <w:noWrap/>
            <w:vAlign w:val="bottom"/>
            <w:hideMark/>
          </w:tcPr>
          <w:p w14:paraId="0BB505E7" w14:textId="77777777" w:rsidR="00DE5431" w:rsidRPr="00E45821" w:rsidRDefault="00DE5431" w:rsidP="00DE5431">
            <w:pPr>
              <w:jc w:val="center"/>
              <w:rPr>
                <w:rFonts w:eastAsia="Times New Roman" w:cs="Times New Roman"/>
                <w:sz w:val="20"/>
                <w:szCs w:val="20"/>
              </w:rPr>
            </w:pPr>
          </w:p>
        </w:tc>
        <w:tc>
          <w:tcPr>
            <w:tcW w:w="3052" w:type="dxa"/>
            <w:tcBorders>
              <w:top w:val="nil"/>
              <w:left w:val="nil"/>
              <w:bottom w:val="nil"/>
              <w:right w:val="nil"/>
            </w:tcBorders>
            <w:shd w:val="clear" w:color="auto" w:fill="auto"/>
            <w:noWrap/>
            <w:vAlign w:val="bottom"/>
            <w:hideMark/>
          </w:tcPr>
          <w:p w14:paraId="3AB0198E"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Graduated college or technical school</w:t>
            </w:r>
          </w:p>
        </w:tc>
        <w:tc>
          <w:tcPr>
            <w:tcW w:w="1433" w:type="dxa"/>
            <w:tcBorders>
              <w:top w:val="nil"/>
              <w:left w:val="nil"/>
              <w:bottom w:val="nil"/>
              <w:right w:val="nil"/>
            </w:tcBorders>
            <w:shd w:val="clear" w:color="auto" w:fill="auto"/>
            <w:noWrap/>
            <w:vAlign w:val="bottom"/>
            <w:hideMark/>
          </w:tcPr>
          <w:p w14:paraId="10D11DA0"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437 (</w:t>
            </w:r>
            <w:proofErr w:type="gramStart"/>
            <w:r w:rsidRPr="00E45821">
              <w:rPr>
                <w:rFonts w:eastAsia="Times New Roman" w:cs="Times New Roman"/>
                <w:sz w:val="20"/>
                <w:szCs w:val="20"/>
              </w:rPr>
              <w:t>29.1)</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nil"/>
              <w:right w:val="nil"/>
            </w:tcBorders>
            <w:shd w:val="clear" w:color="auto" w:fill="auto"/>
            <w:noWrap/>
            <w:vAlign w:val="bottom"/>
            <w:hideMark/>
          </w:tcPr>
          <w:p w14:paraId="416A5014"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187 (</w:t>
            </w:r>
            <w:proofErr w:type="gramStart"/>
            <w:r w:rsidRPr="00E45821">
              <w:rPr>
                <w:rFonts w:eastAsia="Times New Roman" w:cs="Times New Roman"/>
                <w:sz w:val="20"/>
                <w:szCs w:val="20"/>
              </w:rPr>
              <w:t>40.0)</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nil"/>
              <w:right w:val="nil"/>
            </w:tcBorders>
            <w:vAlign w:val="bottom"/>
          </w:tcPr>
          <w:p w14:paraId="5039D700"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nil"/>
              <w:right w:val="nil"/>
            </w:tcBorders>
            <w:shd w:val="clear" w:color="auto" w:fill="auto"/>
            <w:noWrap/>
            <w:vAlign w:val="bottom"/>
            <w:hideMark/>
          </w:tcPr>
          <w:p w14:paraId="268ED7A6" w14:textId="61A9F571"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260 (33.5)</w:t>
            </w:r>
          </w:p>
        </w:tc>
        <w:tc>
          <w:tcPr>
            <w:tcW w:w="1563" w:type="dxa"/>
            <w:gridSpan w:val="2"/>
            <w:tcBorders>
              <w:top w:val="nil"/>
              <w:left w:val="nil"/>
              <w:bottom w:val="nil"/>
              <w:right w:val="nil"/>
            </w:tcBorders>
            <w:shd w:val="clear" w:color="auto" w:fill="auto"/>
            <w:noWrap/>
            <w:vAlign w:val="bottom"/>
            <w:hideMark/>
          </w:tcPr>
          <w:p w14:paraId="50F3C09D"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85 (</w:t>
            </w:r>
            <w:proofErr w:type="gramStart"/>
            <w:r w:rsidRPr="00E45821">
              <w:rPr>
                <w:rFonts w:eastAsia="Times New Roman" w:cs="Times New Roman"/>
                <w:sz w:val="20"/>
                <w:szCs w:val="20"/>
              </w:rPr>
              <w:t>41.5)</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nil"/>
              <w:right w:val="nil"/>
            </w:tcBorders>
            <w:vAlign w:val="bottom"/>
          </w:tcPr>
          <w:p w14:paraId="034D406C"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nil"/>
              <w:right w:val="nil"/>
            </w:tcBorders>
            <w:vAlign w:val="bottom"/>
          </w:tcPr>
          <w:p w14:paraId="45AD1FDD" w14:textId="77777777" w:rsidR="00DE5431" w:rsidRPr="00E45821" w:rsidRDefault="00DE5431" w:rsidP="00DE5431">
            <w:pPr>
              <w:jc w:val="center"/>
              <w:rPr>
                <w:rFonts w:eastAsia="Times New Roman" w:cs="Times New Roman"/>
                <w:sz w:val="20"/>
                <w:szCs w:val="20"/>
              </w:rPr>
            </w:pPr>
          </w:p>
        </w:tc>
      </w:tr>
      <w:tr w:rsidR="00835719" w:rsidRPr="00B75012" w14:paraId="14AA1417" w14:textId="1FCDA9C0" w:rsidTr="009D01D9">
        <w:trPr>
          <w:trHeight w:val="270"/>
        </w:trPr>
        <w:tc>
          <w:tcPr>
            <w:tcW w:w="317" w:type="dxa"/>
            <w:tcBorders>
              <w:top w:val="nil"/>
              <w:left w:val="nil"/>
              <w:bottom w:val="single" w:sz="4" w:space="0" w:color="auto"/>
              <w:right w:val="nil"/>
            </w:tcBorders>
            <w:shd w:val="clear" w:color="auto" w:fill="auto"/>
            <w:noWrap/>
            <w:vAlign w:val="bottom"/>
            <w:hideMark/>
          </w:tcPr>
          <w:p w14:paraId="21E0E1E3" w14:textId="77777777" w:rsidR="00DE5431" w:rsidRPr="00E45821" w:rsidRDefault="00DE5431" w:rsidP="00DE5431">
            <w:pPr>
              <w:rPr>
                <w:rFonts w:eastAsia="Times New Roman" w:cs="Times New Roman"/>
                <w:sz w:val="20"/>
                <w:szCs w:val="20"/>
              </w:rPr>
            </w:pPr>
            <w:r w:rsidRPr="00E45821">
              <w:rPr>
                <w:rFonts w:eastAsia="Times New Roman" w:cs="Times New Roman"/>
                <w:sz w:val="20"/>
                <w:szCs w:val="20"/>
              </w:rPr>
              <w:t> </w:t>
            </w:r>
          </w:p>
        </w:tc>
        <w:tc>
          <w:tcPr>
            <w:tcW w:w="3052" w:type="dxa"/>
            <w:tcBorders>
              <w:top w:val="nil"/>
              <w:left w:val="nil"/>
              <w:bottom w:val="single" w:sz="4" w:space="0" w:color="auto"/>
              <w:right w:val="nil"/>
            </w:tcBorders>
            <w:shd w:val="clear" w:color="auto" w:fill="auto"/>
            <w:noWrap/>
            <w:vAlign w:val="bottom"/>
            <w:hideMark/>
          </w:tcPr>
          <w:p w14:paraId="4B4675C4" w14:textId="7D0F73F5" w:rsidR="00DE5431" w:rsidRPr="00E45821" w:rsidRDefault="00DE5431" w:rsidP="00DE5431">
            <w:pPr>
              <w:rPr>
                <w:rFonts w:eastAsia="Times New Roman" w:cs="Times New Roman"/>
                <w:sz w:val="20"/>
                <w:szCs w:val="20"/>
              </w:rPr>
            </w:pPr>
            <w:r w:rsidRPr="00E45821">
              <w:rPr>
                <w:rFonts w:eastAsia="Times New Roman" w:cs="Times New Roman"/>
                <w:sz w:val="20"/>
                <w:szCs w:val="20"/>
              </w:rPr>
              <w:t>Some graduate work or professional degree</w:t>
            </w:r>
          </w:p>
        </w:tc>
        <w:tc>
          <w:tcPr>
            <w:tcW w:w="1433" w:type="dxa"/>
            <w:tcBorders>
              <w:top w:val="nil"/>
              <w:left w:val="nil"/>
              <w:bottom w:val="single" w:sz="4" w:space="0" w:color="auto"/>
              <w:right w:val="nil"/>
            </w:tcBorders>
            <w:shd w:val="clear" w:color="auto" w:fill="auto"/>
            <w:noWrap/>
            <w:vAlign w:val="bottom"/>
            <w:hideMark/>
          </w:tcPr>
          <w:p w14:paraId="6920B1CC"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171 (</w:t>
            </w:r>
            <w:proofErr w:type="gramStart"/>
            <w:r w:rsidRPr="00E45821">
              <w:rPr>
                <w:rFonts w:eastAsia="Times New Roman" w:cs="Times New Roman"/>
                <w:sz w:val="20"/>
                <w:szCs w:val="20"/>
              </w:rPr>
              <w:t>11.4)</w:t>
            </w:r>
            <w:r w:rsidRPr="00E45821">
              <w:rPr>
                <w:rFonts w:ascii="Cambria Math" w:eastAsia="Times New Roman" w:hAnsi="Cambria Math" w:cs="Cambria Math"/>
                <w:sz w:val="20"/>
                <w:szCs w:val="20"/>
                <w:vertAlign w:val="superscript"/>
              </w:rPr>
              <w:t>⍭</w:t>
            </w:r>
            <w:proofErr w:type="gramEnd"/>
          </w:p>
        </w:tc>
        <w:tc>
          <w:tcPr>
            <w:tcW w:w="1433" w:type="dxa"/>
            <w:tcBorders>
              <w:top w:val="nil"/>
              <w:left w:val="nil"/>
              <w:bottom w:val="single" w:sz="4" w:space="0" w:color="auto"/>
              <w:right w:val="nil"/>
            </w:tcBorders>
            <w:shd w:val="clear" w:color="auto" w:fill="auto"/>
            <w:noWrap/>
            <w:vAlign w:val="bottom"/>
            <w:hideMark/>
          </w:tcPr>
          <w:p w14:paraId="2651D7E5"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111 (</w:t>
            </w:r>
            <w:proofErr w:type="gramStart"/>
            <w:r w:rsidRPr="00E45821">
              <w:rPr>
                <w:rFonts w:eastAsia="Times New Roman" w:cs="Times New Roman"/>
                <w:sz w:val="20"/>
                <w:szCs w:val="20"/>
              </w:rPr>
              <w:t>23.8)</w:t>
            </w:r>
            <w:r w:rsidRPr="00E45821">
              <w:rPr>
                <w:rFonts w:ascii="Cambria Math" w:eastAsia="Times New Roman" w:hAnsi="Cambria Math" w:cs="Cambria Math"/>
                <w:sz w:val="20"/>
                <w:szCs w:val="20"/>
                <w:vertAlign w:val="superscript"/>
              </w:rPr>
              <w:t>⍭</w:t>
            </w:r>
            <w:proofErr w:type="gramEnd"/>
          </w:p>
        </w:tc>
        <w:tc>
          <w:tcPr>
            <w:tcW w:w="1276" w:type="dxa"/>
            <w:tcBorders>
              <w:top w:val="nil"/>
              <w:left w:val="nil"/>
              <w:bottom w:val="single" w:sz="4" w:space="0" w:color="auto"/>
              <w:right w:val="nil"/>
            </w:tcBorders>
            <w:vAlign w:val="bottom"/>
          </w:tcPr>
          <w:p w14:paraId="7630177C" w14:textId="77777777" w:rsidR="00DE5431" w:rsidRPr="00B75012" w:rsidRDefault="00DE5431" w:rsidP="00DE5431">
            <w:pPr>
              <w:jc w:val="center"/>
              <w:rPr>
                <w:rFonts w:eastAsia="Times New Roman" w:cs="Times New Roman"/>
                <w:sz w:val="20"/>
                <w:szCs w:val="20"/>
              </w:rPr>
            </w:pPr>
          </w:p>
        </w:tc>
        <w:tc>
          <w:tcPr>
            <w:tcW w:w="1636" w:type="dxa"/>
            <w:gridSpan w:val="3"/>
            <w:tcBorders>
              <w:top w:val="nil"/>
              <w:left w:val="nil"/>
              <w:bottom w:val="single" w:sz="4" w:space="0" w:color="auto"/>
              <w:right w:val="nil"/>
            </w:tcBorders>
            <w:shd w:val="clear" w:color="auto" w:fill="auto"/>
            <w:noWrap/>
            <w:vAlign w:val="bottom"/>
            <w:hideMark/>
          </w:tcPr>
          <w:p w14:paraId="2CD43E8A" w14:textId="651F2089"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104 (13.4)</w:t>
            </w:r>
          </w:p>
        </w:tc>
        <w:tc>
          <w:tcPr>
            <w:tcW w:w="1563" w:type="dxa"/>
            <w:gridSpan w:val="2"/>
            <w:tcBorders>
              <w:top w:val="nil"/>
              <w:left w:val="nil"/>
              <w:bottom w:val="single" w:sz="4" w:space="0" w:color="auto"/>
              <w:right w:val="nil"/>
            </w:tcBorders>
            <w:shd w:val="clear" w:color="auto" w:fill="auto"/>
            <w:noWrap/>
            <w:vAlign w:val="bottom"/>
            <w:hideMark/>
          </w:tcPr>
          <w:p w14:paraId="656FFF82" w14:textId="77777777" w:rsidR="00DE5431" w:rsidRPr="00E45821" w:rsidRDefault="00DE5431" w:rsidP="00DE5431">
            <w:pPr>
              <w:jc w:val="center"/>
              <w:rPr>
                <w:rFonts w:eastAsia="Times New Roman" w:cs="Times New Roman"/>
                <w:sz w:val="20"/>
                <w:szCs w:val="20"/>
              </w:rPr>
            </w:pPr>
            <w:r w:rsidRPr="00E45821">
              <w:rPr>
                <w:rFonts w:eastAsia="Times New Roman" w:cs="Times New Roman"/>
                <w:sz w:val="20"/>
                <w:szCs w:val="20"/>
              </w:rPr>
              <w:t>52 (</w:t>
            </w:r>
            <w:proofErr w:type="gramStart"/>
            <w:r w:rsidRPr="00E45821">
              <w:rPr>
                <w:rFonts w:eastAsia="Times New Roman" w:cs="Times New Roman"/>
                <w:sz w:val="20"/>
                <w:szCs w:val="20"/>
              </w:rPr>
              <w:t>25.4)</w:t>
            </w:r>
            <w:r w:rsidRPr="00E45821">
              <w:rPr>
                <w:rFonts w:ascii="Cambria Math" w:eastAsia="Times New Roman" w:hAnsi="Cambria Math" w:cs="Cambria Math"/>
                <w:sz w:val="20"/>
                <w:szCs w:val="20"/>
                <w:vertAlign w:val="superscript"/>
              </w:rPr>
              <w:t>⍭</w:t>
            </w:r>
            <w:proofErr w:type="gramEnd"/>
          </w:p>
        </w:tc>
        <w:tc>
          <w:tcPr>
            <w:tcW w:w="1137" w:type="dxa"/>
            <w:gridSpan w:val="2"/>
            <w:tcBorders>
              <w:top w:val="nil"/>
              <w:left w:val="nil"/>
              <w:bottom w:val="single" w:sz="4" w:space="0" w:color="auto"/>
              <w:right w:val="nil"/>
            </w:tcBorders>
            <w:vAlign w:val="bottom"/>
          </w:tcPr>
          <w:p w14:paraId="2FF5E3C6" w14:textId="77777777" w:rsidR="00DE5431" w:rsidRPr="00E45821" w:rsidRDefault="00DE5431" w:rsidP="00DE5431">
            <w:pPr>
              <w:jc w:val="center"/>
              <w:rPr>
                <w:rFonts w:eastAsia="Times New Roman" w:cs="Times New Roman"/>
                <w:sz w:val="20"/>
                <w:szCs w:val="20"/>
              </w:rPr>
            </w:pPr>
          </w:p>
        </w:tc>
        <w:tc>
          <w:tcPr>
            <w:tcW w:w="1113" w:type="dxa"/>
            <w:gridSpan w:val="2"/>
            <w:tcBorders>
              <w:top w:val="nil"/>
              <w:left w:val="nil"/>
              <w:bottom w:val="single" w:sz="4" w:space="0" w:color="auto"/>
              <w:right w:val="nil"/>
            </w:tcBorders>
            <w:vAlign w:val="bottom"/>
          </w:tcPr>
          <w:p w14:paraId="072FDF2D" w14:textId="77777777" w:rsidR="00DE5431" w:rsidRPr="00E45821" w:rsidRDefault="00DE5431" w:rsidP="00DE5431">
            <w:pPr>
              <w:jc w:val="center"/>
              <w:rPr>
                <w:rFonts w:eastAsia="Times New Roman" w:cs="Times New Roman"/>
                <w:sz w:val="20"/>
                <w:szCs w:val="20"/>
              </w:rPr>
            </w:pPr>
          </w:p>
        </w:tc>
      </w:tr>
      <w:tr w:rsidR="00835719" w:rsidRPr="00B75012" w14:paraId="02D6D7C1" w14:textId="7336535A" w:rsidTr="00835719">
        <w:trPr>
          <w:trHeight w:val="320"/>
        </w:trPr>
        <w:tc>
          <w:tcPr>
            <w:tcW w:w="317" w:type="dxa"/>
            <w:tcBorders>
              <w:top w:val="nil"/>
              <w:left w:val="nil"/>
              <w:bottom w:val="nil"/>
              <w:right w:val="nil"/>
            </w:tcBorders>
            <w:shd w:val="clear" w:color="auto" w:fill="auto"/>
            <w:noWrap/>
            <w:vAlign w:val="bottom"/>
            <w:hideMark/>
          </w:tcPr>
          <w:p w14:paraId="5BD1857A" w14:textId="77777777" w:rsidR="006006A8" w:rsidRPr="00E45821" w:rsidRDefault="006006A8" w:rsidP="00D9157C">
            <w:pPr>
              <w:rPr>
                <w:rFonts w:eastAsia="Times New Roman" w:cs="Times New Roman"/>
                <w:sz w:val="20"/>
                <w:szCs w:val="20"/>
              </w:rPr>
            </w:pPr>
            <w:r w:rsidRPr="00E45821">
              <w:rPr>
                <w:rFonts w:eastAsia="Times New Roman" w:cs="Times New Roman"/>
                <w:sz w:val="20"/>
                <w:szCs w:val="20"/>
              </w:rPr>
              <w:t>*</w:t>
            </w:r>
          </w:p>
        </w:tc>
        <w:tc>
          <w:tcPr>
            <w:tcW w:w="7701" w:type="dxa"/>
            <w:gridSpan w:val="5"/>
            <w:tcBorders>
              <w:top w:val="nil"/>
              <w:left w:val="nil"/>
              <w:bottom w:val="nil"/>
              <w:right w:val="nil"/>
            </w:tcBorders>
            <w:shd w:val="clear" w:color="auto" w:fill="auto"/>
            <w:noWrap/>
            <w:vAlign w:val="bottom"/>
            <w:hideMark/>
          </w:tcPr>
          <w:p w14:paraId="7BADDE95" w14:textId="09662515" w:rsidR="006006A8" w:rsidRPr="00B75012" w:rsidRDefault="006006A8" w:rsidP="00D9157C">
            <w:pPr>
              <w:rPr>
                <w:rFonts w:eastAsia="Times New Roman" w:cs="Times New Roman"/>
                <w:sz w:val="20"/>
                <w:szCs w:val="20"/>
              </w:rPr>
            </w:pPr>
            <w:r w:rsidRPr="00E45821">
              <w:rPr>
                <w:rFonts w:eastAsia="Times New Roman" w:cs="Times New Roman"/>
                <w:sz w:val="20"/>
                <w:szCs w:val="20"/>
              </w:rPr>
              <w:t>Mean and standard deviation values calculated after removal of missing values</w:t>
            </w:r>
          </w:p>
        </w:tc>
        <w:tc>
          <w:tcPr>
            <w:tcW w:w="913" w:type="dxa"/>
            <w:tcBorders>
              <w:top w:val="nil"/>
              <w:left w:val="nil"/>
              <w:bottom w:val="nil"/>
              <w:right w:val="nil"/>
            </w:tcBorders>
            <w:shd w:val="clear" w:color="auto" w:fill="auto"/>
            <w:noWrap/>
            <w:vAlign w:val="bottom"/>
            <w:hideMark/>
          </w:tcPr>
          <w:p w14:paraId="1ACC87C5" w14:textId="0D045E99" w:rsidR="006006A8" w:rsidRPr="00E45821" w:rsidRDefault="006006A8" w:rsidP="00D9157C">
            <w:pPr>
              <w:rPr>
                <w:rFonts w:eastAsia="Times New Roman" w:cs="Times New Roman"/>
                <w:sz w:val="20"/>
                <w:szCs w:val="20"/>
              </w:rPr>
            </w:pPr>
          </w:p>
        </w:tc>
        <w:tc>
          <w:tcPr>
            <w:tcW w:w="1882" w:type="dxa"/>
            <w:gridSpan w:val="4"/>
            <w:tcBorders>
              <w:top w:val="nil"/>
              <w:left w:val="nil"/>
              <w:bottom w:val="nil"/>
              <w:right w:val="nil"/>
            </w:tcBorders>
            <w:shd w:val="clear" w:color="auto" w:fill="auto"/>
            <w:noWrap/>
            <w:vAlign w:val="bottom"/>
            <w:hideMark/>
          </w:tcPr>
          <w:p w14:paraId="33814F95" w14:textId="77777777" w:rsidR="006006A8" w:rsidRPr="00E45821" w:rsidRDefault="006006A8" w:rsidP="00D9157C">
            <w:pPr>
              <w:rPr>
                <w:rFonts w:eastAsia="Times New Roman" w:cs="Times New Roman"/>
                <w:sz w:val="20"/>
                <w:szCs w:val="20"/>
              </w:rPr>
            </w:pPr>
          </w:p>
        </w:tc>
        <w:tc>
          <w:tcPr>
            <w:tcW w:w="1250" w:type="dxa"/>
            <w:gridSpan w:val="2"/>
            <w:tcBorders>
              <w:top w:val="nil"/>
              <w:left w:val="nil"/>
              <w:bottom w:val="nil"/>
              <w:right w:val="nil"/>
            </w:tcBorders>
          </w:tcPr>
          <w:p w14:paraId="06289FC8" w14:textId="77777777" w:rsidR="006006A8" w:rsidRPr="00E45821" w:rsidRDefault="006006A8" w:rsidP="00D9157C">
            <w:pPr>
              <w:rPr>
                <w:rFonts w:eastAsia="Times New Roman" w:cs="Times New Roman"/>
                <w:sz w:val="20"/>
                <w:szCs w:val="20"/>
              </w:rPr>
            </w:pPr>
          </w:p>
        </w:tc>
        <w:tc>
          <w:tcPr>
            <w:tcW w:w="897" w:type="dxa"/>
            <w:tcBorders>
              <w:top w:val="nil"/>
              <w:left w:val="nil"/>
              <w:bottom w:val="nil"/>
              <w:right w:val="nil"/>
            </w:tcBorders>
          </w:tcPr>
          <w:p w14:paraId="5F866756" w14:textId="77777777" w:rsidR="006006A8" w:rsidRPr="00E45821" w:rsidRDefault="006006A8" w:rsidP="00D9157C">
            <w:pPr>
              <w:rPr>
                <w:rFonts w:eastAsia="Times New Roman" w:cs="Times New Roman"/>
                <w:sz w:val="20"/>
                <w:szCs w:val="20"/>
              </w:rPr>
            </w:pPr>
          </w:p>
        </w:tc>
      </w:tr>
      <w:tr w:rsidR="00835719" w:rsidRPr="00B75012" w14:paraId="1395505B" w14:textId="14A5622E" w:rsidTr="00835719">
        <w:trPr>
          <w:trHeight w:val="324"/>
        </w:trPr>
        <w:tc>
          <w:tcPr>
            <w:tcW w:w="317" w:type="dxa"/>
            <w:tcBorders>
              <w:top w:val="nil"/>
              <w:left w:val="nil"/>
              <w:bottom w:val="nil"/>
              <w:right w:val="nil"/>
            </w:tcBorders>
            <w:shd w:val="clear" w:color="auto" w:fill="auto"/>
            <w:noWrap/>
            <w:vAlign w:val="bottom"/>
            <w:hideMark/>
          </w:tcPr>
          <w:p w14:paraId="071FCBAD" w14:textId="77777777" w:rsidR="006006A8" w:rsidRPr="00E45821" w:rsidRDefault="006006A8" w:rsidP="00D9157C">
            <w:pPr>
              <w:rPr>
                <w:rFonts w:eastAsia="Times New Roman" w:cs="Times New Roman"/>
                <w:sz w:val="20"/>
                <w:szCs w:val="20"/>
              </w:rPr>
            </w:pPr>
            <w:r w:rsidRPr="00E45821">
              <w:rPr>
                <w:rFonts w:ascii="Cambria Math" w:eastAsia="Times New Roman" w:hAnsi="Cambria Math" w:cs="Cambria Math"/>
                <w:sz w:val="20"/>
                <w:szCs w:val="20"/>
                <w:vertAlign w:val="superscript"/>
              </w:rPr>
              <w:t>⍭</w:t>
            </w:r>
          </w:p>
        </w:tc>
        <w:tc>
          <w:tcPr>
            <w:tcW w:w="7701" w:type="dxa"/>
            <w:gridSpan w:val="5"/>
            <w:tcBorders>
              <w:top w:val="nil"/>
              <w:left w:val="nil"/>
              <w:bottom w:val="nil"/>
              <w:right w:val="nil"/>
            </w:tcBorders>
            <w:shd w:val="clear" w:color="auto" w:fill="auto"/>
            <w:noWrap/>
            <w:vAlign w:val="bottom"/>
            <w:hideMark/>
          </w:tcPr>
          <w:p w14:paraId="76F304CE" w14:textId="41C189F5" w:rsidR="006006A8" w:rsidRPr="00B75012" w:rsidRDefault="006006A8" w:rsidP="00D9157C">
            <w:pPr>
              <w:rPr>
                <w:rFonts w:eastAsia="Times New Roman" w:cs="Times New Roman"/>
                <w:sz w:val="20"/>
                <w:szCs w:val="20"/>
              </w:rPr>
            </w:pPr>
            <w:r w:rsidRPr="00E45821">
              <w:rPr>
                <w:rFonts w:eastAsia="Times New Roman" w:cs="Times New Roman"/>
                <w:sz w:val="20"/>
                <w:szCs w:val="20"/>
              </w:rPr>
              <w:t>Percentages do not sum to 100% due to missing values of the covariates</w:t>
            </w:r>
          </w:p>
        </w:tc>
        <w:tc>
          <w:tcPr>
            <w:tcW w:w="913" w:type="dxa"/>
            <w:tcBorders>
              <w:top w:val="nil"/>
              <w:left w:val="nil"/>
              <w:bottom w:val="nil"/>
              <w:right w:val="nil"/>
            </w:tcBorders>
            <w:shd w:val="clear" w:color="auto" w:fill="auto"/>
            <w:noWrap/>
            <w:vAlign w:val="bottom"/>
            <w:hideMark/>
          </w:tcPr>
          <w:p w14:paraId="3ADEEE7F" w14:textId="550D3690" w:rsidR="006006A8" w:rsidRPr="00E45821" w:rsidRDefault="006006A8" w:rsidP="00D9157C">
            <w:pPr>
              <w:rPr>
                <w:rFonts w:eastAsia="Times New Roman" w:cs="Times New Roman"/>
                <w:sz w:val="20"/>
                <w:szCs w:val="20"/>
              </w:rPr>
            </w:pPr>
          </w:p>
        </w:tc>
        <w:tc>
          <w:tcPr>
            <w:tcW w:w="1882" w:type="dxa"/>
            <w:gridSpan w:val="4"/>
            <w:tcBorders>
              <w:top w:val="nil"/>
              <w:left w:val="nil"/>
              <w:bottom w:val="nil"/>
              <w:right w:val="nil"/>
            </w:tcBorders>
            <w:shd w:val="clear" w:color="auto" w:fill="auto"/>
            <w:noWrap/>
            <w:vAlign w:val="bottom"/>
            <w:hideMark/>
          </w:tcPr>
          <w:p w14:paraId="15706311" w14:textId="77777777" w:rsidR="006006A8" w:rsidRPr="00E45821" w:rsidRDefault="006006A8" w:rsidP="00D9157C">
            <w:pPr>
              <w:rPr>
                <w:rFonts w:eastAsia="Times New Roman" w:cs="Times New Roman"/>
                <w:sz w:val="20"/>
                <w:szCs w:val="20"/>
              </w:rPr>
            </w:pPr>
          </w:p>
        </w:tc>
        <w:tc>
          <w:tcPr>
            <w:tcW w:w="1250" w:type="dxa"/>
            <w:gridSpan w:val="2"/>
            <w:tcBorders>
              <w:top w:val="nil"/>
              <w:left w:val="nil"/>
              <w:bottom w:val="nil"/>
              <w:right w:val="nil"/>
            </w:tcBorders>
          </w:tcPr>
          <w:p w14:paraId="27B43915" w14:textId="77777777" w:rsidR="006006A8" w:rsidRPr="00E45821" w:rsidRDefault="006006A8" w:rsidP="00D9157C">
            <w:pPr>
              <w:rPr>
                <w:rFonts w:eastAsia="Times New Roman" w:cs="Times New Roman"/>
                <w:sz w:val="20"/>
                <w:szCs w:val="20"/>
              </w:rPr>
            </w:pPr>
          </w:p>
        </w:tc>
        <w:tc>
          <w:tcPr>
            <w:tcW w:w="897" w:type="dxa"/>
            <w:tcBorders>
              <w:top w:val="nil"/>
              <w:left w:val="nil"/>
              <w:bottom w:val="nil"/>
              <w:right w:val="nil"/>
            </w:tcBorders>
          </w:tcPr>
          <w:p w14:paraId="47FEA136" w14:textId="77777777" w:rsidR="006006A8" w:rsidRPr="00E45821" w:rsidRDefault="006006A8" w:rsidP="00D9157C">
            <w:pPr>
              <w:rPr>
                <w:rFonts w:eastAsia="Times New Roman" w:cs="Times New Roman"/>
                <w:sz w:val="20"/>
                <w:szCs w:val="20"/>
              </w:rPr>
            </w:pPr>
          </w:p>
        </w:tc>
      </w:tr>
      <w:tr w:rsidR="004C5BED" w:rsidRPr="00B75012" w14:paraId="32404214" w14:textId="4A6FFDD5" w:rsidTr="00835719">
        <w:trPr>
          <w:trHeight w:val="216"/>
        </w:trPr>
        <w:tc>
          <w:tcPr>
            <w:tcW w:w="317" w:type="dxa"/>
            <w:tcBorders>
              <w:top w:val="nil"/>
              <w:left w:val="nil"/>
              <w:bottom w:val="nil"/>
              <w:right w:val="nil"/>
            </w:tcBorders>
            <w:shd w:val="clear" w:color="auto" w:fill="auto"/>
            <w:noWrap/>
            <w:vAlign w:val="bottom"/>
          </w:tcPr>
          <w:p w14:paraId="3726FBBB" w14:textId="13E89202" w:rsidR="004C5BED" w:rsidRPr="00153D40" w:rsidRDefault="004C5BED" w:rsidP="00D9157C">
            <w:pPr>
              <w:rPr>
                <w:vertAlign w:val="superscript"/>
              </w:rPr>
            </w:pPr>
            <w:r w:rsidRPr="003C65F0">
              <w:rPr>
                <w:rFonts w:cs="Times New Roman"/>
                <w:vertAlign w:val="superscript"/>
              </w:rPr>
              <w:t>§</w:t>
            </w:r>
          </w:p>
        </w:tc>
        <w:tc>
          <w:tcPr>
            <w:tcW w:w="11746" w:type="dxa"/>
            <w:gridSpan w:val="12"/>
            <w:tcBorders>
              <w:top w:val="nil"/>
              <w:left w:val="nil"/>
              <w:bottom w:val="nil"/>
              <w:right w:val="nil"/>
            </w:tcBorders>
            <w:shd w:val="clear" w:color="auto" w:fill="auto"/>
            <w:noWrap/>
            <w:vAlign w:val="bottom"/>
          </w:tcPr>
          <w:p w14:paraId="4569B6D6" w14:textId="28E0C0AD" w:rsidR="004C5BED" w:rsidRPr="003C65F0" w:rsidRDefault="004C5BED" w:rsidP="00D9157C">
            <w:pPr>
              <w:rPr>
                <w:rFonts w:eastAsia="Times New Roman" w:cs="Times New Roman"/>
                <w:sz w:val="20"/>
                <w:szCs w:val="20"/>
              </w:rPr>
            </w:pPr>
            <w:r>
              <w:rPr>
                <w:rFonts w:eastAsia="Times New Roman" w:cs="Times New Roman"/>
                <w:sz w:val="20"/>
                <w:szCs w:val="20"/>
              </w:rPr>
              <w:t>Comparison refers to tests between cohorts and their respective analytic samples; missing values arise due to categories with missing values</w:t>
            </w:r>
          </w:p>
        </w:tc>
        <w:tc>
          <w:tcPr>
            <w:tcW w:w="897" w:type="dxa"/>
            <w:tcBorders>
              <w:top w:val="nil"/>
              <w:left w:val="nil"/>
              <w:bottom w:val="nil"/>
              <w:right w:val="nil"/>
            </w:tcBorders>
          </w:tcPr>
          <w:p w14:paraId="0397FD26" w14:textId="77777777" w:rsidR="004C5BED" w:rsidRPr="003C65F0" w:rsidRDefault="004C5BED" w:rsidP="00D9157C">
            <w:pPr>
              <w:rPr>
                <w:rFonts w:eastAsia="Times New Roman" w:cs="Times New Roman"/>
                <w:sz w:val="20"/>
                <w:szCs w:val="20"/>
              </w:rPr>
            </w:pPr>
          </w:p>
        </w:tc>
      </w:tr>
    </w:tbl>
    <w:p w14:paraId="5BBE0B02" w14:textId="77777777" w:rsidR="00AA639A" w:rsidRDefault="00AA639A"/>
    <w:p w14:paraId="3C2F8F5A" w14:textId="11D92DAD" w:rsidR="00AA639A" w:rsidRDefault="00AA639A">
      <w:pPr>
        <w:spacing w:after="160" w:line="259" w:lineRule="auto"/>
      </w:pPr>
      <w:r>
        <w:br w:type="page"/>
      </w:r>
    </w:p>
    <w:tbl>
      <w:tblPr>
        <w:tblW w:w="13050" w:type="dxa"/>
        <w:tblLook w:val="04A0" w:firstRow="1" w:lastRow="0" w:firstColumn="1" w:lastColumn="0" w:noHBand="0" w:noVBand="1"/>
      </w:tblPr>
      <w:tblGrid>
        <w:gridCol w:w="2880"/>
        <w:gridCol w:w="2700"/>
        <w:gridCol w:w="1350"/>
        <w:gridCol w:w="1800"/>
        <w:gridCol w:w="1980"/>
        <w:gridCol w:w="2340"/>
      </w:tblGrid>
      <w:tr w:rsidR="002B17BD" w:rsidRPr="00C6734B" w14:paraId="27A2E2B8" w14:textId="77777777" w:rsidTr="007F24F0">
        <w:trPr>
          <w:trHeight w:val="300"/>
        </w:trPr>
        <w:tc>
          <w:tcPr>
            <w:tcW w:w="8730" w:type="dxa"/>
            <w:gridSpan w:val="4"/>
            <w:tcBorders>
              <w:top w:val="nil"/>
              <w:left w:val="nil"/>
              <w:bottom w:val="single" w:sz="4" w:space="0" w:color="auto"/>
              <w:right w:val="nil"/>
            </w:tcBorders>
            <w:shd w:val="clear" w:color="auto" w:fill="auto"/>
            <w:noWrap/>
            <w:hideMark/>
          </w:tcPr>
          <w:p w14:paraId="0929CED1"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b/>
                <w:bCs/>
                <w:color w:val="000000"/>
                <w:sz w:val="22"/>
                <w:szCs w:val="22"/>
              </w:rPr>
              <w:lastRenderedPageBreak/>
              <w:t>Supplemental Table 2</w:t>
            </w:r>
            <w:r w:rsidRPr="00C6734B">
              <w:rPr>
                <w:rFonts w:eastAsia="Times New Roman" w:cs="Times New Roman"/>
                <w:color w:val="000000"/>
                <w:sz w:val="22"/>
                <w:szCs w:val="22"/>
              </w:rPr>
              <w:t>: Comparison of lncRNA findings to other placental tissue databases</w:t>
            </w:r>
          </w:p>
        </w:tc>
        <w:tc>
          <w:tcPr>
            <w:tcW w:w="1980" w:type="dxa"/>
            <w:tcBorders>
              <w:top w:val="nil"/>
              <w:left w:val="nil"/>
              <w:bottom w:val="single" w:sz="4" w:space="0" w:color="auto"/>
              <w:right w:val="nil"/>
            </w:tcBorders>
            <w:shd w:val="clear" w:color="auto" w:fill="auto"/>
            <w:noWrap/>
            <w:hideMark/>
          </w:tcPr>
          <w:p w14:paraId="23EFDED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w:t>
            </w:r>
          </w:p>
        </w:tc>
        <w:tc>
          <w:tcPr>
            <w:tcW w:w="2340" w:type="dxa"/>
            <w:tcBorders>
              <w:top w:val="nil"/>
              <w:left w:val="nil"/>
              <w:bottom w:val="single" w:sz="4" w:space="0" w:color="auto"/>
              <w:right w:val="nil"/>
            </w:tcBorders>
            <w:shd w:val="clear" w:color="auto" w:fill="auto"/>
            <w:noWrap/>
            <w:hideMark/>
          </w:tcPr>
          <w:p w14:paraId="44450A2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w:t>
            </w:r>
          </w:p>
        </w:tc>
      </w:tr>
      <w:tr w:rsidR="002B17BD" w:rsidRPr="00C6734B" w14:paraId="7FAD5BD6" w14:textId="77777777" w:rsidTr="007F24F0">
        <w:trPr>
          <w:trHeight w:val="503"/>
        </w:trPr>
        <w:tc>
          <w:tcPr>
            <w:tcW w:w="2880" w:type="dxa"/>
            <w:tcBorders>
              <w:top w:val="nil"/>
              <w:left w:val="nil"/>
              <w:bottom w:val="single" w:sz="4" w:space="0" w:color="auto"/>
              <w:right w:val="nil"/>
            </w:tcBorders>
            <w:shd w:val="clear" w:color="auto" w:fill="auto"/>
            <w:noWrap/>
            <w:vAlign w:val="bottom"/>
            <w:hideMark/>
          </w:tcPr>
          <w:p w14:paraId="2EE065F1"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GEO Database / Profile</w:t>
            </w:r>
          </w:p>
        </w:tc>
        <w:tc>
          <w:tcPr>
            <w:tcW w:w="2700" w:type="dxa"/>
            <w:tcBorders>
              <w:top w:val="nil"/>
              <w:left w:val="nil"/>
              <w:bottom w:val="single" w:sz="4" w:space="0" w:color="auto"/>
              <w:right w:val="nil"/>
            </w:tcBorders>
            <w:shd w:val="clear" w:color="auto" w:fill="auto"/>
            <w:noWrap/>
            <w:vAlign w:val="bottom"/>
            <w:hideMark/>
          </w:tcPr>
          <w:p w14:paraId="71B391C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Testing Platform</w:t>
            </w:r>
          </w:p>
        </w:tc>
        <w:tc>
          <w:tcPr>
            <w:tcW w:w="1350" w:type="dxa"/>
            <w:tcBorders>
              <w:top w:val="nil"/>
              <w:left w:val="nil"/>
              <w:bottom w:val="single" w:sz="4" w:space="0" w:color="auto"/>
              <w:right w:val="nil"/>
            </w:tcBorders>
            <w:shd w:val="clear" w:color="auto" w:fill="auto"/>
            <w:noWrap/>
            <w:vAlign w:val="bottom"/>
            <w:hideMark/>
          </w:tcPr>
          <w:p w14:paraId="10EBBD0F"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Samples</w:t>
            </w:r>
          </w:p>
        </w:tc>
        <w:tc>
          <w:tcPr>
            <w:tcW w:w="1800" w:type="dxa"/>
            <w:tcBorders>
              <w:top w:val="nil"/>
              <w:left w:val="nil"/>
              <w:bottom w:val="single" w:sz="4" w:space="0" w:color="auto"/>
              <w:right w:val="nil"/>
            </w:tcBorders>
            <w:shd w:val="clear" w:color="auto" w:fill="auto"/>
            <w:vAlign w:val="bottom"/>
            <w:hideMark/>
          </w:tcPr>
          <w:p w14:paraId="3EC0AC69"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Study </w:t>
            </w:r>
            <w:r w:rsidRPr="00C6734B">
              <w:rPr>
                <w:rFonts w:eastAsia="Times New Roman" w:cs="Times New Roman"/>
                <w:color w:val="000000"/>
                <w:sz w:val="22"/>
                <w:szCs w:val="22"/>
              </w:rPr>
              <w:br/>
              <w:t>Comparisons</w:t>
            </w:r>
          </w:p>
        </w:tc>
        <w:tc>
          <w:tcPr>
            <w:tcW w:w="1980" w:type="dxa"/>
            <w:tcBorders>
              <w:top w:val="nil"/>
              <w:left w:val="nil"/>
              <w:bottom w:val="single" w:sz="4" w:space="0" w:color="auto"/>
              <w:right w:val="nil"/>
            </w:tcBorders>
            <w:shd w:val="clear" w:color="auto" w:fill="auto"/>
            <w:vAlign w:val="bottom"/>
            <w:hideMark/>
          </w:tcPr>
          <w:p w14:paraId="00A3085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Transcript</w:t>
            </w:r>
            <w:r w:rsidRPr="00C21483">
              <w:rPr>
                <w:rFonts w:eastAsia="Times New Roman" w:cs="Times New Roman"/>
                <w:color w:val="000000"/>
                <w:sz w:val="22"/>
                <w:szCs w:val="22"/>
              </w:rPr>
              <w:t>(s)</w:t>
            </w:r>
          </w:p>
        </w:tc>
        <w:tc>
          <w:tcPr>
            <w:tcW w:w="2340" w:type="dxa"/>
            <w:tcBorders>
              <w:top w:val="nil"/>
              <w:left w:val="nil"/>
              <w:bottom w:val="single" w:sz="4" w:space="0" w:color="auto"/>
              <w:right w:val="nil"/>
            </w:tcBorders>
            <w:shd w:val="clear" w:color="auto" w:fill="auto"/>
            <w:noWrap/>
            <w:vAlign w:val="bottom"/>
            <w:hideMark/>
          </w:tcPr>
          <w:p w14:paraId="0982F2E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Results</w:t>
            </w:r>
          </w:p>
        </w:tc>
      </w:tr>
      <w:tr w:rsidR="002B17BD" w:rsidRPr="00C6734B" w14:paraId="57084F8A" w14:textId="77777777" w:rsidTr="007F24F0">
        <w:trPr>
          <w:trHeight w:val="1871"/>
        </w:trPr>
        <w:tc>
          <w:tcPr>
            <w:tcW w:w="2880" w:type="dxa"/>
            <w:tcBorders>
              <w:top w:val="nil"/>
              <w:left w:val="nil"/>
              <w:bottom w:val="nil"/>
              <w:right w:val="nil"/>
            </w:tcBorders>
            <w:shd w:val="clear" w:color="auto" w:fill="auto"/>
            <w:hideMark/>
          </w:tcPr>
          <w:p w14:paraId="38A916DE"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GDS5016</w:t>
            </w:r>
            <w:r>
              <w:rPr>
                <w:rFonts w:eastAsia="Times New Roman" w:cs="Times New Roman"/>
                <w:color w:val="000000"/>
                <w:sz w:val="22"/>
                <w:szCs w:val="22"/>
              </w:rPr>
              <w:t xml:space="preserve"> </w:t>
            </w:r>
            <w:r>
              <w:rPr>
                <w:rFonts w:cs="Times New Roman"/>
                <w:shd w:val="clear" w:color="auto" w:fill="FFFFFF"/>
              </w:rPr>
              <w:fldChar w:fldCharType="begin"/>
            </w:r>
            <w:r>
              <w:rPr>
                <w:rFonts w:cs="Times New Roman"/>
                <w:shd w:val="clear" w:color="auto" w:fill="FFFFFF"/>
              </w:rPr>
              <w:instrText xml:space="preserve"> ADDIN ZOTERO_ITEM CSL_CITATION {"citationID":"F64uUl2N","properties":{"formattedCitation":"\\super 1\\nosupersub{}","plainCitation":"1","noteIndex":0},"citationItems":[{"id":28804,"uris":["http://zotero.org/users/1314866/items/6D58C49I"],"itemData":{"id":28804,"type":"article-journal","abstract":"Molecular mechanisms underlying sexual dimorphism in mammals, fetal sex influences on intrauterine development, and the sex-biased susceptibility for selected diseases in adulthood are novel areas of current research. As importantly, two decades of multifaceted research has established that susceptibility to many adult disorders originates in utero, commonly secondary to the effects of placental dysfunction. We hypothesized that fetal sex influences gene expression and produces functional differences in human placentas. We thus extended previous studies on sexual dimorphism in mammals, which used RNA isolated from whole tissues, to investigate the effects of sex on four cell-phenotypes within a single key tissue, human placental villi. The cells studied included cytotrophoblasts, syncytiotrophoblast, arterial and venous endothelial cells. The cells were isolated from placentas of male or female fetuses and subjected to microarray analysis. We found that fetal sex differentially affected gene expression in a cell-phenotype dependent manner among all four cell-phenotypes. The markedly enriched pathways in males were identified to be signaling pathways for graft-versus-host disease as well as the immune and inflammatory systems that parallel the reported poorer outcome of male fetuses. Our study is the first to compare global gene expression by microarray analysis in purified, characterized, somatic cells from a single human tissue, i.e. placental villi. Importantly, our findings demonstrate that there are cell-phenotype specific, and tissue-specific, sex-biased responses in the human placenta, suggesting fetal sex should be considered as an independent variable in gene expression analysis of human placental villi.","container-title":"PLoS ONE","DOI":"10.1371/journal.pone.0079233","ISSN":"1932-6203","issue":"10","journalAbbreviation":"PLoS One","language":"en-US","note":"PMID: 24205377\nPMCID: PMC3812163","page":"e79233","source":"PubMed Central","title":"The Human Placental Sexome Differs between Trophoblast Epithelium and Villous Vessel Endothelium","volume":"8","author":[{"family":"Cvitic","given":"Silvija"},{"family":"Longtine","given":"Mark S."},{"family":"Hackl","given":"Hubert"},{"family":"Wagner","given":"Karin"},{"family":"Nelson","given":"Michael D."},{"family":"Desoye","given":"Gernot"},{"family":"Hiden","given":"Ursula"}],"issued":{"date-parts":[["2013",10,29]]},"citation-key":"cviticHumanPlacentalSexome2013"}}],"schema":"https://github.com/citation-style-language/schema/raw/master/csl-citation.json"}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1</w:t>
            </w:r>
            <w:r>
              <w:rPr>
                <w:rFonts w:cs="Times New Roman"/>
                <w:shd w:val="clear" w:color="auto" w:fill="FFFFFF"/>
              </w:rPr>
              <w:fldChar w:fldCharType="end"/>
            </w:r>
            <w:r w:rsidRPr="00C6734B">
              <w:rPr>
                <w:rFonts w:eastAsia="Times New Roman" w:cs="Times New Roman"/>
                <w:color w:val="000000"/>
                <w:sz w:val="22"/>
                <w:szCs w:val="22"/>
              </w:rPr>
              <w:t xml:space="preserve"> - </w:t>
            </w:r>
            <w:r w:rsidRPr="00C6734B">
              <w:rPr>
                <w:rFonts w:eastAsia="Times New Roman" w:cs="Times New Roman"/>
                <w:color w:val="000000"/>
                <w:sz w:val="22"/>
                <w:szCs w:val="22"/>
              </w:rPr>
              <w:br/>
              <w:t>Male and female in vitro cultured placental cell types</w:t>
            </w:r>
            <w:r w:rsidRPr="00C21483">
              <w:rPr>
                <w:rFonts w:eastAsia="Times New Roman" w:cs="Times New Roman"/>
                <w:color w:val="000000"/>
                <w:sz w:val="22"/>
                <w:szCs w:val="22"/>
              </w:rPr>
              <w:t xml:space="preserve"> </w:t>
            </w:r>
          </w:p>
        </w:tc>
        <w:tc>
          <w:tcPr>
            <w:tcW w:w="2700" w:type="dxa"/>
            <w:tcBorders>
              <w:top w:val="nil"/>
              <w:left w:val="nil"/>
              <w:bottom w:val="nil"/>
              <w:right w:val="nil"/>
            </w:tcBorders>
            <w:shd w:val="clear" w:color="auto" w:fill="auto"/>
            <w:hideMark/>
          </w:tcPr>
          <w:p w14:paraId="49DF171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Affymetrix Human Gene 1.0 ST Array</w:t>
            </w:r>
          </w:p>
        </w:tc>
        <w:tc>
          <w:tcPr>
            <w:tcW w:w="1350" w:type="dxa"/>
            <w:tcBorders>
              <w:top w:val="nil"/>
              <w:left w:val="nil"/>
              <w:bottom w:val="nil"/>
              <w:right w:val="nil"/>
            </w:tcBorders>
            <w:shd w:val="clear" w:color="auto" w:fill="auto"/>
            <w:noWrap/>
            <w:hideMark/>
          </w:tcPr>
          <w:p w14:paraId="0E85C266"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32</w:t>
            </w:r>
          </w:p>
        </w:tc>
        <w:tc>
          <w:tcPr>
            <w:tcW w:w="1800" w:type="dxa"/>
            <w:tcBorders>
              <w:top w:val="nil"/>
              <w:left w:val="nil"/>
              <w:bottom w:val="nil"/>
              <w:right w:val="nil"/>
            </w:tcBorders>
            <w:shd w:val="clear" w:color="auto" w:fill="auto"/>
            <w:hideMark/>
          </w:tcPr>
          <w:p w14:paraId="3C7F6BE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Cell-type,</w:t>
            </w:r>
            <w:r w:rsidRPr="00C6734B">
              <w:rPr>
                <w:rFonts w:eastAsia="Times New Roman" w:cs="Times New Roman"/>
                <w:color w:val="000000"/>
                <w:sz w:val="22"/>
                <w:szCs w:val="22"/>
              </w:rPr>
              <w:br/>
              <w:t>Fetal sex</w:t>
            </w:r>
          </w:p>
        </w:tc>
        <w:tc>
          <w:tcPr>
            <w:tcW w:w="1980" w:type="dxa"/>
            <w:tcBorders>
              <w:top w:val="nil"/>
              <w:left w:val="nil"/>
              <w:bottom w:val="nil"/>
              <w:right w:val="nil"/>
            </w:tcBorders>
            <w:shd w:val="clear" w:color="auto" w:fill="auto"/>
            <w:noWrap/>
            <w:hideMark/>
          </w:tcPr>
          <w:p w14:paraId="7F5AE37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ERVH48-1 </w:t>
            </w:r>
          </w:p>
        </w:tc>
        <w:tc>
          <w:tcPr>
            <w:tcW w:w="2340" w:type="dxa"/>
            <w:tcBorders>
              <w:top w:val="nil"/>
              <w:left w:val="nil"/>
              <w:bottom w:val="nil"/>
              <w:right w:val="nil"/>
            </w:tcBorders>
            <w:shd w:val="clear" w:color="auto" w:fill="auto"/>
            <w:hideMark/>
          </w:tcPr>
          <w:p w14:paraId="5CD4492E"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Elevated expression in cytotrophoblasts and </w:t>
            </w:r>
            <w:proofErr w:type="spellStart"/>
            <w:r w:rsidRPr="00C6734B">
              <w:rPr>
                <w:rFonts w:eastAsia="Times New Roman" w:cs="Times New Roman"/>
                <w:color w:val="000000"/>
                <w:sz w:val="22"/>
                <w:szCs w:val="22"/>
              </w:rPr>
              <w:t>syncytiotrophblasts</w:t>
            </w:r>
            <w:proofErr w:type="spellEnd"/>
            <w:r w:rsidRPr="00C6734B">
              <w:rPr>
                <w:rFonts w:eastAsia="Times New Roman" w:cs="Times New Roman"/>
                <w:color w:val="000000"/>
                <w:sz w:val="22"/>
                <w:szCs w:val="22"/>
              </w:rPr>
              <w:t xml:space="preserve"> compared to venous and arterial endothelial cells; </w:t>
            </w:r>
            <w:r>
              <w:rPr>
                <w:rFonts w:eastAsia="Times New Roman" w:cs="Times New Roman"/>
                <w:color w:val="000000"/>
                <w:sz w:val="22"/>
                <w:szCs w:val="22"/>
              </w:rPr>
              <w:t>no male-female differences observed</w:t>
            </w:r>
          </w:p>
        </w:tc>
      </w:tr>
      <w:tr w:rsidR="002B17BD" w:rsidRPr="00C21483" w14:paraId="56632609" w14:textId="77777777" w:rsidTr="007F24F0">
        <w:trPr>
          <w:trHeight w:val="300"/>
        </w:trPr>
        <w:tc>
          <w:tcPr>
            <w:tcW w:w="2880" w:type="dxa"/>
            <w:tcBorders>
              <w:top w:val="nil"/>
              <w:left w:val="nil"/>
              <w:bottom w:val="nil"/>
              <w:right w:val="nil"/>
            </w:tcBorders>
            <w:shd w:val="clear" w:color="auto" w:fill="auto"/>
            <w:noWrap/>
            <w:hideMark/>
          </w:tcPr>
          <w:p w14:paraId="74E03533" w14:textId="77777777" w:rsidR="002B17BD" w:rsidRPr="00C6734B" w:rsidRDefault="002B17BD" w:rsidP="007F24F0">
            <w:pPr>
              <w:rPr>
                <w:rFonts w:eastAsia="Times New Roman" w:cs="Times New Roman"/>
                <w:color w:val="000000"/>
                <w:sz w:val="22"/>
                <w:szCs w:val="22"/>
              </w:rPr>
            </w:pPr>
          </w:p>
        </w:tc>
        <w:tc>
          <w:tcPr>
            <w:tcW w:w="2700" w:type="dxa"/>
            <w:tcBorders>
              <w:top w:val="nil"/>
              <w:left w:val="nil"/>
              <w:bottom w:val="nil"/>
              <w:right w:val="nil"/>
            </w:tcBorders>
            <w:shd w:val="clear" w:color="auto" w:fill="auto"/>
            <w:hideMark/>
          </w:tcPr>
          <w:p w14:paraId="5865DE16" w14:textId="77777777" w:rsidR="002B17BD" w:rsidRPr="00C6734B" w:rsidRDefault="002B17BD" w:rsidP="007F24F0">
            <w:pPr>
              <w:rPr>
                <w:rFonts w:eastAsia="Times New Roman" w:cs="Times New Roman"/>
                <w:sz w:val="22"/>
                <w:szCs w:val="22"/>
              </w:rPr>
            </w:pPr>
          </w:p>
        </w:tc>
        <w:tc>
          <w:tcPr>
            <w:tcW w:w="1350" w:type="dxa"/>
            <w:tcBorders>
              <w:top w:val="nil"/>
              <w:left w:val="nil"/>
              <w:bottom w:val="nil"/>
              <w:right w:val="nil"/>
            </w:tcBorders>
            <w:shd w:val="clear" w:color="auto" w:fill="auto"/>
            <w:noWrap/>
            <w:hideMark/>
          </w:tcPr>
          <w:p w14:paraId="5705D5DF" w14:textId="77777777" w:rsidR="002B17BD" w:rsidRPr="00C6734B" w:rsidRDefault="002B17BD" w:rsidP="007F24F0">
            <w:pPr>
              <w:rPr>
                <w:rFonts w:eastAsia="Times New Roman" w:cs="Times New Roman"/>
                <w:sz w:val="22"/>
                <w:szCs w:val="22"/>
              </w:rPr>
            </w:pPr>
          </w:p>
        </w:tc>
        <w:tc>
          <w:tcPr>
            <w:tcW w:w="1800" w:type="dxa"/>
            <w:tcBorders>
              <w:top w:val="nil"/>
              <w:left w:val="nil"/>
              <w:bottom w:val="nil"/>
              <w:right w:val="nil"/>
            </w:tcBorders>
            <w:shd w:val="clear" w:color="auto" w:fill="auto"/>
            <w:noWrap/>
            <w:hideMark/>
          </w:tcPr>
          <w:p w14:paraId="15EAAAB9"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66A44575" w14:textId="77777777" w:rsidR="002B17BD" w:rsidRPr="00C6734B" w:rsidRDefault="002B17BD" w:rsidP="007F24F0">
            <w:pPr>
              <w:rPr>
                <w:rFonts w:eastAsia="Times New Roman" w:cs="Times New Roman"/>
                <w:sz w:val="22"/>
                <w:szCs w:val="22"/>
              </w:rPr>
            </w:pPr>
          </w:p>
        </w:tc>
        <w:tc>
          <w:tcPr>
            <w:tcW w:w="2340" w:type="dxa"/>
            <w:tcBorders>
              <w:top w:val="nil"/>
              <w:left w:val="nil"/>
              <w:bottom w:val="nil"/>
              <w:right w:val="nil"/>
            </w:tcBorders>
            <w:shd w:val="clear" w:color="auto" w:fill="auto"/>
            <w:noWrap/>
            <w:hideMark/>
          </w:tcPr>
          <w:p w14:paraId="470999EE" w14:textId="77777777" w:rsidR="002B17BD" w:rsidRPr="00C6734B" w:rsidRDefault="002B17BD" w:rsidP="007F24F0">
            <w:pPr>
              <w:rPr>
                <w:rFonts w:eastAsia="Times New Roman" w:cs="Times New Roman"/>
                <w:sz w:val="22"/>
                <w:szCs w:val="22"/>
              </w:rPr>
            </w:pPr>
          </w:p>
        </w:tc>
      </w:tr>
      <w:tr w:rsidR="002B17BD" w:rsidRPr="005C593B" w14:paraId="5F6738DF" w14:textId="77777777" w:rsidTr="007F24F0">
        <w:trPr>
          <w:trHeight w:val="378"/>
        </w:trPr>
        <w:tc>
          <w:tcPr>
            <w:tcW w:w="2880" w:type="dxa"/>
            <w:vMerge w:val="restart"/>
            <w:tcBorders>
              <w:top w:val="nil"/>
              <w:left w:val="nil"/>
              <w:right w:val="nil"/>
            </w:tcBorders>
            <w:shd w:val="clear" w:color="auto" w:fill="auto"/>
            <w:hideMark/>
          </w:tcPr>
          <w:p w14:paraId="34B71AA9"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GDS5314</w:t>
            </w:r>
            <w:r>
              <w:rPr>
                <w:rFonts w:eastAsia="Times New Roman" w:cs="Times New Roman"/>
                <w:color w:val="000000"/>
                <w:sz w:val="22"/>
                <w:szCs w:val="22"/>
              </w:rPr>
              <w:t xml:space="preserve"> </w:t>
            </w:r>
            <w:r>
              <w:rPr>
                <w:rFonts w:cs="Times New Roman"/>
                <w:shd w:val="clear" w:color="auto" w:fill="FFFFFF"/>
              </w:rPr>
              <w:fldChar w:fldCharType="begin"/>
            </w:r>
            <w:r>
              <w:rPr>
                <w:rFonts w:cs="Times New Roman"/>
                <w:shd w:val="clear" w:color="auto" w:fill="FFFFFF"/>
              </w:rPr>
              <w:instrText xml:space="preserve"> ADDIN ZOTERO_ITEM CSL_CITATION {"citationID":"7qnDLXQ1","properties":{"formattedCitation":"\\super 2\\nosupersub{}","plainCitation":"2","noteIndex":0},"citationItems":[{"id":28807,"uris":["http://zotero.org/users/1314866/items/X69BL9E2"],"itemData":{"id":28807,"type":"article-journal","abstract":"Pregnancy is dependent on maternal–fetal tolerance that may be compromised because of infections or inflammation of the placenta. In this study, we examined whether the context of placental immune tolerance affected the functions of resident macrophages and if their functions were altered during chorioamnionitis, an infectious pathology of the placenta. Macrophages from at-term placentas expressed CD14, exhibited macrophage microbicidal functions, but were less inflammatory than monocyte-derived macrophages. Moreover, placental macrophages spontaneously matured into multinucleated giant cells (MGCs), a property not exhibited by monocyte-derived macrophages, and we detected MGCs of myeloid origin in placental tissue. Compared with placental macrophages, MGCs exhibited a specific phenotype and gene expression signature, consisting of increased cytoskeleton-associated gene expression along with depressed expression of inflammatory response genes. Furthermore, placental macrophages from patients with chorioamnionitis were unable to form MGCs, but this defect was partially corrected by incubating these placental macrophages with control trophoblast supernatants. MGCs formation likely serves to regulate their inflammatory and cytocidal activities in a context that imposes semiallograft acceptance and defense against pathogens.","container-title":"The Journal of Immunology","DOI":"10.4049/jimmunol.1300988","ISSN":"0022-1767","issue":"11","journalAbbreviation":"The Journal of Immunology","page":"5501-5514","source":"Silverchair","title":"Placental Macrophages Are Impaired in Chorioamnionitis, an Infectious Pathology of the Placenta","volume":"191","author":[{"family":"Ben Amara","given":"Amira"},{"family":"Gorvel","given":"Laurent"},{"family":"Baulan","given":"Karine"},{"family":"Derain-Court","given":"Justine"},{"family":"Buffat","given":"Christophe"},{"family":"Vérollet","given":"Christel"},{"family":"Textoris","given":"Julien"},{"family":"Ghigo","given":"Eric"},{"family":"Bretelle","given":"Florence"},{"family":"Maridonneau-Parini","given":"Isabelle"},{"family":"Mege","given":"Jean-Louis"}],"issued":{"date-parts":[["2013",12,1]]},"citation-key":"benamaraPlacentalMacrophagesAre2013"}}],"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2</w:t>
            </w:r>
            <w:r>
              <w:rPr>
                <w:rFonts w:cs="Times New Roman"/>
                <w:shd w:val="clear" w:color="auto" w:fill="FFFFFF"/>
              </w:rPr>
              <w:fldChar w:fldCharType="end"/>
            </w:r>
            <w:r w:rsidRPr="00C6734B">
              <w:rPr>
                <w:rFonts w:eastAsia="Times New Roman" w:cs="Times New Roman"/>
                <w:color w:val="000000"/>
                <w:sz w:val="22"/>
                <w:szCs w:val="22"/>
              </w:rPr>
              <w:t xml:space="preserve"> - </w:t>
            </w:r>
            <w:r w:rsidRPr="00C6734B">
              <w:rPr>
                <w:rFonts w:eastAsia="Times New Roman" w:cs="Times New Roman"/>
                <w:color w:val="000000"/>
                <w:sz w:val="22"/>
                <w:szCs w:val="22"/>
              </w:rPr>
              <w:br/>
              <w:t>Placental CD14+ macrophage-derived multinucleated giant cells</w:t>
            </w:r>
          </w:p>
        </w:tc>
        <w:tc>
          <w:tcPr>
            <w:tcW w:w="2700" w:type="dxa"/>
            <w:vMerge w:val="restart"/>
            <w:tcBorders>
              <w:top w:val="nil"/>
              <w:left w:val="nil"/>
              <w:right w:val="nil"/>
            </w:tcBorders>
            <w:shd w:val="clear" w:color="auto" w:fill="auto"/>
            <w:hideMark/>
          </w:tcPr>
          <w:p w14:paraId="6F8694BE"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Agilent-014850 Whole Human Genome Microarray 4x44K G4112F</w:t>
            </w:r>
          </w:p>
        </w:tc>
        <w:tc>
          <w:tcPr>
            <w:tcW w:w="1350" w:type="dxa"/>
            <w:vMerge w:val="restart"/>
            <w:tcBorders>
              <w:top w:val="nil"/>
              <w:left w:val="nil"/>
              <w:right w:val="nil"/>
            </w:tcBorders>
            <w:shd w:val="clear" w:color="auto" w:fill="auto"/>
            <w:noWrap/>
            <w:hideMark/>
          </w:tcPr>
          <w:p w14:paraId="1905249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12</w:t>
            </w:r>
          </w:p>
        </w:tc>
        <w:tc>
          <w:tcPr>
            <w:tcW w:w="1800" w:type="dxa"/>
            <w:vMerge w:val="restart"/>
            <w:tcBorders>
              <w:top w:val="nil"/>
              <w:left w:val="nil"/>
              <w:right w:val="nil"/>
            </w:tcBorders>
            <w:shd w:val="clear" w:color="auto" w:fill="auto"/>
            <w:noWrap/>
            <w:hideMark/>
          </w:tcPr>
          <w:p w14:paraId="7558F67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Cell-type</w:t>
            </w:r>
          </w:p>
        </w:tc>
        <w:tc>
          <w:tcPr>
            <w:tcW w:w="1980" w:type="dxa"/>
            <w:tcBorders>
              <w:top w:val="nil"/>
              <w:left w:val="nil"/>
              <w:bottom w:val="nil"/>
              <w:right w:val="nil"/>
            </w:tcBorders>
            <w:shd w:val="clear" w:color="auto" w:fill="auto"/>
            <w:noWrap/>
            <w:hideMark/>
          </w:tcPr>
          <w:p w14:paraId="70F31B2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vMerge w:val="restart"/>
            <w:tcBorders>
              <w:top w:val="nil"/>
              <w:left w:val="nil"/>
              <w:right w:val="nil"/>
            </w:tcBorders>
            <w:shd w:val="clear" w:color="auto" w:fill="auto"/>
            <w:hideMark/>
          </w:tcPr>
          <w:p w14:paraId="39647EF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 for any transcripts</w:t>
            </w:r>
          </w:p>
        </w:tc>
      </w:tr>
      <w:tr w:rsidR="002B17BD" w:rsidRPr="00C21483" w14:paraId="3AFF2DC6" w14:textId="77777777" w:rsidTr="007F24F0">
        <w:trPr>
          <w:trHeight w:val="360"/>
        </w:trPr>
        <w:tc>
          <w:tcPr>
            <w:tcW w:w="2880" w:type="dxa"/>
            <w:vMerge/>
            <w:tcBorders>
              <w:left w:val="nil"/>
              <w:right w:val="nil"/>
            </w:tcBorders>
            <w:shd w:val="clear" w:color="auto" w:fill="auto"/>
            <w:noWrap/>
            <w:hideMark/>
          </w:tcPr>
          <w:p w14:paraId="15FDA1E0"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3E37C034"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7BD55CB6"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43529972"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52D57079"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EPB41L4A-AS1</w:t>
            </w:r>
          </w:p>
        </w:tc>
        <w:tc>
          <w:tcPr>
            <w:tcW w:w="2340" w:type="dxa"/>
            <w:vMerge/>
            <w:tcBorders>
              <w:left w:val="nil"/>
              <w:right w:val="nil"/>
            </w:tcBorders>
            <w:shd w:val="clear" w:color="auto" w:fill="auto"/>
            <w:noWrap/>
            <w:hideMark/>
          </w:tcPr>
          <w:p w14:paraId="6148A56D" w14:textId="77777777" w:rsidR="002B17BD" w:rsidRPr="00C6734B" w:rsidRDefault="002B17BD" w:rsidP="007F24F0">
            <w:pPr>
              <w:rPr>
                <w:rFonts w:eastAsia="Times New Roman" w:cs="Times New Roman"/>
                <w:color w:val="000000"/>
                <w:sz w:val="22"/>
                <w:szCs w:val="22"/>
              </w:rPr>
            </w:pPr>
          </w:p>
        </w:tc>
      </w:tr>
      <w:tr w:rsidR="002B17BD" w:rsidRPr="00C21483" w14:paraId="44C6A2E8" w14:textId="77777777" w:rsidTr="007F24F0">
        <w:trPr>
          <w:trHeight w:val="351"/>
        </w:trPr>
        <w:tc>
          <w:tcPr>
            <w:tcW w:w="2880" w:type="dxa"/>
            <w:vMerge/>
            <w:tcBorders>
              <w:left w:val="nil"/>
              <w:right w:val="nil"/>
            </w:tcBorders>
            <w:shd w:val="clear" w:color="auto" w:fill="auto"/>
            <w:noWrap/>
            <w:hideMark/>
          </w:tcPr>
          <w:p w14:paraId="6A8BE356" w14:textId="77777777" w:rsidR="002B17BD" w:rsidRPr="00C6734B" w:rsidRDefault="002B17BD" w:rsidP="007F24F0">
            <w:pPr>
              <w:rPr>
                <w:rFonts w:eastAsia="Times New Roman" w:cs="Times New Roman"/>
                <w:sz w:val="22"/>
                <w:szCs w:val="22"/>
              </w:rPr>
            </w:pPr>
          </w:p>
        </w:tc>
        <w:tc>
          <w:tcPr>
            <w:tcW w:w="2700" w:type="dxa"/>
            <w:vMerge/>
            <w:tcBorders>
              <w:left w:val="nil"/>
              <w:right w:val="nil"/>
            </w:tcBorders>
            <w:shd w:val="clear" w:color="auto" w:fill="auto"/>
            <w:hideMark/>
          </w:tcPr>
          <w:p w14:paraId="139D555A"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15E021E2"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528099D1"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2A99C20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vMerge/>
            <w:tcBorders>
              <w:left w:val="nil"/>
              <w:right w:val="nil"/>
            </w:tcBorders>
            <w:shd w:val="clear" w:color="auto" w:fill="auto"/>
            <w:noWrap/>
            <w:hideMark/>
          </w:tcPr>
          <w:p w14:paraId="67B5CEAD" w14:textId="77777777" w:rsidR="002B17BD" w:rsidRPr="00C6734B" w:rsidRDefault="002B17BD" w:rsidP="007F24F0">
            <w:pPr>
              <w:rPr>
                <w:rFonts w:eastAsia="Times New Roman" w:cs="Times New Roman"/>
                <w:color w:val="000000"/>
                <w:sz w:val="22"/>
                <w:szCs w:val="22"/>
              </w:rPr>
            </w:pPr>
          </w:p>
        </w:tc>
      </w:tr>
      <w:tr w:rsidR="002B17BD" w:rsidRPr="00C21483" w14:paraId="26AA6876" w14:textId="77777777" w:rsidTr="007F24F0">
        <w:trPr>
          <w:trHeight w:val="300"/>
        </w:trPr>
        <w:tc>
          <w:tcPr>
            <w:tcW w:w="2880" w:type="dxa"/>
            <w:vMerge/>
            <w:tcBorders>
              <w:left w:val="nil"/>
              <w:bottom w:val="nil"/>
              <w:right w:val="nil"/>
            </w:tcBorders>
            <w:shd w:val="clear" w:color="auto" w:fill="auto"/>
            <w:noWrap/>
            <w:hideMark/>
          </w:tcPr>
          <w:p w14:paraId="136472E1" w14:textId="77777777" w:rsidR="002B17BD" w:rsidRPr="00C6734B" w:rsidRDefault="002B17BD" w:rsidP="007F24F0">
            <w:pPr>
              <w:rPr>
                <w:rFonts w:eastAsia="Times New Roman" w:cs="Times New Roman"/>
                <w:sz w:val="22"/>
                <w:szCs w:val="22"/>
              </w:rPr>
            </w:pPr>
          </w:p>
        </w:tc>
        <w:tc>
          <w:tcPr>
            <w:tcW w:w="2700" w:type="dxa"/>
            <w:vMerge/>
            <w:tcBorders>
              <w:left w:val="nil"/>
              <w:bottom w:val="nil"/>
              <w:right w:val="nil"/>
            </w:tcBorders>
            <w:shd w:val="clear" w:color="auto" w:fill="auto"/>
            <w:hideMark/>
          </w:tcPr>
          <w:p w14:paraId="0F97D7FD" w14:textId="77777777" w:rsidR="002B17BD" w:rsidRPr="00C6734B" w:rsidRDefault="002B17BD" w:rsidP="007F24F0">
            <w:pPr>
              <w:rPr>
                <w:rFonts w:eastAsia="Times New Roman" w:cs="Times New Roman"/>
                <w:sz w:val="22"/>
                <w:szCs w:val="22"/>
              </w:rPr>
            </w:pPr>
          </w:p>
        </w:tc>
        <w:tc>
          <w:tcPr>
            <w:tcW w:w="1350" w:type="dxa"/>
            <w:vMerge/>
            <w:tcBorders>
              <w:left w:val="nil"/>
              <w:bottom w:val="nil"/>
              <w:right w:val="nil"/>
            </w:tcBorders>
            <w:shd w:val="clear" w:color="auto" w:fill="auto"/>
            <w:noWrap/>
            <w:hideMark/>
          </w:tcPr>
          <w:p w14:paraId="4F45CBDE" w14:textId="77777777" w:rsidR="002B17BD" w:rsidRPr="00C6734B" w:rsidRDefault="002B17BD" w:rsidP="007F24F0">
            <w:pPr>
              <w:rPr>
                <w:rFonts w:eastAsia="Times New Roman" w:cs="Times New Roman"/>
                <w:sz w:val="22"/>
                <w:szCs w:val="22"/>
              </w:rPr>
            </w:pPr>
          </w:p>
        </w:tc>
        <w:tc>
          <w:tcPr>
            <w:tcW w:w="1800" w:type="dxa"/>
            <w:vMerge/>
            <w:tcBorders>
              <w:left w:val="nil"/>
              <w:bottom w:val="nil"/>
              <w:right w:val="nil"/>
            </w:tcBorders>
            <w:shd w:val="clear" w:color="auto" w:fill="auto"/>
            <w:noWrap/>
            <w:hideMark/>
          </w:tcPr>
          <w:p w14:paraId="43AADE03"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0D13F52E"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KANSL1-AS1</w:t>
            </w:r>
          </w:p>
        </w:tc>
        <w:tc>
          <w:tcPr>
            <w:tcW w:w="2340" w:type="dxa"/>
            <w:vMerge/>
            <w:tcBorders>
              <w:left w:val="nil"/>
              <w:bottom w:val="nil"/>
              <w:right w:val="nil"/>
            </w:tcBorders>
            <w:shd w:val="clear" w:color="auto" w:fill="auto"/>
            <w:noWrap/>
            <w:hideMark/>
          </w:tcPr>
          <w:p w14:paraId="51B1A241" w14:textId="77777777" w:rsidR="002B17BD" w:rsidRPr="00C6734B" w:rsidRDefault="002B17BD" w:rsidP="007F24F0">
            <w:pPr>
              <w:rPr>
                <w:rFonts w:eastAsia="Times New Roman" w:cs="Times New Roman"/>
                <w:color w:val="000000"/>
                <w:sz w:val="22"/>
                <w:szCs w:val="22"/>
              </w:rPr>
            </w:pPr>
          </w:p>
        </w:tc>
      </w:tr>
      <w:tr w:rsidR="002B17BD" w:rsidRPr="00C21483" w14:paraId="4438F064" w14:textId="77777777" w:rsidTr="007F24F0">
        <w:trPr>
          <w:trHeight w:val="300"/>
        </w:trPr>
        <w:tc>
          <w:tcPr>
            <w:tcW w:w="2880" w:type="dxa"/>
            <w:tcBorders>
              <w:top w:val="nil"/>
              <w:left w:val="nil"/>
              <w:bottom w:val="nil"/>
              <w:right w:val="nil"/>
            </w:tcBorders>
            <w:shd w:val="clear" w:color="auto" w:fill="auto"/>
            <w:noWrap/>
            <w:hideMark/>
          </w:tcPr>
          <w:p w14:paraId="72765054" w14:textId="77777777" w:rsidR="002B17BD" w:rsidRPr="00C6734B" w:rsidRDefault="002B17BD" w:rsidP="007F24F0">
            <w:pPr>
              <w:rPr>
                <w:rFonts w:eastAsia="Times New Roman" w:cs="Times New Roman"/>
                <w:sz w:val="22"/>
                <w:szCs w:val="22"/>
              </w:rPr>
            </w:pPr>
          </w:p>
        </w:tc>
        <w:tc>
          <w:tcPr>
            <w:tcW w:w="2700" w:type="dxa"/>
            <w:tcBorders>
              <w:top w:val="nil"/>
              <w:left w:val="nil"/>
              <w:bottom w:val="nil"/>
              <w:right w:val="nil"/>
            </w:tcBorders>
            <w:shd w:val="clear" w:color="auto" w:fill="auto"/>
            <w:hideMark/>
          </w:tcPr>
          <w:p w14:paraId="3FF4A213" w14:textId="77777777" w:rsidR="002B17BD" w:rsidRPr="00C6734B" w:rsidRDefault="002B17BD" w:rsidP="007F24F0">
            <w:pPr>
              <w:rPr>
                <w:rFonts w:eastAsia="Times New Roman" w:cs="Times New Roman"/>
                <w:sz w:val="22"/>
                <w:szCs w:val="22"/>
              </w:rPr>
            </w:pPr>
          </w:p>
        </w:tc>
        <w:tc>
          <w:tcPr>
            <w:tcW w:w="1350" w:type="dxa"/>
            <w:tcBorders>
              <w:top w:val="nil"/>
              <w:left w:val="nil"/>
              <w:bottom w:val="nil"/>
              <w:right w:val="nil"/>
            </w:tcBorders>
            <w:shd w:val="clear" w:color="auto" w:fill="auto"/>
            <w:noWrap/>
            <w:hideMark/>
          </w:tcPr>
          <w:p w14:paraId="26FA7A9C" w14:textId="77777777" w:rsidR="002B17BD" w:rsidRPr="00C6734B" w:rsidRDefault="002B17BD" w:rsidP="007F24F0">
            <w:pPr>
              <w:rPr>
                <w:rFonts w:eastAsia="Times New Roman" w:cs="Times New Roman"/>
                <w:sz w:val="22"/>
                <w:szCs w:val="22"/>
              </w:rPr>
            </w:pPr>
          </w:p>
        </w:tc>
        <w:tc>
          <w:tcPr>
            <w:tcW w:w="1800" w:type="dxa"/>
            <w:tcBorders>
              <w:top w:val="nil"/>
              <w:left w:val="nil"/>
              <w:bottom w:val="nil"/>
              <w:right w:val="nil"/>
            </w:tcBorders>
            <w:shd w:val="clear" w:color="auto" w:fill="auto"/>
            <w:noWrap/>
            <w:hideMark/>
          </w:tcPr>
          <w:p w14:paraId="723E85FD"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63A73A83" w14:textId="77777777" w:rsidR="002B17BD" w:rsidRPr="00C6734B" w:rsidRDefault="002B17BD" w:rsidP="007F24F0">
            <w:pPr>
              <w:rPr>
                <w:rFonts w:eastAsia="Times New Roman" w:cs="Times New Roman"/>
                <w:sz w:val="22"/>
                <w:szCs w:val="22"/>
              </w:rPr>
            </w:pPr>
          </w:p>
        </w:tc>
        <w:tc>
          <w:tcPr>
            <w:tcW w:w="2340" w:type="dxa"/>
            <w:tcBorders>
              <w:top w:val="nil"/>
              <w:left w:val="nil"/>
              <w:bottom w:val="nil"/>
              <w:right w:val="nil"/>
            </w:tcBorders>
            <w:shd w:val="clear" w:color="auto" w:fill="auto"/>
            <w:noWrap/>
            <w:hideMark/>
          </w:tcPr>
          <w:p w14:paraId="217C9A52" w14:textId="77777777" w:rsidR="002B17BD" w:rsidRPr="00C6734B" w:rsidRDefault="002B17BD" w:rsidP="007F24F0">
            <w:pPr>
              <w:rPr>
                <w:rFonts w:eastAsia="Times New Roman" w:cs="Times New Roman"/>
                <w:sz w:val="22"/>
                <w:szCs w:val="22"/>
              </w:rPr>
            </w:pPr>
          </w:p>
        </w:tc>
      </w:tr>
      <w:tr w:rsidR="002B17BD" w:rsidRPr="005C593B" w14:paraId="705CEBD4" w14:textId="77777777" w:rsidTr="007F24F0">
        <w:trPr>
          <w:trHeight w:val="477"/>
        </w:trPr>
        <w:tc>
          <w:tcPr>
            <w:tcW w:w="2880" w:type="dxa"/>
            <w:vMerge w:val="restart"/>
            <w:tcBorders>
              <w:top w:val="nil"/>
              <w:left w:val="nil"/>
              <w:right w:val="nil"/>
            </w:tcBorders>
            <w:shd w:val="clear" w:color="auto" w:fill="auto"/>
            <w:hideMark/>
          </w:tcPr>
          <w:p w14:paraId="576AF36F"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GDS5021</w:t>
            </w:r>
            <w:r>
              <w:rPr>
                <w:rFonts w:eastAsia="Times New Roman" w:cs="Times New Roman"/>
                <w:color w:val="000000"/>
                <w:sz w:val="22"/>
                <w:szCs w:val="22"/>
              </w:rPr>
              <w:t xml:space="preserve"> </w:t>
            </w:r>
            <w:r>
              <w:rPr>
                <w:rFonts w:cs="Times New Roman"/>
                <w:shd w:val="clear" w:color="auto" w:fill="FFFFFF"/>
              </w:rPr>
              <w:fldChar w:fldCharType="begin"/>
            </w:r>
            <w:r>
              <w:rPr>
                <w:rFonts w:cs="Times New Roman"/>
                <w:shd w:val="clear" w:color="auto" w:fill="FFFFFF"/>
              </w:rPr>
              <w:instrText xml:space="preserve"> ADDIN ZOTERO_ITEM CSL_CITATION {"citationID":"tUFmdzC1","properties":{"formattedCitation":"\\super 3\\nosupersub{}","plainCitation":"3","noteIndex":0},"citationItems":[{"id":28814,"uris":["http://zotero.org/users/1314866/items/5QYFCG6F"],"itemData":{"id":28814,"type":"article-journal","abstract":"This study investigated the influence of maternal choline intake on the human placental transcriptome, with a special interest in its role in modulating placental vascular function. Healthy pregnant women (n=26, wk 26-29 gestation) were randomized to 480 mg choline/d, an intake level approximating the adequate intake of 450 mg/d, or 930 mg/d for 12 wk. Maternal blood and placental samples were retrieved at delivery. Whole genome expression microarrays were used to identify placental genes and biological processes impacted by maternal choline intake. Maternal choline intake influenced a wide array of genes (n=166) and biological processes (n=197), including those related to vascular function. Of special interest was the 30% down-regulation (P=0.05) of the antiangiogenic factor and preeclampsia risk marker fms-like tyrosine kinase-1 (sFLT1) in the placenta tissues obtained from the 930 vs. 480 mg/d choline intake group. Similar decreases (P=0.04) were detected in maternal blood sFLT1 protein concentrations. The down-regulation of sFLT1 by choline treatment was confirmed in a human trophoblast cell culture model and may be related to enhanced acetylcholine signaling. These findings indicate that supplementing the maternal diet with extra choline may improve placental angiogenesis and mitigate some of the pathological antecedents of preeclampsia.","container-title":"FASEB journal: official publication of the Federation of American Societies for Experimental Biology","DOI":"10.1096/fj.12-221648","ISSN":"1530-6860","issue":"3","journalAbbreviation":"FASEB J","language":"eng","note":"PMID: 23195033","page":"1245-1253","source":"PubMed","title":"A higher maternal choline intake among third-trimester pregnant women lowers placental and circulating concentrations of the antiangiogenic factor fms-like tyrosine kinase-1 (sFLT1)","volume":"27","author":[{"family":"Jiang","given":"Xinyin"},{"family":"Bar","given":"Haim Y."},{"family":"Yan","given":"Jian"},{"family":"Jones","given":"Sara"},{"family":"Brannon","given":"Patsy M."},{"family":"West","given":"Allyson A."},{"family":"Perry","given":"Cydne A."},{"family":"Ganti","given":"Anita"},{"family":"Pressman","given":"Eva"},{"family":"Devapatla","given":"Srisatish"},{"family":"Vermeylen","given":"Francoise"},{"family":"Wells","given":"Martin T."},{"family":"Caudill","given":"Marie A."}],"issued":{"date-parts":[["2013",3]]},"citation-key":"jiangHigherMaternalCholine2013"}}],"schema":"https://github.com/citation-style-language/schema/raw/master/csl-citation.json"}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3</w:t>
            </w:r>
            <w:r>
              <w:rPr>
                <w:rFonts w:cs="Times New Roman"/>
                <w:shd w:val="clear" w:color="auto" w:fill="FFFFFF"/>
              </w:rPr>
              <w:fldChar w:fldCharType="end"/>
            </w:r>
            <w:r w:rsidRPr="00C6734B">
              <w:rPr>
                <w:rFonts w:eastAsia="Times New Roman" w:cs="Times New Roman"/>
                <w:color w:val="000000"/>
                <w:sz w:val="22"/>
                <w:szCs w:val="22"/>
              </w:rPr>
              <w:t xml:space="preserve"> - </w:t>
            </w:r>
            <w:r w:rsidRPr="00C6734B">
              <w:rPr>
                <w:rFonts w:eastAsia="Times New Roman" w:cs="Times New Roman"/>
                <w:color w:val="000000"/>
                <w:sz w:val="22"/>
                <w:szCs w:val="22"/>
              </w:rPr>
              <w:br/>
              <w:t xml:space="preserve">Placenta response to maternal choline intake throughout the third trimester of pregnancy: dose response </w:t>
            </w:r>
          </w:p>
        </w:tc>
        <w:tc>
          <w:tcPr>
            <w:tcW w:w="2700" w:type="dxa"/>
            <w:vMerge w:val="restart"/>
            <w:tcBorders>
              <w:top w:val="nil"/>
              <w:left w:val="nil"/>
              <w:right w:val="nil"/>
            </w:tcBorders>
            <w:shd w:val="clear" w:color="auto" w:fill="auto"/>
            <w:hideMark/>
          </w:tcPr>
          <w:p w14:paraId="3D09D1A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Agilent-014850 Whole Human Genome Microarray 4x44K G4112F</w:t>
            </w:r>
          </w:p>
        </w:tc>
        <w:tc>
          <w:tcPr>
            <w:tcW w:w="1350" w:type="dxa"/>
            <w:vMerge w:val="restart"/>
            <w:tcBorders>
              <w:top w:val="nil"/>
              <w:left w:val="nil"/>
              <w:right w:val="nil"/>
            </w:tcBorders>
            <w:shd w:val="clear" w:color="auto" w:fill="auto"/>
            <w:noWrap/>
            <w:hideMark/>
          </w:tcPr>
          <w:p w14:paraId="3CBBBAF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12</w:t>
            </w:r>
          </w:p>
        </w:tc>
        <w:tc>
          <w:tcPr>
            <w:tcW w:w="1800" w:type="dxa"/>
            <w:vMerge w:val="restart"/>
            <w:tcBorders>
              <w:top w:val="nil"/>
              <w:left w:val="nil"/>
              <w:right w:val="nil"/>
            </w:tcBorders>
            <w:shd w:val="clear" w:color="auto" w:fill="auto"/>
            <w:hideMark/>
          </w:tcPr>
          <w:p w14:paraId="09009FC1"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Fetal sex,</w:t>
            </w:r>
            <w:r w:rsidRPr="00C6734B">
              <w:rPr>
                <w:rFonts w:eastAsia="Times New Roman" w:cs="Times New Roman"/>
                <w:color w:val="000000"/>
                <w:sz w:val="22"/>
                <w:szCs w:val="22"/>
              </w:rPr>
              <w:br/>
              <w:t>Maternal choline dose</w:t>
            </w:r>
          </w:p>
        </w:tc>
        <w:tc>
          <w:tcPr>
            <w:tcW w:w="1980" w:type="dxa"/>
            <w:tcBorders>
              <w:top w:val="nil"/>
              <w:left w:val="nil"/>
              <w:bottom w:val="nil"/>
              <w:right w:val="nil"/>
            </w:tcBorders>
            <w:shd w:val="clear" w:color="auto" w:fill="auto"/>
            <w:noWrap/>
            <w:hideMark/>
          </w:tcPr>
          <w:p w14:paraId="77FD528D"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vMerge w:val="restart"/>
            <w:tcBorders>
              <w:top w:val="nil"/>
              <w:left w:val="nil"/>
              <w:right w:val="nil"/>
            </w:tcBorders>
            <w:shd w:val="clear" w:color="auto" w:fill="auto"/>
            <w:hideMark/>
          </w:tcPr>
          <w:p w14:paraId="4C54E83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 for any transcripts</w:t>
            </w:r>
          </w:p>
        </w:tc>
      </w:tr>
      <w:tr w:rsidR="002B17BD" w:rsidRPr="00C21483" w14:paraId="1B2DB87C" w14:textId="77777777" w:rsidTr="007F24F0">
        <w:trPr>
          <w:trHeight w:val="369"/>
        </w:trPr>
        <w:tc>
          <w:tcPr>
            <w:tcW w:w="2880" w:type="dxa"/>
            <w:vMerge/>
            <w:tcBorders>
              <w:left w:val="nil"/>
              <w:right w:val="nil"/>
            </w:tcBorders>
            <w:shd w:val="clear" w:color="auto" w:fill="auto"/>
            <w:noWrap/>
            <w:hideMark/>
          </w:tcPr>
          <w:p w14:paraId="37D01528"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44C88429"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5B82F08F"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49538BB8"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2523EFA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EPB41L4A-AS1</w:t>
            </w:r>
          </w:p>
        </w:tc>
        <w:tc>
          <w:tcPr>
            <w:tcW w:w="2340" w:type="dxa"/>
            <w:vMerge/>
            <w:tcBorders>
              <w:left w:val="nil"/>
              <w:right w:val="nil"/>
            </w:tcBorders>
            <w:shd w:val="clear" w:color="auto" w:fill="auto"/>
            <w:noWrap/>
            <w:hideMark/>
          </w:tcPr>
          <w:p w14:paraId="6EADC364" w14:textId="77777777" w:rsidR="002B17BD" w:rsidRPr="00C6734B" w:rsidRDefault="002B17BD" w:rsidP="007F24F0">
            <w:pPr>
              <w:rPr>
                <w:rFonts w:eastAsia="Times New Roman" w:cs="Times New Roman"/>
                <w:color w:val="000000"/>
                <w:sz w:val="22"/>
                <w:szCs w:val="22"/>
              </w:rPr>
            </w:pPr>
          </w:p>
        </w:tc>
      </w:tr>
      <w:tr w:rsidR="002B17BD" w:rsidRPr="00C21483" w14:paraId="655476E8" w14:textId="77777777" w:rsidTr="007F24F0">
        <w:trPr>
          <w:trHeight w:val="360"/>
        </w:trPr>
        <w:tc>
          <w:tcPr>
            <w:tcW w:w="2880" w:type="dxa"/>
            <w:vMerge/>
            <w:tcBorders>
              <w:left w:val="nil"/>
              <w:right w:val="nil"/>
            </w:tcBorders>
            <w:shd w:val="clear" w:color="auto" w:fill="auto"/>
            <w:noWrap/>
            <w:hideMark/>
          </w:tcPr>
          <w:p w14:paraId="440B28EA" w14:textId="77777777" w:rsidR="002B17BD" w:rsidRPr="00C6734B" w:rsidRDefault="002B17BD" w:rsidP="007F24F0">
            <w:pPr>
              <w:rPr>
                <w:rFonts w:eastAsia="Times New Roman" w:cs="Times New Roman"/>
                <w:sz w:val="22"/>
                <w:szCs w:val="22"/>
              </w:rPr>
            </w:pPr>
          </w:p>
        </w:tc>
        <w:tc>
          <w:tcPr>
            <w:tcW w:w="2700" w:type="dxa"/>
            <w:vMerge/>
            <w:tcBorders>
              <w:left w:val="nil"/>
              <w:right w:val="nil"/>
            </w:tcBorders>
            <w:shd w:val="clear" w:color="auto" w:fill="auto"/>
            <w:hideMark/>
          </w:tcPr>
          <w:p w14:paraId="7B2D77DD"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1A5C57D7"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63A2A500"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71A0DF4B"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vMerge/>
            <w:tcBorders>
              <w:left w:val="nil"/>
              <w:right w:val="nil"/>
            </w:tcBorders>
            <w:shd w:val="clear" w:color="auto" w:fill="auto"/>
            <w:noWrap/>
            <w:hideMark/>
          </w:tcPr>
          <w:p w14:paraId="43A32879" w14:textId="77777777" w:rsidR="002B17BD" w:rsidRPr="00C6734B" w:rsidRDefault="002B17BD" w:rsidP="007F24F0">
            <w:pPr>
              <w:rPr>
                <w:rFonts w:eastAsia="Times New Roman" w:cs="Times New Roman"/>
                <w:color w:val="000000"/>
                <w:sz w:val="22"/>
                <w:szCs w:val="22"/>
              </w:rPr>
            </w:pPr>
          </w:p>
        </w:tc>
      </w:tr>
      <w:tr w:rsidR="002B17BD" w:rsidRPr="00C21483" w14:paraId="68A399BC" w14:textId="77777777" w:rsidTr="007F24F0">
        <w:trPr>
          <w:trHeight w:val="300"/>
        </w:trPr>
        <w:tc>
          <w:tcPr>
            <w:tcW w:w="2880" w:type="dxa"/>
            <w:vMerge/>
            <w:tcBorders>
              <w:left w:val="nil"/>
              <w:bottom w:val="nil"/>
              <w:right w:val="nil"/>
            </w:tcBorders>
            <w:shd w:val="clear" w:color="auto" w:fill="auto"/>
            <w:noWrap/>
            <w:hideMark/>
          </w:tcPr>
          <w:p w14:paraId="74629106" w14:textId="77777777" w:rsidR="002B17BD" w:rsidRPr="00C6734B" w:rsidRDefault="002B17BD" w:rsidP="007F24F0">
            <w:pPr>
              <w:rPr>
                <w:rFonts w:eastAsia="Times New Roman" w:cs="Times New Roman"/>
                <w:sz w:val="22"/>
                <w:szCs w:val="22"/>
              </w:rPr>
            </w:pPr>
          </w:p>
        </w:tc>
        <w:tc>
          <w:tcPr>
            <w:tcW w:w="2700" w:type="dxa"/>
            <w:vMerge/>
            <w:tcBorders>
              <w:left w:val="nil"/>
              <w:bottom w:val="nil"/>
              <w:right w:val="nil"/>
            </w:tcBorders>
            <w:shd w:val="clear" w:color="auto" w:fill="auto"/>
            <w:hideMark/>
          </w:tcPr>
          <w:p w14:paraId="04627EDB" w14:textId="77777777" w:rsidR="002B17BD" w:rsidRPr="00C6734B" w:rsidRDefault="002B17BD" w:rsidP="007F24F0">
            <w:pPr>
              <w:rPr>
                <w:rFonts w:eastAsia="Times New Roman" w:cs="Times New Roman"/>
                <w:sz w:val="22"/>
                <w:szCs w:val="22"/>
              </w:rPr>
            </w:pPr>
          </w:p>
        </w:tc>
        <w:tc>
          <w:tcPr>
            <w:tcW w:w="1350" w:type="dxa"/>
            <w:vMerge/>
            <w:tcBorders>
              <w:left w:val="nil"/>
              <w:bottom w:val="nil"/>
              <w:right w:val="nil"/>
            </w:tcBorders>
            <w:shd w:val="clear" w:color="auto" w:fill="auto"/>
            <w:noWrap/>
            <w:hideMark/>
          </w:tcPr>
          <w:p w14:paraId="51A94BC8" w14:textId="77777777" w:rsidR="002B17BD" w:rsidRPr="00C6734B" w:rsidRDefault="002B17BD" w:rsidP="007F24F0">
            <w:pPr>
              <w:rPr>
                <w:rFonts w:eastAsia="Times New Roman" w:cs="Times New Roman"/>
                <w:sz w:val="22"/>
                <w:szCs w:val="22"/>
              </w:rPr>
            </w:pPr>
          </w:p>
        </w:tc>
        <w:tc>
          <w:tcPr>
            <w:tcW w:w="1800" w:type="dxa"/>
            <w:vMerge/>
            <w:tcBorders>
              <w:left w:val="nil"/>
              <w:bottom w:val="nil"/>
              <w:right w:val="nil"/>
            </w:tcBorders>
            <w:shd w:val="clear" w:color="auto" w:fill="auto"/>
            <w:noWrap/>
            <w:hideMark/>
          </w:tcPr>
          <w:p w14:paraId="66CD28A5"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679D3ED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KANSL1-AS1</w:t>
            </w:r>
          </w:p>
        </w:tc>
        <w:tc>
          <w:tcPr>
            <w:tcW w:w="2340" w:type="dxa"/>
            <w:vMerge/>
            <w:tcBorders>
              <w:left w:val="nil"/>
              <w:bottom w:val="nil"/>
              <w:right w:val="nil"/>
            </w:tcBorders>
            <w:shd w:val="clear" w:color="auto" w:fill="auto"/>
            <w:noWrap/>
            <w:hideMark/>
          </w:tcPr>
          <w:p w14:paraId="1680DCCE" w14:textId="77777777" w:rsidR="002B17BD" w:rsidRPr="00C6734B" w:rsidRDefault="002B17BD" w:rsidP="007F24F0">
            <w:pPr>
              <w:rPr>
                <w:rFonts w:eastAsia="Times New Roman" w:cs="Times New Roman"/>
                <w:color w:val="000000"/>
                <w:sz w:val="22"/>
                <w:szCs w:val="22"/>
              </w:rPr>
            </w:pPr>
          </w:p>
        </w:tc>
      </w:tr>
      <w:tr w:rsidR="002B17BD" w:rsidRPr="00C21483" w14:paraId="2BBD73E7" w14:textId="77777777" w:rsidTr="007F24F0">
        <w:trPr>
          <w:trHeight w:val="300"/>
        </w:trPr>
        <w:tc>
          <w:tcPr>
            <w:tcW w:w="2880" w:type="dxa"/>
            <w:tcBorders>
              <w:top w:val="nil"/>
              <w:left w:val="nil"/>
              <w:bottom w:val="nil"/>
              <w:right w:val="nil"/>
            </w:tcBorders>
            <w:shd w:val="clear" w:color="auto" w:fill="auto"/>
            <w:noWrap/>
            <w:hideMark/>
          </w:tcPr>
          <w:p w14:paraId="674DA566" w14:textId="77777777" w:rsidR="002B17BD" w:rsidRPr="00C6734B" w:rsidRDefault="002B17BD" w:rsidP="007F24F0">
            <w:pPr>
              <w:rPr>
                <w:rFonts w:eastAsia="Times New Roman" w:cs="Times New Roman"/>
                <w:sz w:val="22"/>
                <w:szCs w:val="22"/>
              </w:rPr>
            </w:pPr>
          </w:p>
        </w:tc>
        <w:tc>
          <w:tcPr>
            <w:tcW w:w="2700" w:type="dxa"/>
            <w:tcBorders>
              <w:top w:val="nil"/>
              <w:left w:val="nil"/>
              <w:bottom w:val="nil"/>
              <w:right w:val="nil"/>
            </w:tcBorders>
            <w:shd w:val="clear" w:color="auto" w:fill="auto"/>
            <w:hideMark/>
          </w:tcPr>
          <w:p w14:paraId="28CF2DAC" w14:textId="77777777" w:rsidR="002B17BD" w:rsidRPr="00C6734B" w:rsidRDefault="002B17BD" w:rsidP="007F24F0">
            <w:pPr>
              <w:rPr>
                <w:rFonts w:eastAsia="Times New Roman" w:cs="Times New Roman"/>
                <w:sz w:val="22"/>
                <w:szCs w:val="22"/>
              </w:rPr>
            </w:pPr>
          </w:p>
        </w:tc>
        <w:tc>
          <w:tcPr>
            <w:tcW w:w="1350" w:type="dxa"/>
            <w:tcBorders>
              <w:top w:val="nil"/>
              <w:left w:val="nil"/>
              <w:bottom w:val="nil"/>
              <w:right w:val="nil"/>
            </w:tcBorders>
            <w:shd w:val="clear" w:color="auto" w:fill="auto"/>
            <w:noWrap/>
            <w:hideMark/>
          </w:tcPr>
          <w:p w14:paraId="2F17DD60" w14:textId="77777777" w:rsidR="002B17BD" w:rsidRPr="00C6734B" w:rsidRDefault="002B17BD" w:rsidP="007F24F0">
            <w:pPr>
              <w:rPr>
                <w:rFonts w:eastAsia="Times New Roman" w:cs="Times New Roman"/>
                <w:sz w:val="22"/>
                <w:szCs w:val="22"/>
              </w:rPr>
            </w:pPr>
          </w:p>
        </w:tc>
        <w:tc>
          <w:tcPr>
            <w:tcW w:w="1800" w:type="dxa"/>
            <w:tcBorders>
              <w:top w:val="nil"/>
              <w:left w:val="nil"/>
              <w:bottom w:val="nil"/>
              <w:right w:val="nil"/>
            </w:tcBorders>
            <w:shd w:val="clear" w:color="auto" w:fill="auto"/>
            <w:noWrap/>
            <w:hideMark/>
          </w:tcPr>
          <w:p w14:paraId="41948710"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7A0E4CD2" w14:textId="77777777" w:rsidR="002B17BD" w:rsidRPr="00C6734B" w:rsidRDefault="002B17BD" w:rsidP="007F24F0">
            <w:pPr>
              <w:rPr>
                <w:rFonts w:eastAsia="Times New Roman" w:cs="Times New Roman"/>
                <w:sz w:val="22"/>
                <w:szCs w:val="22"/>
              </w:rPr>
            </w:pPr>
          </w:p>
        </w:tc>
        <w:tc>
          <w:tcPr>
            <w:tcW w:w="2340" w:type="dxa"/>
            <w:tcBorders>
              <w:top w:val="nil"/>
              <w:left w:val="nil"/>
              <w:bottom w:val="nil"/>
              <w:right w:val="nil"/>
            </w:tcBorders>
            <w:shd w:val="clear" w:color="auto" w:fill="auto"/>
            <w:noWrap/>
            <w:hideMark/>
          </w:tcPr>
          <w:p w14:paraId="11A61698" w14:textId="77777777" w:rsidR="002B17BD" w:rsidRPr="00C6734B" w:rsidRDefault="002B17BD" w:rsidP="007F24F0">
            <w:pPr>
              <w:rPr>
                <w:rFonts w:eastAsia="Times New Roman" w:cs="Times New Roman"/>
                <w:sz w:val="22"/>
                <w:szCs w:val="22"/>
              </w:rPr>
            </w:pPr>
          </w:p>
        </w:tc>
      </w:tr>
      <w:tr w:rsidR="002B17BD" w:rsidRPr="00C21483" w14:paraId="7FCEC6ED" w14:textId="77777777" w:rsidTr="007F24F0">
        <w:trPr>
          <w:trHeight w:val="600"/>
        </w:trPr>
        <w:tc>
          <w:tcPr>
            <w:tcW w:w="2880" w:type="dxa"/>
            <w:tcBorders>
              <w:top w:val="nil"/>
              <w:left w:val="nil"/>
              <w:bottom w:val="nil"/>
              <w:right w:val="nil"/>
            </w:tcBorders>
            <w:shd w:val="clear" w:color="auto" w:fill="auto"/>
            <w:hideMark/>
          </w:tcPr>
          <w:p w14:paraId="1E141E9D"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GDS3834 </w:t>
            </w:r>
            <w:r>
              <w:rPr>
                <w:rFonts w:cs="Times New Roman"/>
                <w:shd w:val="clear" w:color="auto" w:fill="FFFFFF"/>
              </w:rPr>
              <w:fldChar w:fldCharType="begin"/>
            </w:r>
            <w:r>
              <w:rPr>
                <w:rFonts w:cs="Times New Roman"/>
                <w:shd w:val="clear" w:color="auto" w:fill="FFFFFF"/>
              </w:rPr>
              <w:instrText xml:space="preserve"> ADDIN ZOTERO_ITEM CSL_CITATION {"citationID":"iccbCWEu","properties":{"formattedCitation":"\\super 4\\nosupersub{}","plainCitation":"4","noteIndex":0},"citationItems":[{"id":28823,"uris":["http://zotero.org/users/1314866/items/L4C4E5EE"],"itemData":{"id":28823,"type":"article-journal","abstract":"Background\nHousekeeping genes (HKG) are constitutively expressed in all tissues while tissue-enriched genes (TEG) are expressed at a much higher level in a single tissue type than in others. HKGs serve as valuable experimental controls in gene and protein expression experiments, while TEGs tend to represent distinct physiological processes and are frequently candidates for biomarkers or drug targets. The genomic features of these two groups of genes expressed in opposing patterns may shed light on the mechanisms by which cells maintain basic and tissue-specific functions.\n\nResults\nHere, we generate gene expression profiles of 42 normal human tissues on custom high-density microarrays to systematically identify 1,522 HKGs and 975 TEGs and compile a small subset of 20 housekeeping genes which are highly expressed in all tissues with lower variance than many commonly used HKGs. Cross-species comparison shows that both the functions and expression patterns of HKGs are conserved. TEGs are enriched with respect to both segmental duplication and copy number variation, while no such enrichment is observed for HKGs, suggesting the high expression of HKGs are not due to high copy numbers. Analysis of genomic and epigenetic features of HKGs and TEGs reveals that the high expression of HKGs across different tissues is associated with decreased nucleosome occupancy at the transcription start site as indicated by enhanced DNase hypersensitivity. Additionally, we systematically and quantitatively demonstrated that the CpG islands' enrichment in HKGs transcription start sites (TSS) and their depletion in TEGs TSS. Histone methylation patterns differ significantly between HKGs and TEGs, suggesting that methylation contributes to the differential expression patterns as well.\n\nConclusion\nWe have compiled a set of high quality HKGs that should provide higher and more consistent expression when used as references in laboratory experiments than currently used HKGs. The comparison of genomic features between HKGs and TEGs shows that HKGs are more conserved than TEGs in terms of functions, expression pattern and polymorphisms. In addition, our results identify chromatin structure and epigenetic features of HKGs and TEGs that are likely to play an important role in regulating their strikingly different expression patterns.","container-title":"BMC Genomics","DOI":"10.1186/1471-2164-10-269","ISSN":"1471-2164","journalAbbreviation":"BMC Genomics","note":"PMID: 19534766\nPMCID: PMC2706266","page":"269","source":"PubMed Central","title":"Definition, conservation and epigenetics of housekeeping and tissue-enriched genes","volume":"10","author":[{"family":"She","given":"Xinwei"},{"family":"Rohl","given":"Carol A"},{"family":"Castle","given":"John C"},{"family":"Kulkarni","given":"Amit V"},{"family":"Johnson","given":"Jason M"},{"family":"Chen","given":"Ronghua"}],"issued":{"date-parts":[["2009",6,17]]},"citation-key":"sheDefinitionConservationEpigenetics2009"}}],"schema":"https://github.com/citation-style-language/schema/raw/master/csl-citation.json"}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4</w:t>
            </w:r>
            <w:r>
              <w:rPr>
                <w:rFonts w:cs="Times New Roman"/>
                <w:shd w:val="clear" w:color="auto" w:fill="FFFFFF"/>
              </w:rPr>
              <w:fldChar w:fldCharType="end"/>
            </w:r>
            <w:r>
              <w:rPr>
                <w:rFonts w:cs="Times New Roman"/>
                <w:shd w:val="clear" w:color="auto" w:fill="FFFFFF"/>
              </w:rPr>
              <w:t xml:space="preserve"> </w:t>
            </w:r>
            <w:r w:rsidRPr="00C6734B">
              <w:rPr>
                <w:rFonts w:eastAsia="Times New Roman" w:cs="Times New Roman"/>
                <w:color w:val="000000"/>
                <w:sz w:val="22"/>
                <w:szCs w:val="22"/>
              </w:rPr>
              <w:t xml:space="preserve">- </w:t>
            </w:r>
            <w:r w:rsidRPr="00C6734B">
              <w:rPr>
                <w:rFonts w:eastAsia="Times New Roman" w:cs="Times New Roman"/>
                <w:color w:val="000000"/>
                <w:sz w:val="22"/>
                <w:szCs w:val="22"/>
              </w:rPr>
              <w:br/>
              <w:t>Multiple normal tissues</w:t>
            </w:r>
          </w:p>
        </w:tc>
        <w:tc>
          <w:tcPr>
            <w:tcW w:w="2700" w:type="dxa"/>
            <w:tcBorders>
              <w:top w:val="nil"/>
              <w:left w:val="nil"/>
              <w:bottom w:val="nil"/>
              <w:right w:val="nil"/>
            </w:tcBorders>
            <w:shd w:val="clear" w:color="auto" w:fill="auto"/>
            <w:noWrap/>
            <w:hideMark/>
          </w:tcPr>
          <w:p w14:paraId="04E741A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Rosetta Human Gene Expression Array</w:t>
            </w:r>
          </w:p>
        </w:tc>
        <w:tc>
          <w:tcPr>
            <w:tcW w:w="1350" w:type="dxa"/>
            <w:tcBorders>
              <w:top w:val="nil"/>
              <w:left w:val="nil"/>
              <w:bottom w:val="nil"/>
              <w:right w:val="nil"/>
            </w:tcBorders>
            <w:shd w:val="clear" w:color="auto" w:fill="auto"/>
            <w:noWrap/>
            <w:hideMark/>
          </w:tcPr>
          <w:p w14:paraId="36CD9A1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42</w:t>
            </w:r>
          </w:p>
        </w:tc>
        <w:tc>
          <w:tcPr>
            <w:tcW w:w="1800" w:type="dxa"/>
            <w:tcBorders>
              <w:top w:val="nil"/>
              <w:left w:val="nil"/>
              <w:bottom w:val="nil"/>
              <w:right w:val="nil"/>
            </w:tcBorders>
            <w:shd w:val="clear" w:color="auto" w:fill="auto"/>
            <w:noWrap/>
            <w:hideMark/>
          </w:tcPr>
          <w:p w14:paraId="089D9E6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Tissue</w:t>
            </w:r>
          </w:p>
        </w:tc>
        <w:tc>
          <w:tcPr>
            <w:tcW w:w="1980" w:type="dxa"/>
            <w:tcBorders>
              <w:top w:val="nil"/>
              <w:left w:val="nil"/>
              <w:bottom w:val="nil"/>
              <w:right w:val="nil"/>
            </w:tcBorders>
            <w:shd w:val="clear" w:color="auto" w:fill="auto"/>
            <w:noWrap/>
            <w:hideMark/>
          </w:tcPr>
          <w:p w14:paraId="21D2AFC9"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tcBorders>
              <w:top w:val="nil"/>
              <w:left w:val="nil"/>
              <w:bottom w:val="nil"/>
              <w:right w:val="nil"/>
            </w:tcBorders>
            <w:shd w:val="clear" w:color="auto" w:fill="auto"/>
            <w:hideMark/>
          </w:tcPr>
          <w:p w14:paraId="2AAE67BF"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Slight downregulation compared to tissue average</w:t>
            </w:r>
          </w:p>
        </w:tc>
      </w:tr>
      <w:tr w:rsidR="002B17BD" w:rsidRPr="00C21483" w14:paraId="38CBF223" w14:textId="77777777" w:rsidTr="007F24F0">
        <w:trPr>
          <w:trHeight w:val="300"/>
        </w:trPr>
        <w:tc>
          <w:tcPr>
            <w:tcW w:w="2880" w:type="dxa"/>
            <w:tcBorders>
              <w:top w:val="nil"/>
              <w:left w:val="nil"/>
              <w:right w:val="nil"/>
            </w:tcBorders>
            <w:shd w:val="clear" w:color="auto" w:fill="auto"/>
            <w:noWrap/>
            <w:hideMark/>
          </w:tcPr>
          <w:p w14:paraId="3AB2694F" w14:textId="77777777" w:rsidR="002B17BD" w:rsidRPr="00C6734B" w:rsidRDefault="002B17BD" w:rsidP="007F24F0">
            <w:pPr>
              <w:rPr>
                <w:rFonts w:eastAsia="Times New Roman" w:cs="Times New Roman"/>
                <w:color w:val="000000"/>
                <w:sz w:val="22"/>
                <w:szCs w:val="22"/>
              </w:rPr>
            </w:pPr>
          </w:p>
        </w:tc>
        <w:tc>
          <w:tcPr>
            <w:tcW w:w="2700" w:type="dxa"/>
            <w:tcBorders>
              <w:top w:val="nil"/>
              <w:left w:val="nil"/>
              <w:right w:val="nil"/>
            </w:tcBorders>
            <w:shd w:val="clear" w:color="auto" w:fill="auto"/>
            <w:hideMark/>
          </w:tcPr>
          <w:p w14:paraId="697ED53C" w14:textId="77777777" w:rsidR="002B17BD" w:rsidRPr="00C6734B" w:rsidRDefault="002B17BD" w:rsidP="007F24F0">
            <w:pPr>
              <w:rPr>
                <w:rFonts w:eastAsia="Times New Roman" w:cs="Times New Roman"/>
                <w:sz w:val="22"/>
                <w:szCs w:val="22"/>
              </w:rPr>
            </w:pPr>
          </w:p>
        </w:tc>
        <w:tc>
          <w:tcPr>
            <w:tcW w:w="1350" w:type="dxa"/>
            <w:tcBorders>
              <w:top w:val="nil"/>
              <w:left w:val="nil"/>
              <w:right w:val="nil"/>
            </w:tcBorders>
            <w:shd w:val="clear" w:color="auto" w:fill="auto"/>
            <w:noWrap/>
            <w:hideMark/>
          </w:tcPr>
          <w:p w14:paraId="41C76152" w14:textId="77777777" w:rsidR="002B17BD" w:rsidRPr="00C6734B" w:rsidRDefault="002B17BD" w:rsidP="007F24F0">
            <w:pPr>
              <w:rPr>
                <w:rFonts w:eastAsia="Times New Roman" w:cs="Times New Roman"/>
                <w:sz w:val="22"/>
                <w:szCs w:val="22"/>
              </w:rPr>
            </w:pPr>
          </w:p>
        </w:tc>
        <w:tc>
          <w:tcPr>
            <w:tcW w:w="1800" w:type="dxa"/>
            <w:tcBorders>
              <w:top w:val="nil"/>
              <w:left w:val="nil"/>
              <w:right w:val="nil"/>
            </w:tcBorders>
            <w:shd w:val="clear" w:color="auto" w:fill="auto"/>
            <w:noWrap/>
            <w:hideMark/>
          </w:tcPr>
          <w:p w14:paraId="18ED70AA" w14:textId="77777777" w:rsidR="002B17BD" w:rsidRPr="00C6734B" w:rsidRDefault="002B17BD" w:rsidP="007F24F0">
            <w:pPr>
              <w:rPr>
                <w:rFonts w:eastAsia="Times New Roman" w:cs="Times New Roman"/>
                <w:sz w:val="22"/>
                <w:szCs w:val="22"/>
              </w:rPr>
            </w:pPr>
          </w:p>
        </w:tc>
        <w:tc>
          <w:tcPr>
            <w:tcW w:w="1980" w:type="dxa"/>
            <w:tcBorders>
              <w:top w:val="nil"/>
              <w:left w:val="nil"/>
              <w:right w:val="nil"/>
            </w:tcBorders>
            <w:shd w:val="clear" w:color="auto" w:fill="auto"/>
            <w:noWrap/>
            <w:hideMark/>
          </w:tcPr>
          <w:p w14:paraId="6807F67B" w14:textId="77777777" w:rsidR="002B17BD" w:rsidRPr="00C6734B" w:rsidRDefault="002B17BD" w:rsidP="007F24F0">
            <w:pPr>
              <w:rPr>
                <w:rFonts w:eastAsia="Times New Roman" w:cs="Times New Roman"/>
                <w:sz w:val="22"/>
                <w:szCs w:val="22"/>
              </w:rPr>
            </w:pPr>
          </w:p>
        </w:tc>
        <w:tc>
          <w:tcPr>
            <w:tcW w:w="2340" w:type="dxa"/>
            <w:tcBorders>
              <w:top w:val="nil"/>
              <w:left w:val="nil"/>
              <w:right w:val="nil"/>
            </w:tcBorders>
            <w:shd w:val="clear" w:color="auto" w:fill="auto"/>
            <w:noWrap/>
            <w:hideMark/>
          </w:tcPr>
          <w:p w14:paraId="1487CCE4" w14:textId="77777777" w:rsidR="002B17BD" w:rsidRPr="00C6734B" w:rsidRDefault="002B17BD" w:rsidP="007F24F0">
            <w:pPr>
              <w:rPr>
                <w:rFonts w:eastAsia="Times New Roman" w:cs="Times New Roman"/>
                <w:sz w:val="22"/>
                <w:szCs w:val="22"/>
              </w:rPr>
            </w:pPr>
          </w:p>
        </w:tc>
      </w:tr>
      <w:tr w:rsidR="002B17BD" w:rsidRPr="000A16BA" w14:paraId="18C15570" w14:textId="77777777" w:rsidTr="007F24F0">
        <w:trPr>
          <w:trHeight w:val="405"/>
        </w:trPr>
        <w:tc>
          <w:tcPr>
            <w:tcW w:w="2880" w:type="dxa"/>
            <w:vMerge w:val="restart"/>
            <w:tcBorders>
              <w:top w:val="nil"/>
              <w:left w:val="nil"/>
              <w:right w:val="nil"/>
            </w:tcBorders>
            <w:shd w:val="clear" w:color="auto" w:fill="auto"/>
            <w:hideMark/>
          </w:tcPr>
          <w:p w14:paraId="0315021C"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GDS4037 </w:t>
            </w:r>
            <w:r>
              <w:rPr>
                <w:rFonts w:cs="Times New Roman"/>
                <w:shd w:val="clear" w:color="auto" w:fill="FFFFFF"/>
              </w:rPr>
              <w:fldChar w:fldCharType="begin"/>
            </w:r>
            <w:r>
              <w:rPr>
                <w:rFonts w:cs="Times New Roman"/>
                <w:shd w:val="clear" w:color="auto" w:fill="FFFFFF"/>
              </w:rPr>
              <w:instrText xml:space="preserve"> ADDIN ZOTERO_ITEM CSL_CITATION {"citationID":"Q9rzs9Eq","properties":{"formattedCitation":"\\super 5\\nosupersub{}","plainCitation":"5","noteIndex":0},"citationItems":[{"id":28820,"uris":["http://zotero.org/users/1314866/items/W8I7R6HM"],"itemData":{"id":28820,"type":"article-journal","abstract":"We used the whole genome approach to identify major functional categories of genes whose expression depends on gestational age. Using microarray analysis, we compared gene expression profiles in the villous tissues of 1st (45-59 days) and 2nd trimester (109-115 days) placentae versus C-section term placentae. We found that in 1st trimester placentae, genes related to cell cycle, DNA, amino acids, and carbohydrate metabolism were significantly overrepresented, while genes related to signal transduction were underrepresented. Among genes involved in organism defense, we identified genes involved in chemical response, metabolism, and transport. Analysis of signal transduction pathways suggested, and subsequently confirmed independently, that the Wnt pathway was changed with gestational age leading to inhibition of β-catenin protein expression. Our study will serve as a reference database to gain insight into the regulation of gene expression in the developing placentae and to compare with gene expression in placentae from complicated pregnancies.","container-title":"Reproductive sciences (Thousand Oaks, Calif.)","DOI":"10.1177/1933719108322425","ISSN":"1933-7191","issue":"9","journalAbbreviation":"Reprod Sci","note":"PMID: 19050320\nPMCID: PMC2702165","page":"866-877","source":"PubMed Central","title":"Profiling Gene Expression in Human Placentae of Different Gestational Ages: an OPRU Network and UW SCOR Study","title-short":"Profiling Gene Expression in Human Placentae of Different Gestational Ages","volume":"15","author":[{"family":"Mikheev","given":"Andrei M."},{"family":"Nabekura","given":"Tomohiro"},{"family":"Kaddoumi","given":"Amal"},{"family":"Bammler","given":"Theo K."},{"family":"Govindarajan","given":"Rajgopal"},{"family":"Hebert","given":"Mary F."},{"family":"Unadkat","given":"Jashvant D."}],"issued":{"date-parts":[["2008",11]]},"citation-key":"mikheevProfilingGeneExpression2008"}}],"schema":"https://github.com/citation-style-language/schema/raw/master/csl-citation.json"}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5</w:t>
            </w:r>
            <w:r>
              <w:rPr>
                <w:rFonts w:cs="Times New Roman"/>
                <w:shd w:val="clear" w:color="auto" w:fill="FFFFFF"/>
              </w:rPr>
              <w:fldChar w:fldCharType="end"/>
            </w:r>
            <w:r>
              <w:rPr>
                <w:rFonts w:cs="Times New Roman"/>
                <w:shd w:val="clear" w:color="auto" w:fill="FFFFFF"/>
              </w:rPr>
              <w:t xml:space="preserve"> </w:t>
            </w:r>
            <w:r w:rsidRPr="00C6734B">
              <w:rPr>
                <w:rFonts w:eastAsia="Times New Roman" w:cs="Times New Roman"/>
                <w:color w:val="000000"/>
                <w:sz w:val="22"/>
                <w:szCs w:val="22"/>
              </w:rPr>
              <w:t xml:space="preserve">- </w:t>
            </w:r>
            <w:r w:rsidRPr="00C6734B">
              <w:rPr>
                <w:rFonts w:eastAsia="Times New Roman" w:cs="Times New Roman"/>
                <w:color w:val="000000"/>
                <w:sz w:val="22"/>
                <w:szCs w:val="22"/>
              </w:rPr>
              <w:br/>
              <w:t>Normal placentae at first-trimester, second-trimester, and term</w:t>
            </w:r>
          </w:p>
        </w:tc>
        <w:tc>
          <w:tcPr>
            <w:tcW w:w="2700" w:type="dxa"/>
            <w:vMerge w:val="restart"/>
            <w:tcBorders>
              <w:top w:val="nil"/>
              <w:left w:val="nil"/>
              <w:right w:val="nil"/>
            </w:tcBorders>
            <w:shd w:val="clear" w:color="auto" w:fill="auto"/>
            <w:noWrap/>
            <w:hideMark/>
          </w:tcPr>
          <w:p w14:paraId="57FE940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Affymetrix Human Genome U133 Plus 2.0 Array</w:t>
            </w:r>
          </w:p>
        </w:tc>
        <w:tc>
          <w:tcPr>
            <w:tcW w:w="1350" w:type="dxa"/>
            <w:vMerge w:val="restart"/>
            <w:tcBorders>
              <w:top w:val="nil"/>
              <w:left w:val="nil"/>
              <w:right w:val="nil"/>
            </w:tcBorders>
            <w:shd w:val="clear" w:color="auto" w:fill="auto"/>
            <w:noWrap/>
            <w:hideMark/>
          </w:tcPr>
          <w:p w14:paraId="5C81E906"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12</w:t>
            </w:r>
          </w:p>
        </w:tc>
        <w:tc>
          <w:tcPr>
            <w:tcW w:w="1800" w:type="dxa"/>
            <w:vMerge w:val="restart"/>
            <w:tcBorders>
              <w:top w:val="nil"/>
              <w:left w:val="nil"/>
              <w:right w:val="nil"/>
            </w:tcBorders>
            <w:shd w:val="clear" w:color="auto" w:fill="auto"/>
            <w:hideMark/>
          </w:tcPr>
          <w:p w14:paraId="7ED56E2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First trimester, second trimester, term placenta</w:t>
            </w:r>
          </w:p>
        </w:tc>
        <w:tc>
          <w:tcPr>
            <w:tcW w:w="1980" w:type="dxa"/>
            <w:tcBorders>
              <w:top w:val="nil"/>
              <w:left w:val="nil"/>
              <w:bottom w:val="nil"/>
              <w:right w:val="nil"/>
            </w:tcBorders>
            <w:shd w:val="clear" w:color="auto" w:fill="auto"/>
            <w:noWrap/>
            <w:hideMark/>
          </w:tcPr>
          <w:p w14:paraId="5CEFF2B6"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tcBorders>
              <w:top w:val="nil"/>
              <w:left w:val="nil"/>
              <w:bottom w:val="nil"/>
              <w:right w:val="nil"/>
            </w:tcBorders>
            <w:shd w:val="clear" w:color="auto" w:fill="auto"/>
            <w:noWrap/>
            <w:hideMark/>
          </w:tcPr>
          <w:p w14:paraId="7C3F0575"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Elevated at term </w:t>
            </w:r>
          </w:p>
        </w:tc>
      </w:tr>
      <w:tr w:rsidR="002B17BD" w:rsidRPr="000A16BA" w14:paraId="153A1E0B" w14:textId="77777777" w:rsidTr="007F24F0">
        <w:trPr>
          <w:trHeight w:val="360"/>
        </w:trPr>
        <w:tc>
          <w:tcPr>
            <w:tcW w:w="2880" w:type="dxa"/>
            <w:vMerge/>
            <w:tcBorders>
              <w:left w:val="nil"/>
              <w:right w:val="nil"/>
            </w:tcBorders>
            <w:shd w:val="clear" w:color="auto" w:fill="auto"/>
            <w:hideMark/>
          </w:tcPr>
          <w:p w14:paraId="4BF76DF2"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noWrap/>
            <w:hideMark/>
          </w:tcPr>
          <w:p w14:paraId="6E41C8F5"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6CC75C5B"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hideMark/>
          </w:tcPr>
          <w:p w14:paraId="372F0AEA"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22C29697"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EPB41L4A-AS1</w:t>
            </w:r>
          </w:p>
        </w:tc>
        <w:tc>
          <w:tcPr>
            <w:tcW w:w="2340" w:type="dxa"/>
            <w:tcBorders>
              <w:top w:val="nil"/>
              <w:left w:val="nil"/>
              <w:bottom w:val="nil"/>
              <w:right w:val="nil"/>
            </w:tcBorders>
            <w:shd w:val="clear" w:color="auto" w:fill="auto"/>
            <w:noWrap/>
            <w:hideMark/>
          </w:tcPr>
          <w:p w14:paraId="1E17E1B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Slight decrease at term</w:t>
            </w:r>
          </w:p>
        </w:tc>
      </w:tr>
      <w:tr w:rsidR="002B17BD" w:rsidRPr="000A16BA" w14:paraId="6B82182D" w14:textId="77777777" w:rsidTr="007F24F0">
        <w:trPr>
          <w:trHeight w:val="360"/>
        </w:trPr>
        <w:tc>
          <w:tcPr>
            <w:tcW w:w="2880" w:type="dxa"/>
            <w:vMerge/>
            <w:tcBorders>
              <w:left w:val="nil"/>
              <w:right w:val="nil"/>
            </w:tcBorders>
            <w:shd w:val="clear" w:color="auto" w:fill="auto"/>
            <w:hideMark/>
          </w:tcPr>
          <w:p w14:paraId="719F3E32"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noWrap/>
            <w:hideMark/>
          </w:tcPr>
          <w:p w14:paraId="0521F8D5"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0353AFD1"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hideMark/>
          </w:tcPr>
          <w:p w14:paraId="3C8C8D63"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7718EC1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tcBorders>
              <w:top w:val="nil"/>
              <w:left w:val="nil"/>
              <w:bottom w:val="nil"/>
              <w:right w:val="nil"/>
            </w:tcBorders>
            <w:shd w:val="clear" w:color="auto" w:fill="auto"/>
            <w:noWrap/>
            <w:hideMark/>
          </w:tcPr>
          <w:p w14:paraId="122689D3"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Decrease at term</w:t>
            </w:r>
          </w:p>
        </w:tc>
      </w:tr>
      <w:tr w:rsidR="002B17BD" w:rsidRPr="000A16BA" w14:paraId="4BBB8E68" w14:textId="77777777" w:rsidTr="007F24F0">
        <w:trPr>
          <w:trHeight w:val="540"/>
        </w:trPr>
        <w:tc>
          <w:tcPr>
            <w:tcW w:w="2880" w:type="dxa"/>
            <w:vMerge/>
            <w:tcBorders>
              <w:left w:val="nil"/>
              <w:bottom w:val="single" w:sz="4" w:space="0" w:color="auto"/>
              <w:right w:val="nil"/>
            </w:tcBorders>
            <w:shd w:val="clear" w:color="auto" w:fill="auto"/>
            <w:hideMark/>
          </w:tcPr>
          <w:p w14:paraId="78E65CD9" w14:textId="77777777" w:rsidR="002B17BD" w:rsidRPr="00C6734B" w:rsidRDefault="002B17BD" w:rsidP="007F24F0">
            <w:pPr>
              <w:rPr>
                <w:rFonts w:eastAsia="Times New Roman" w:cs="Times New Roman"/>
                <w:color w:val="000000"/>
                <w:sz w:val="22"/>
                <w:szCs w:val="22"/>
              </w:rPr>
            </w:pPr>
          </w:p>
        </w:tc>
        <w:tc>
          <w:tcPr>
            <w:tcW w:w="2700" w:type="dxa"/>
            <w:vMerge/>
            <w:tcBorders>
              <w:left w:val="nil"/>
              <w:bottom w:val="single" w:sz="4" w:space="0" w:color="auto"/>
              <w:right w:val="nil"/>
            </w:tcBorders>
            <w:shd w:val="clear" w:color="auto" w:fill="auto"/>
            <w:noWrap/>
            <w:hideMark/>
          </w:tcPr>
          <w:p w14:paraId="3884DD41" w14:textId="77777777" w:rsidR="002B17BD" w:rsidRPr="00C6734B" w:rsidRDefault="002B17BD" w:rsidP="007F24F0">
            <w:pPr>
              <w:rPr>
                <w:rFonts w:eastAsia="Times New Roman" w:cs="Times New Roman"/>
                <w:sz w:val="22"/>
                <w:szCs w:val="22"/>
              </w:rPr>
            </w:pPr>
          </w:p>
        </w:tc>
        <w:tc>
          <w:tcPr>
            <w:tcW w:w="1350" w:type="dxa"/>
            <w:vMerge/>
            <w:tcBorders>
              <w:left w:val="nil"/>
              <w:bottom w:val="single" w:sz="4" w:space="0" w:color="auto"/>
              <w:right w:val="nil"/>
            </w:tcBorders>
            <w:shd w:val="clear" w:color="auto" w:fill="auto"/>
            <w:noWrap/>
            <w:hideMark/>
          </w:tcPr>
          <w:p w14:paraId="5C28DA28" w14:textId="77777777" w:rsidR="002B17BD" w:rsidRPr="00C6734B" w:rsidRDefault="002B17BD" w:rsidP="007F24F0">
            <w:pPr>
              <w:rPr>
                <w:rFonts w:eastAsia="Times New Roman" w:cs="Times New Roman"/>
                <w:sz w:val="22"/>
                <w:szCs w:val="22"/>
              </w:rPr>
            </w:pPr>
          </w:p>
        </w:tc>
        <w:tc>
          <w:tcPr>
            <w:tcW w:w="1800" w:type="dxa"/>
            <w:vMerge/>
            <w:tcBorders>
              <w:left w:val="nil"/>
              <w:bottom w:val="single" w:sz="4" w:space="0" w:color="auto"/>
              <w:right w:val="nil"/>
            </w:tcBorders>
            <w:shd w:val="clear" w:color="auto" w:fill="auto"/>
            <w:hideMark/>
          </w:tcPr>
          <w:p w14:paraId="26461EAD" w14:textId="77777777" w:rsidR="002B17BD" w:rsidRPr="00C6734B" w:rsidRDefault="002B17BD" w:rsidP="007F24F0">
            <w:pPr>
              <w:rPr>
                <w:rFonts w:eastAsia="Times New Roman" w:cs="Times New Roman"/>
                <w:sz w:val="22"/>
                <w:szCs w:val="22"/>
              </w:rPr>
            </w:pPr>
          </w:p>
        </w:tc>
        <w:tc>
          <w:tcPr>
            <w:tcW w:w="1980" w:type="dxa"/>
            <w:tcBorders>
              <w:top w:val="nil"/>
              <w:left w:val="nil"/>
              <w:bottom w:val="single" w:sz="4" w:space="0" w:color="auto"/>
              <w:right w:val="nil"/>
            </w:tcBorders>
            <w:shd w:val="clear" w:color="auto" w:fill="auto"/>
            <w:noWrap/>
            <w:hideMark/>
          </w:tcPr>
          <w:p w14:paraId="6B13AD2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KANSL1-AS1</w:t>
            </w:r>
          </w:p>
        </w:tc>
        <w:tc>
          <w:tcPr>
            <w:tcW w:w="2340" w:type="dxa"/>
            <w:tcBorders>
              <w:top w:val="nil"/>
              <w:left w:val="nil"/>
              <w:bottom w:val="single" w:sz="4" w:space="0" w:color="auto"/>
              <w:right w:val="nil"/>
            </w:tcBorders>
            <w:shd w:val="clear" w:color="auto" w:fill="auto"/>
            <w:noWrap/>
            <w:hideMark/>
          </w:tcPr>
          <w:p w14:paraId="6CE5ECD5"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Relatively similar across pregnancy</w:t>
            </w:r>
          </w:p>
        </w:tc>
      </w:tr>
      <w:tr w:rsidR="002B17BD" w:rsidRPr="007F24F0" w14:paraId="0BA70679" w14:textId="77777777" w:rsidTr="007F24F0">
        <w:trPr>
          <w:trHeight w:val="300"/>
        </w:trPr>
        <w:tc>
          <w:tcPr>
            <w:tcW w:w="13050" w:type="dxa"/>
            <w:gridSpan w:val="6"/>
            <w:tcBorders>
              <w:top w:val="single" w:sz="4" w:space="0" w:color="auto"/>
              <w:left w:val="nil"/>
              <w:bottom w:val="single" w:sz="4" w:space="0" w:color="auto"/>
              <w:right w:val="nil"/>
            </w:tcBorders>
            <w:shd w:val="clear" w:color="auto" w:fill="auto"/>
            <w:noWrap/>
            <w:hideMark/>
          </w:tcPr>
          <w:p w14:paraId="7552FC54"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b/>
                <w:bCs/>
                <w:color w:val="000000"/>
                <w:sz w:val="22"/>
                <w:szCs w:val="22"/>
              </w:rPr>
              <w:lastRenderedPageBreak/>
              <w:t>Supplemental Table 2</w:t>
            </w:r>
            <w:r w:rsidRPr="007F24F0">
              <w:rPr>
                <w:rFonts w:eastAsia="Times New Roman" w:cs="Times New Roman"/>
                <w:color w:val="000000"/>
                <w:sz w:val="22"/>
                <w:szCs w:val="22"/>
              </w:rPr>
              <w:t>:  Comparison of lncRNA findings to other placental tissue databases</w:t>
            </w:r>
            <w:r>
              <w:rPr>
                <w:rFonts w:eastAsia="Times New Roman" w:cs="Times New Roman"/>
                <w:color w:val="000000"/>
                <w:sz w:val="22"/>
                <w:szCs w:val="22"/>
              </w:rPr>
              <w:t xml:space="preserve"> (continued)</w:t>
            </w:r>
          </w:p>
        </w:tc>
      </w:tr>
      <w:tr w:rsidR="002B17BD" w:rsidRPr="007F24F0" w14:paraId="25BCF701" w14:textId="77777777" w:rsidTr="007F24F0">
        <w:trPr>
          <w:trHeight w:val="503"/>
        </w:trPr>
        <w:tc>
          <w:tcPr>
            <w:tcW w:w="2880" w:type="dxa"/>
            <w:tcBorders>
              <w:top w:val="nil"/>
              <w:left w:val="nil"/>
              <w:bottom w:val="single" w:sz="4" w:space="0" w:color="auto"/>
              <w:right w:val="nil"/>
            </w:tcBorders>
            <w:shd w:val="clear" w:color="auto" w:fill="auto"/>
            <w:noWrap/>
            <w:vAlign w:val="bottom"/>
            <w:hideMark/>
          </w:tcPr>
          <w:p w14:paraId="21B00F6C"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GEO Database / Profile</w:t>
            </w:r>
          </w:p>
        </w:tc>
        <w:tc>
          <w:tcPr>
            <w:tcW w:w="2700" w:type="dxa"/>
            <w:tcBorders>
              <w:top w:val="nil"/>
              <w:left w:val="nil"/>
              <w:bottom w:val="single" w:sz="4" w:space="0" w:color="auto"/>
              <w:right w:val="nil"/>
            </w:tcBorders>
            <w:shd w:val="clear" w:color="auto" w:fill="auto"/>
            <w:noWrap/>
            <w:vAlign w:val="bottom"/>
            <w:hideMark/>
          </w:tcPr>
          <w:p w14:paraId="7A4C764D"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Testing Platform</w:t>
            </w:r>
          </w:p>
        </w:tc>
        <w:tc>
          <w:tcPr>
            <w:tcW w:w="1350" w:type="dxa"/>
            <w:tcBorders>
              <w:top w:val="nil"/>
              <w:left w:val="nil"/>
              <w:bottom w:val="single" w:sz="4" w:space="0" w:color="auto"/>
              <w:right w:val="nil"/>
            </w:tcBorders>
            <w:shd w:val="clear" w:color="auto" w:fill="auto"/>
            <w:noWrap/>
            <w:vAlign w:val="bottom"/>
            <w:hideMark/>
          </w:tcPr>
          <w:p w14:paraId="62636088"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Samples</w:t>
            </w:r>
          </w:p>
        </w:tc>
        <w:tc>
          <w:tcPr>
            <w:tcW w:w="1800" w:type="dxa"/>
            <w:tcBorders>
              <w:top w:val="nil"/>
              <w:left w:val="nil"/>
              <w:bottom w:val="single" w:sz="4" w:space="0" w:color="auto"/>
              <w:right w:val="nil"/>
            </w:tcBorders>
            <w:shd w:val="clear" w:color="auto" w:fill="auto"/>
            <w:vAlign w:val="bottom"/>
            <w:hideMark/>
          </w:tcPr>
          <w:p w14:paraId="197B254A"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 xml:space="preserve">Study </w:t>
            </w:r>
            <w:r w:rsidRPr="007F24F0">
              <w:rPr>
                <w:rFonts w:eastAsia="Times New Roman" w:cs="Times New Roman"/>
                <w:color w:val="000000"/>
                <w:sz w:val="22"/>
                <w:szCs w:val="22"/>
              </w:rPr>
              <w:br/>
              <w:t>Comparisons</w:t>
            </w:r>
          </w:p>
        </w:tc>
        <w:tc>
          <w:tcPr>
            <w:tcW w:w="1980" w:type="dxa"/>
            <w:tcBorders>
              <w:top w:val="nil"/>
              <w:left w:val="nil"/>
              <w:bottom w:val="single" w:sz="4" w:space="0" w:color="auto"/>
              <w:right w:val="nil"/>
            </w:tcBorders>
            <w:shd w:val="clear" w:color="auto" w:fill="auto"/>
            <w:vAlign w:val="bottom"/>
            <w:hideMark/>
          </w:tcPr>
          <w:p w14:paraId="2452403B"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Transcript</w:t>
            </w:r>
            <w:r w:rsidRPr="00C21483">
              <w:rPr>
                <w:rFonts w:eastAsia="Times New Roman" w:cs="Times New Roman"/>
                <w:color w:val="000000"/>
                <w:sz w:val="22"/>
                <w:szCs w:val="22"/>
              </w:rPr>
              <w:t>(s)</w:t>
            </w:r>
          </w:p>
        </w:tc>
        <w:tc>
          <w:tcPr>
            <w:tcW w:w="2340" w:type="dxa"/>
            <w:tcBorders>
              <w:top w:val="nil"/>
              <w:left w:val="nil"/>
              <w:bottom w:val="single" w:sz="4" w:space="0" w:color="auto"/>
              <w:right w:val="nil"/>
            </w:tcBorders>
            <w:shd w:val="clear" w:color="auto" w:fill="auto"/>
            <w:noWrap/>
            <w:vAlign w:val="bottom"/>
            <w:hideMark/>
          </w:tcPr>
          <w:p w14:paraId="0276E1B1" w14:textId="77777777" w:rsidR="002B17BD" w:rsidRPr="007F24F0" w:rsidRDefault="002B17BD" w:rsidP="007F24F0">
            <w:pPr>
              <w:rPr>
                <w:rFonts w:eastAsia="Times New Roman" w:cs="Times New Roman"/>
                <w:color w:val="000000"/>
                <w:sz w:val="22"/>
                <w:szCs w:val="22"/>
              </w:rPr>
            </w:pPr>
            <w:r w:rsidRPr="007F24F0">
              <w:rPr>
                <w:rFonts w:eastAsia="Times New Roman" w:cs="Times New Roman"/>
                <w:color w:val="000000"/>
                <w:sz w:val="22"/>
                <w:szCs w:val="22"/>
              </w:rPr>
              <w:t>Results</w:t>
            </w:r>
          </w:p>
        </w:tc>
      </w:tr>
      <w:tr w:rsidR="002B17BD" w:rsidRPr="000A16BA" w14:paraId="272F81AB" w14:textId="77777777" w:rsidTr="007F24F0">
        <w:trPr>
          <w:trHeight w:val="378"/>
        </w:trPr>
        <w:tc>
          <w:tcPr>
            <w:tcW w:w="2880" w:type="dxa"/>
            <w:vMerge w:val="restart"/>
            <w:tcBorders>
              <w:top w:val="nil"/>
              <w:left w:val="nil"/>
              <w:right w:val="nil"/>
            </w:tcBorders>
            <w:shd w:val="clear" w:color="auto" w:fill="auto"/>
            <w:hideMark/>
          </w:tcPr>
          <w:p w14:paraId="5D5CA19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GD2990</w:t>
            </w:r>
            <w:r>
              <w:rPr>
                <w:rFonts w:eastAsia="Times New Roman" w:cs="Times New Roman"/>
                <w:color w:val="000000"/>
                <w:sz w:val="22"/>
                <w:szCs w:val="22"/>
              </w:rPr>
              <w:t xml:space="preserve"> </w:t>
            </w:r>
            <w:r>
              <w:rPr>
                <w:rFonts w:cs="Times New Roman"/>
                <w:shd w:val="clear" w:color="auto" w:fill="FFFFFF"/>
              </w:rPr>
              <w:fldChar w:fldCharType="begin"/>
            </w:r>
            <w:r>
              <w:rPr>
                <w:rFonts w:cs="Times New Roman"/>
                <w:shd w:val="clear" w:color="auto" w:fill="FFFFFF"/>
              </w:rPr>
              <w:instrText xml:space="preserve"> ADDIN ZOTERO_ITEM CSL_CITATION {"citationID":"x1HbdCUW","properties":{"formattedCitation":"\\super 6\\nosupersub{}","plainCitation":"6","noteIndex":0},"citationItems":[{"id":28818,"uris":["http://zotero.org/users/1314866/items/U7PPMM6Y"],"itemData":{"id":28818,"type":"article-journal","abstract":"The effects of maternal cigarette smoking on the transcriptome of human full-term placentas were investigated by a microarray analysis. QPCR was performed for a selected set of metabolizing genes. Differentially expressed genes were selected by fold change (±1.5-fold) and analysis of variance (P&lt;0.05) between the control and smoker groups. The expression of 174 probe sets was affected significantly. Chronic cigarette smoking induced the expression of CYP1A1. A trend toward a decrease in the expression of several steroid hormone-metabolizing enzymes, including CYP19A1, was detected. The expression of phase II enzymes was not altered, and no enriched categories were observed among the regulated genes, except for aryl hydrocarbon receptor (AhR)-CYP1A1. The unaltered expression of phase II enzymes may result in an increase in the levels of active metabolites and elevated oxidative chemical stress in the placenta and the fetus. On the basis of our results, it seems that cigarette smoke acts as a hormone disrupter in the placenta. Clinical Pharmacology &amp; Therapeutics (2008); 83, 4 542–550. doi:10.1038/sj.clpt.6100376","container-title":"Clinical Pharmacology &amp; Therapeutics","DOI":"10.1038/sj.clpt.6100376","ISSN":"1532-6535","issue":"4","language":"en","license":"© 2008 American Society for Clinical Pharmacology and Therapeutics","note":"_eprint: https://onlinelibrary.wiley.com/doi/pdf/10.1038/sj.clpt.6100376","page":"542-550","source":"Wiley Online Library","title":"Microarray Analysis of the Global Alterations in the Gene Expression in the Placentas From Cigarette-smoking Mothers","volume":"83","author":[{"family":"Huuskonen","given":"P"},{"family":"Storvik","given":"M"},{"family":"Reinisalo","given":"M"},{"family":"Honkakoski","given":"P"},{"family":"Rysä","given":"J"},{"family":"Hakkola","given":"J"},{"family":"Pasanen","given":"M"}],"issued":{"date-parts":[["2008"]]},"citation-key":"huuskonenMicroarrayAnalysisGlobal2008"}}],"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6</w:t>
            </w:r>
            <w:r>
              <w:rPr>
                <w:rFonts w:cs="Times New Roman"/>
                <w:shd w:val="clear" w:color="auto" w:fill="FFFFFF"/>
              </w:rPr>
              <w:fldChar w:fldCharType="end"/>
            </w:r>
            <w:r w:rsidRPr="00C6734B">
              <w:rPr>
                <w:rFonts w:eastAsia="Times New Roman" w:cs="Times New Roman"/>
                <w:color w:val="000000"/>
                <w:sz w:val="22"/>
                <w:szCs w:val="22"/>
              </w:rPr>
              <w:t xml:space="preserve"> - </w:t>
            </w:r>
            <w:r w:rsidRPr="00C6734B">
              <w:rPr>
                <w:rFonts w:eastAsia="Times New Roman" w:cs="Times New Roman"/>
                <w:color w:val="000000"/>
                <w:sz w:val="22"/>
                <w:szCs w:val="22"/>
              </w:rPr>
              <w:br/>
              <w:t>Cigarette smoking effect on full-term placenta</w:t>
            </w:r>
          </w:p>
        </w:tc>
        <w:tc>
          <w:tcPr>
            <w:tcW w:w="2700" w:type="dxa"/>
            <w:vMerge w:val="restart"/>
            <w:tcBorders>
              <w:top w:val="nil"/>
              <w:left w:val="nil"/>
              <w:right w:val="nil"/>
            </w:tcBorders>
            <w:shd w:val="clear" w:color="auto" w:fill="auto"/>
            <w:noWrap/>
            <w:hideMark/>
          </w:tcPr>
          <w:p w14:paraId="45AF8ECB"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Affymetrix Human Genome U133 Plus 2.0 Array</w:t>
            </w:r>
          </w:p>
        </w:tc>
        <w:tc>
          <w:tcPr>
            <w:tcW w:w="1350" w:type="dxa"/>
            <w:vMerge w:val="restart"/>
            <w:tcBorders>
              <w:top w:val="nil"/>
              <w:left w:val="nil"/>
              <w:right w:val="nil"/>
            </w:tcBorders>
            <w:shd w:val="clear" w:color="auto" w:fill="auto"/>
            <w:noWrap/>
            <w:hideMark/>
          </w:tcPr>
          <w:p w14:paraId="7B05EE6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10</w:t>
            </w:r>
          </w:p>
        </w:tc>
        <w:tc>
          <w:tcPr>
            <w:tcW w:w="1800" w:type="dxa"/>
            <w:vMerge w:val="restart"/>
            <w:tcBorders>
              <w:top w:val="nil"/>
              <w:left w:val="nil"/>
              <w:right w:val="nil"/>
            </w:tcBorders>
            <w:shd w:val="clear" w:color="auto" w:fill="auto"/>
            <w:hideMark/>
          </w:tcPr>
          <w:p w14:paraId="2D975AB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Maternal smoking,</w:t>
            </w:r>
            <w:r w:rsidRPr="00C6734B">
              <w:rPr>
                <w:rFonts w:eastAsia="Times New Roman" w:cs="Times New Roman"/>
                <w:color w:val="000000"/>
                <w:sz w:val="22"/>
                <w:szCs w:val="22"/>
              </w:rPr>
              <w:br/>
              <w:t>Fetal sex</w:t>
            </w:r>
          </w:p>
        </w:tc>
        <w:tc>
          <w:tcPr>
            <w:tcW w:w="1980" w:type="dxa"/>
            <w:tcBorders>
              <w:top w:val="nil"/>
              <w:left w:val="nil"/>
              <w:bottom w:val="nil"/>
              <w:right w:val="nil"/>
            </w:tcBorders>
            <w:shd w:val="clear" w:color="auto" w:fill="auto"/>
            <w:noWrap/>
            <w:hideMark/>
          </w:tcPr>
          <w:p w14:paraId="227F864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tcBorders>
              <w:top w:val="nil"/>
              <w:left w:val="nil"/>
              <w:bottom w:val="nil"/>
              <w:right w:val="nil"/>
            </w:tcBorders>
            <w:shd w:val="clear" w:color="auto" w:fill="auto"/>
            <w:noWrap/>
            <w:hideMark/>
          </w:tcPr>
          <w:p w14:paraId="114F384C"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w:t>
            </w:r>
          </w:p>
        </w:tc>
      </w:tr>
      <w:tr w:rsidR="002B17BD" w:rsidRPr="00C21483" w14:paraId="6A920307" w14:textId="77777777" w:rsidTr="007F24F0">
        <w:trPr>
          <w:trHeight w:val="360"/>
        </w:trPr>
        <w:tc>
          <w:tcPr>
            <w:tcW w:w="2880" w:type="dxa"/>
            <w:vMerge/>
            <w:tcBorders>
              <w:left w:val="nil"/>
              <w:right w:val="nil"/>
            </w:tcBorders>
            <w:shd w:val="clear" w:color="auto" w:fill="auto"/>
            <w:noWrap/>
            <w:hideMark/>
          </w:tcPr>
          <w:p w14:paraId="648E5097"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noWrap/>
            <w:hideMark/>
          </w:tcPr>
          <w:p w14:paraId="42B69808"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71F34950"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1D507D2C"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33DEC53F"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EPB41L4A-AS1</w:t>
            </w:r>
          </w:p>
        </w:tc>
        <w:tc>
          <w:tcPr>
            <w:tcW w:w="2340" w:type="dxa"/>
            <w:tcBorders>
              <w:top w:val="nil"/>
              <w:left w:val="nil"/>
              <w:bottom w:val="nil"/>
              <w:right w:val="nil"/>
            </w:tcBorders>
            <w:shd w:val="clear" w:color="auto" w:fill="auto"/>
            <w:noWrap/>
            <w:hideMark/>
          </w:tcPr>
          <w:p w14:paraId="0441C793"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w:t>
            </w:r>
          </w:p>
        </w:tc>
      </w:tr>
      <w:tr w:rsidR="002B17BD" w:rsidRPr="00C21483" w14:paraId="03884428" w14:textId="77777777" w:rsidTr="007F24F0">
        <w:trPr>
          <w:trHeight w:val="360"/>
        </w:trPr>
        <w:tc>
          <w:tcPr>
            <w:tcW w:w="2880" w:type="dxa"/>
            <w:vMerge/>
            <w:tcBorders>
              <w:left w:val="nil"/>
              <w:right w:val="nil"/>
            </w:tcBorders>
            <w:shd w:val="clear" w:color="auto" w:fill="auto"/>
            <w:noWrap/>
            <w:hideMark/>
          </w:tcPr>
          <w:p w14:paraId="7E8B1F52"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3A3D8FB1"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66BE395D"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2AAB8A3D"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11E31DC1"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tcBorders>
              <w:top w:val="nil"/>
              <w:left w:val="nil"/>
              <w:bottom w:val="nil"/>
              <w:right w:val="nil"/>
            </w:tcBorders>
            <w:shd w:val="clear" w:color="auto" w:fill="auto"/>
            <w:noWrap/>
            <w:hideMark/>
          </w:tcPr>
          <w:p w14:paraId="50F9358D"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w:t>
            </w:r>
          </w:p>
        </w:tc>
      </w:tr>
      <w:tr w:rsidR="002B17BD" w:rsidRPr="00C21483" w14:paraId="5F89684D" w14:textId="77777777" w:rsidTr="007F24F0">
        <w:trPr>
          <w:trHeight w:val="300"/>
        </w:trPr>
        <w:tc>
          <w:tcPr>
            <w:tcW w:w="2880" w:type="dxa"/>
            <w:vMerge/>
            <w:tcBorders>
              <w:left w:val="nil"/>
              <w:bottom w:val="nil"/>
              <w:right w:val="nil"/>
            </w:tcBorders>
            <w:shd w:val="clear" w:color="auto" w:fill="auto"/>
            <w:noWrap/>
            <w:hideMark/>
          </w:tcPr>
          <w:p w14:paraId="1DAB7585" w14:textId="77777777" w:rsidR="002B17BD" w:rsidRPr="00C6734B" w:rsidRDefault="002B17BD" w:rsidP="007F24F0">
            <w:pPr>
              <w:rPr>
                <w:rFonts w:eastAsia="Times New Roman" w:cs="Times New Roman"/>
                <w:color w:val="000000"/>
                <w:sz w:val="22"/>
                <w:szCs w:val="22"/>
              </w:rPr>
            </w:pPr>
          </w:p>
        </w:tc>
        <w:tc>
          <w:tcPr>
            <w:tcW w:w="2700" w:type="dxa"/>
            <w:vMerge/>
            <w:tcBorders>
              <w:left w:val="nil"/>
              <w:bottom w:val="nil"/>
              <w:right w:val="nil"/>
            </w:tcBorders>
            <w:shd w:val="clear" w:color="auto" w:fill="auto"/>
            <w:hideMark/>
          </w:tcPr>
          <w:p w14:paraId="55C831A0" w14:textId="77777777" w:rsidR="002B17BD" w:rsidRPr="00C6734B" w:rsidRDefault="002B17BD" w:rsidP="007F24F0">
            <w:pPr>
              <w:rPr>
                <w:rFonts w:eastAsia="Times New Roman" w:cs="Times New Roman"/>
                <w:sz w:val="22"/>
                <w:szCs w:val="22"/>
              </w:rPr>
            </w:pPr>
          </w:p>
        </w:tc>
        <w:tc>
          <w:tcPr>
            <w:tcW w:w="1350" w:type="dxa"/>
            <w:vMerge/>
            <w:tcBorders>
              <w:left w:val="nil"/>
              <w:bottom w:val="nil"/>
              <w:right w:val="nil"/>
            </w:tcBorders>
            <w:shd w:val="clear" w:color="auto" w:fill="auto"/>
            <w:noWrap/>
            <w:hideMark/>
          </w:tcPr>
          <w:p w14:paraId="7C24BDCF" w14:textId="77777777" w:rsidR="002B17BD" w:rsidRPr="00C6734B" w:rsidRDefault="002B17BD" w:rsidP="007F24F0">
            <w:pPr>
              <w:rPr>
                <w:rFonts w:eastAsia="Times New Roman" w:cs="Times New Roman"/>
                <w:sz w:val="22"/>
                <w:szCs w:val="22"/>
              </w:rPr>
            </w:pPr>
          </w:p>
        </w:tc>
        <w:tc>
          <w:tcPr>
            <w:tcW w:w="1800" w:type="dxa"/>
            <w:vMerge/>
            <w:tcBorders>
              <w:left w:val="nil"/>
              <w:bottom w:val="nil"/>
              <w:right w:val="nil"/>
            </w:tcBorders>
            <w:shd w:val="clear" w:color="auto" w:fill="auto"/>
            <w:noWrap/>
            <w:hideMark/>
          </w:tcPr>
          <w:p w14:paraId="2892A39D"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1C9B89C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KANSL1-AS1</w:t>
            </w:r>
          </w:p>
        </w:tc>
        <w:tc>
          <w:tcPr>
            <w:tcW w:w="2340" w:type="dxa"/>
            <w:tcBorders>
              <w:top w:val="nil"/>
              <w:left w:val="nil"/>
              <w:bottom w:val="nil"/>
              <w:right w:val="nil"/>
            </w:tcBorders>
            <w:shd w:val="clear" w:color="auto" w:fill="auto"/>
            <w:noWrap/>
            <w:hideMark/>
          </w:tcPr>
          <w:p w14:paraId="1601D65D"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Slight elevation among females</w:t>
            </w:r>
          </w:p>
        </w:tc>
      </w:tr>
      <w:tr w:rsidR="002B17BD" w:rsidRPr="00C21483" w14:paraId="017A53AE" w14:textId="77777777" w:rsidTr="007F24F0">
        <w:trPr>
          <w:trHeight w:val="300"/>
        </w:trPr>
        <w:tc>
          <w:tcPr>
            <w:tcW w:w="2880" w:type="dxa"/>
            <w:tcBorders>
              <w:top w:val="nil"/>
              <w:left w:val="nil"/>
              <w:bottom w:val="nil"/>
              <w:right w:val="nil"/>
            </w:tcBorders>
            <w:shd w:val="clear" w:color="auto" w:fill="auto"/>
            <w:noWrap/>
            <w:hideMark/>
          </w:tcPr>
          <w:p w14:paraId="35734CDB" w14:textId="77777777" w:rsidR="002B17BD" w:rsidRPr="00C6734B" w:rsidRDefault="002B17BD" w:rsidP="007F24F0">
            <w:pPr>
              <w:rPr>
                <w:rFonts w:eastAsia="Times New Roman" w:cs="Times New Roman"/>
                <w:color w:val="000000"/>
                <w:sz w:val="22"/>
                <w:szCs w:val="22"/>
              </w:rPr>
            </w:pPr>
          </w:p>
        </w:tc>
        <w:tc>
          <w:tcPr>
            <w:tcW w:w="2700" w:type="dxa"/>
            <w:tcBorders>
              <w:top w:val="nil"/>
              <w:left w:val="nil"/>
              <w:bottom w:val="nil"/>
              <w:right w:val="nil"/>
            </w:tcBorders>
            <w:shd w:val="clear" w:color="auto" w:fill="auto"/>
            <w:hideMark/>
          </w:tcPr>
          <w:p w14:paraId="23584334" w14:textId="77777777" w:rsidR="002B17BD" w:rsidRPr="00C6734B" w:rsidRDefault="002B17BD" w:rsidP="007F24F0">
            <w:pPr>
              <w:rPr>
                <w:rFonts w:eastAsia="Times New Roman" w:cs="Times New Roman"/>
                <w:sz w:val="22"/>
                <w:szCs w:val="22"/>
              </w:rPr>
            </w:pPr>
          </w:p>
        </w:tc>
        <w:tc>
          <w:tcPr>
            <w:tcW w:w="1350" w:type="dxa"/>
            <w:tcBorders>
              <w:top w:val="nil"/>
              <w:left w:val="nil"/>
              <w:bottom w:val="nil"/>
              <w:right w:val="nil"/>
            </w:tcBorders>
            <w:shd w:val="clear" w:color="auto" w:fill="auto"/>
            <w:noWrap/>
            <w:hideMark/>
          </w:tcPr>
          <w:p w14:paraId="0C16ECF9" w14:textId="77777777" w:rsidR="002B17BD" w:rsidRPr="00C6734B" w:rsidRDefault="002B17BD" w:rsidP="007F24F0">
            <w:pPr>
              <w:rPr>
                <w:rFonts w:eastAsia="Times New Roman" w:cs="Times New Roman"/>
                <w:sz w:val="22"/>
                <w:szCs w:val="22"/>
              </w:rPr>
            </w:pPr>
          </w:p>
        </w:tc>
        <w:tc>
          <w:tcPr>
            <w:tcW w:w="1800" w:type="dxa"/>
            <w:tcBorders>
              <w:top w:val="nil"/>
              <w:left w:val="nil"/>
              <w:bottom w:val="nil"/>
              <w:right w:val="nil"/>
            </w:tcBorders>
            <w:shd w:val="clear" w:color="auto" w:fill="auto"/>
            <w:noWrap/>
            <w:hideMark/>
          </w:tcPr>
          <w:p w14:paraId="668DC015"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670EC53C" w14:textId="77777777" w:rsidR="002B17BD" w:rsidRPr="00C6734B" w:rsidRDefault="002B17BD" w:rsidP="007F24F0">
            <w:pPr>
              <w:rPr>
                <w:rFonts w:eastAsia="Times New Roman" w:cs="Times New Roman"/>
                <w:sz w:val="22"/>
                <w:szCs w:val="22"/>
              </w:rPr>
            </w:pPr>
          </w:p>
        </w:tc>
        <w:tc>
          <w:tcPr>
            <w:tcW w:w="2340" w:type="dxa"/>
            <w:tcBorders>
              <w:top w:val="nil"/>
              <w:left w:val="nil"/>
              <w:bottom w:val="nil"/>
              <w:right w:val="nil"/>
            </w:tcBorders>
            <w:shd w:val="clear" w:color="auto" w:fill="auto"/>
            <w:noWrap/>
            <w:hideMark/>
          </w:tcPr>
          <w:p w14:paraId="3CB1864F" w14:textId="77777777" w:rsidR="002B17BD" w:rsidRPr="00C6734B" w:rsidRDefault="002B17BD" w:rsidP="007F24F0">
            <w:pPr>
              <w:rPr>
                <w:rFonts w:eastAsia="Times New Roman" w:cs="Times New Roman"/>
                <w:sz w:val="22"/>
                <w:szCs w:val="22"/>
              </w:rPr>
            </w:pPr>
          </w:p>
        </w:tc>
      </w:tr>
      <w:tr w:rsidR="002B17BD" w:rsidRPr="000A16BA" w14:paraId="06F74C21" w14:textId="77777777" w:rsidTr="007F24F0">
        <w:trPr>
          <w:trHeight w:val="684"/>
        </w:trPr>
        <w:tc>
          <w:tcPr>
            <w:tcW w:w="2880" w:type="dxa"/>
            <w:vMerge w:val="restart"/>
            <w:tcBorders>
              <w:top w:val="nil"/>
              <w:left w:val="nil"/>
              <w:right w:val="nil"/>
            </w:tcBorders>
            <w:shd w:val="clear" w:color="auto" w:fill="auto"/>
            <w:noWrap/>
            <w:hideMark/>
          </w:tcPr>
          <w:p w14:paraId="4CE8D88E" w14:textId="77777777" w:rsidR="002B17BD"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GDS2548</w:t>
            </w:r>
            <w:r>
              <w:rPr>
                <w:rFonts w:eastAsia="Times New Roman" w:cs="Times New Roman"/>
                <w:color w:val="000000"/>
                <w:sz w:val="22"/>
                <w:szCs w:val="22"/>
              </w:rPr>
              <w:t xml:space="preserve"> </w:t>
            </w:r>
            <w:r>
              <w:rPr>
                <w:rFonts w:cs="Times New Roman"/>
                <w:shd w:val="clear" w:color="auto" w:fill="FFFFFF"/>
              </w:rPr>
              <w:fldChar w:fldCharType="begin"/>
            </w:r>
            <w:r>
              <w:rPr>
                <w:rFonts w:cs="Times New Roman"/>
                <w:shd w:val="clear" w:color="auto" w:fill="FFFFFF"/>
              </w:rPr>
              <w:instrText xml:space="preserve"> ADDIN ZOTERO_ITEM CSL_CITATION {"citationID":"6xDI2QH2","properties":{"formattedCitation":"\\super 7\\nosupersub{}","plainCitation":"7","noteIndex":0},"citationItems":[{"id":28816,"uris":["http://zotero.org/users/1314866/items/ZVPIISZM"],"itemData":{"id":28816,"type":"article-journal","abstract":"The renin-angiotensin system (RAS) participates in preeclampsia; however, the relative contributions from the circulating RAS and the tissue-based, uteroplacental RAS are unknown. We hypothesized that the tissue-based uteroplacental RAS is dysregulated in preeclampsia. We performed microarray and gene expression studies and confirmed the findings on the protein level by immunohistochemistry in ureteroplacental units from 10 preeclamptic women and 10 women with uneventful pregnancies. All of the women were delivered by cesarean section. We also analyzed plasma renin activity and circulating agonistic angiotensin II type 1 (AT1) receptor autoantibodies. In preeclampsia, we found that the angiotensin II AT1 receptor gene was 5-fold upregulated in decidua (maternal origin). We also found AT1 autoantibodies in preeclamptic women and in their offspring by neonatal cardiomyocyte bioassay compared with women with normal pregnancies and their infants (mother: 17.5±2.2 versus 0.05±0.4; fetus: 14.5±1.8 versus 0.5±0.5 Δbpm). Gene expressions for renin (35.0-fold), angiotensin-converting enzyme (2.9-fold), and angiotensinogen (8.9-fold) were higher in decidua than placenta (fetal origin) in both control and preeclamptic women, whereas the AT1 receptor was expressed 10-fold higher in placenta than in decidua in both groups. Our findings elucidate the ureteroplacental unit RAS in preeclamptic and normal pregnancies. We found that, in preeclampsia, the AT1 receptor expression is particularly high in decidua, combined with pregnancy-specific tissue RAS involving decidual angiotensin II production and AT1 autoantibodies. We also showed that AT1 autoantibodies cross the ureteroplacental barrier. These components could participate in the pathophysiology of preeclampsia.","container-title":"Hypertension","DOI":"10.1161/01.HYP.0000257797.49289.71","issue":"3","note":"publisher: American Heart Association","page":"604-611","source":"ahajournals.org (Atypon)","title":"Dysregulation of the Circulating and Tissue-Based Renin-Angiotensin System in Preeclampsia","volume":"49","author":[{"family":"Herse","given":"Florian"},{"family":"Dechend","given":"Ralf"},{"family":"Harsem","given":"Nina K."},{"family":"Wallukat","given":"Gerd"},{"family":"Janke","given":"Jürgen"},{"family":"Qadri","given":"Fatimunnisa"},{"family":"Hering","given":"Lydia"},{"family":"Muller","given":"Dominik N."},{"family":"Luft","given":"Friedrich C."},{"family":"Staff","given":"Anne C."}],"issued":{"date-parts":[["2007",3]]},"citation-key":"herseDysregulationCirculatingTissueBased2007"}}],"schema":"https://github.com/citation-style-language/schema/raw/master/csl-citation.json"} </w:instrText>
            </w:r>
            <w:r>
              <w:rPr>
                <w:rFonts w:cs="Times New Roman"/>
                <w:shd w:val="clear" w:color="auto" w:fill="FFFFFF"/>
              </w:rPr>
              <w:fldChar w:fldCharType="separate"/>
            </w:r>
            <w:r w:rsidRPr="00236A9C">
              <w:rPr>
                <w:rFonts w:cs="Times New Roman"/>
                <w:vertAlign w:val="superscript"/>
              </w:rPr>
              <w:t>7</w:t>
            </w:r>
            <w:r>
              <w:rPr>
                <w:rFonts w:cs="Times New Roman"/>
                <w:shd w:val="clear" w:color="auto" w:fill="FFFFFF"/>
              </w:rPr>
              <w:fldChar w:fldCharType="end"/>
            </w:r>
            <w:r w:rsidRPr="00C6734B">
              <w:rPr>
                <w:rFonts w:eastAsia="Times New Roman" w:cs="Times New Roman"/>
                <w:color w:val="000000"/>
                <w:sz w:val="22"/>
                <w:szCs w:val="22"/>
              </w:rPr>
              <w:t xml:space="preserve"> </w:t>
            </w:r>
            <w:r>
              <w:rPr>
                <w:rFonts w:eastAsia="Times New Roman" w:cs="Times New Roman"/>
                <w:color w:val="000000"/>
                <w:sz w:val="22"/>
                <w:szCs w:val="22"/>
              </w:rPr>
              <w:t>-</w:t>
            </w:r>
            <w:r w:rsidRPr="00C6734B">
              <w:rPr>
                <w:rFonts w:eastAsia="Times New Roman" w:cs="Times New Roman"/>
                <w:color w:val="000000"/>
                <w:sz w:val="22"/>
                <w:szCs w:val="22"/>
              </w:rPr>
              <w:t xml:space="preserve"> </w:t>
            </w:r>
          </w:p>
          <w:p w14:paraId="1BC8AF15"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Preeclampsia: uteroplacental tissues</w:t>
            </w:r>
          </w:p>
        </w:tc>
        <w:tc>
          <w:tcPr>
            <w:tcW w:w="2700" w:type="dxa"/>
            <w:vMerge w:val="restart"/>
            <w:tcBorders>
              <w:top w:val="nil"/>
              <w:left w:val="nil"/>
              <w:right w:val="nil"/>
            </w:tcBorders>
            <w:shd w:val="clear" w:color="auto" w:fill="auto"/>
            <w:hideMark/>
          </w:tcPr>
          <w:p w14:paraId="7CF1825B"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Affymetrix Human Genome U133 Plus 2.0 Array</w:t>
            </w:r>
          </w:p>
        </w:tc>
        <w:tc>
          <w:tcPr>
            <w:tcW w:w="1350" w:type="dxa"/>
            <w:vMerge w:val="restart"/>
            <w:tcBorders>
              <w:top w:val="nil"/>
              <w:left w:val="nil"/>
              <w:right w:val="nil"/>
            </w:tcBorders>
            <w:shd w:val="clear" w:color="auto" w:fill="auto"/>
            <w:noWrap/>
            <w:hideMark/>
          </w:tcPr>
          <w:p w14:paraId="5822D31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6</w:t>
            </w:r>
          </w:p>
        </w:tc>
        <w:tc>
          <w:tcPr>
            <w:tcW w:w="1800" w:type="dxa"/>
            <w:vMerge w:val="restart"/>
            <w:tcBorders>
              <w:top w:val="nil"/>
              <w:left w:val="nil"/>
              <w:right w:val="nil"/>
            </w:tcBorders>
            <w:shd w:val="clear" w:color="auto" w:fill="auto"/>
            <w:hideMark/>
          </w:tcPr>
          <w:p w14:paraId="4B0836AD" w14:textId="77777777" w:rsidR="002B17BD" w:rsidRDefault="002B17BD" w:rsidP="007F24F0">
            <w:pPr>
              <w:rPr>
                <w:rFonts w:eastAsia="Times New Roman" w:cs="Times New Roman"/>
                <w:color w:val="000000"/>
                <w:sz w:val="22"/>
                <w:szCs w:val="22"/>
              </w:rPr>
            </w:pPr>
            <w:r w:rsidRPr="00C6734B">
              <w:rPr>
                <w:rFonts w:eastAsia="Times New Roman" w:cs="Times New Roman"/>
                <w:color w:val="000000"/>
                <w:sz w:val="22"/>
                <w:szCs w:val="22"/>
              </w:rPr>
              <w:t xml:space="preserve">Preeclampsia </w:t>
            </w:r>
          </w:p>
          <w:p w14:paraId="15265C39"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vs. normal pregnancy</w:t>
            </w:r>
          </w:p>
        </w:tc>
        <w:tc>
          <w:tcPr>
            <w:tcW w:w="1980" w:type="dxa"/>
            <w:tcBorders>
              <w:top w:val="nil"/>
              <w:left w:val="nil"/>
              <w:bottom w:val="nil"/>
              <w:right w:val="nil"/>
            </w:tcBorders>
            <w:shd w:val="clear" w:color="auto" w:fill="auto"/>
            <w:noWrap/>
            <w:hideMark/>
          </w:tcPr>
          <w:p w14:paraId="7BACB438"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tcBorders>
              <w:top w:val="nil"/>
              <w:left w:val="nil"/>
              <w:bottom w:val="nil"/>
              <w:right w:val="nil"/>
            </w:tcBorders>
            <w:shd w:val="clear" w:color="auto" w:fill="auto"/>
            <w:noWrap/>
            <w:hideMark/>
          </w:tcPr>
          <w:p w14:paraId="2B8ACD6B"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Increased in preeclampsia</w:t>
            </w:r>
          </w:p>
        </w:tc>
      </w:tr>
      <w:tr w:rsidR="002B17BD" w:rsidRPr="000A16BA" w14:paraId="45CB5D54" w14:textId="77777777" w:rsidTr="007F24F0">
        <w:trPr>
          <w:trHeight w:val="864"/>
        </w:trPr>
        <w:tc>
          <w:tcPr>
            <w:tcW w:w="2880" w:type="dxa"/>
            <w:vMerge/>
            <w:tcBorders>
              <w:left w:val="nil"/>
              <w:right w:val="nil"/>
            </w:tcBorders>
            <w:shd w:val="clear" w:color="auto" w:fill="auto"/>
            <w:noWrap/>
            <w:hideMark/>
          </w:tcPr>
          <w:p w14:paraId="583041B0"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4E54E384"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29A90BFB"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553D6B88"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305327F5"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EPB41L4A-AS1</w:t>
            </w:r>
          </w:p>
        </w:tc>
        <w:tc>
          <w:tcPr>
            <w:tcW w:w="2340" w:type="dxa"/>
            <w:tcBorders>
              <w:top w:val="nil"/>
              <w:left w:val="nil"/>
              <w:bottom w:val="nil"/>
              <w:right w:val="nil"/>
            </w:tcBorders>
            <w:shd w:val="clear" w:color="auto" w:fill="auto"/>
            <w:hideMark/>
          </w:tcPr>
          <w:p w14:paraId="0130BCE5"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Similarity and decrease observed in separate samples</w:t>
            </w:r>
          </w:p>
        </w:tc>
      </w:tr>
      <w:tr w:rsidR="002B17BD" w:rsidRPr="00C21483" w14:paraId="5C79B51F" w14:textId="77777777" w:rsidTr="007F24F0">
        <w:trPr>
          <w:trHeight w:val="378"/>
        </w:trPr>
        <w:tc>
          <w:tcPr>
            <w:tcW w:w="2880" w:type="dxa"/>
            <w:vMerge/>
            <w:tcBorders>
              <w:left w:val="nil"/>
              <w:right w:val="nil"/>
            </w:tcBorders>
            <w:shd w:val="clear" w:color="auto" w:fill="auto"/>
            <w:noWrap/>
            <w:hideMark/>
          </w:tcPr>
          <w:p w14:paraId="25C84BF1"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10161520" w14:textId="77777777" w:rsidR="002B17BD" w:rsidRPr="00C6734B" w:rsidRDefault="002B17BD" w:rsidP="007F24F0">
            <w:pPr>
              <w:rPr>
                <w:rFonts w:eastAsia="Times New Roman" w:cs="Times New Roman"/>
                <w:sz w:val="22"/>
                <w:szCs w:val="22"/>
              </w:rPr>
            </w:pPr>
          </w:p>
        </w:tc>
        <w:tc>
          <w:tcPr>
            <w:tcW w:w="1350" w:type="dxa"/>
            <w:vMerge/>
            <w:tcBorders>
              <w:left w:val="nil"/>
              <w:right w:val="nil"/>
            </w:tcBorders>
            <w:shd w:val="clear" w:color="auto" w:fill="auto"/>
            <w:noWrap/>
            <w:hideMark/>
          </w:tcPr>
          <w:p w14:paraId="3A35256C" w14:textId="77777777" w:rsidR="002B17BD" w:rsidRPr="00C6734B" w:rsidRDefault="002B17BD" w:rsidP="007F24F0">
            <w:pPr>
              <w:rPr>
                <w:rFonts w:eastAsia="Times New Roman" w:cs="Times New Roman"/>
                <w:sz w:val="22"/>
                <w:szCs w:val="22"/>
              </w:rPr>
            </w:pPr>
          </w:p>
        </w:tc>
        <w:tc>
          <w:tcPr>
            <w:tcW w:w="1800" w:type="dxa"/>
            <w:vMerge/>
            <w:tcBorders>
              <w:left w:val="nil"/>
              <w:right w:val="nil"/>
            </w:tcBorders>
            <w:shd w:val="clear" w:color="auto" w:fill="auto"/>
            <w:noWrap/>
            <w:hideMark/>
          </w:tcPr>
          <w:p w14:paraId="23E96DF0"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4D2B5186"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DANCR</w:t>
            </w:r>
          </w:p>
        </w:tc>
        <w:tc>
          <w:tcPr>
            <w:tcW w:w="2340" w:type="dxa"/>
            <w:tcBorders>
              <w:top w:val="nil"/>
              <w:left w:val="nil"/>
              <w:bottom w:val="nil"/>
              <w:right w:val="nil"/>
            </w:tcBorders>
            <w:shd w:val="clear" w:color="auto" w:fill="auto"/>
            <w:noWrap/>
            <w:hideMark/>
          </w:tcPr>
          <w:p w14:paraId="11E36A8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No difference</w:t>
            </w:r>
          </w:p>
        </w:tc>
      </w:tr>
      <w:tr w:rsidR="002B17BD" w:rsidRPr="000A16BA" w14:paraId="7812F281" w14:textId="77777777" w:rsidTr="007F24F0">
        <w:trPr>
          <w:trHeight w:val="600"/>
        </w:trPr>
        <w:tc>
          <w:tcPr>
            <w:tcW w:w="2880" w:type="dxa"/>
            <w:vMerge/>
            <w:tcBorders>
              <w:left w:val="nil"/>
              <w:bottom w:val="nil"/>
              <w:right w:val="nil"/>
            </w:tcBorders>
            <w:shd w:val="clear" w:color="auto" w:fill="auto"/>
            <w:noWrap/>
            <w:hideMark/>
          </w:tcPr>
          <w:p w14:paraId="4426536F"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0D5B95C1" w14:textId="77777777" w:rsidR="002B17BD" w:rsidRPr="00C6734B" w:rsidRDefault="002B17BD" w:rsidP="007F24F0">
            <w:pPr>
              <w:rPr>
                <w:rFonts w:eastAsia="Times New Roman" w:cs="Times New Roman"/>
                <w:sz w:val="22"/>
                <w:szCs w:val="22"/>
              </w:rPr>
            </w:pPr>
          </w:p>
        </w:tc>
        <w:tc>
          <w:tcPr>
            <w:tcW w:w="1350" w:type="dxa"/>
            <w:vMerge/>
            <w:tcBorders>
              <w:left w:val="nil"/>
              <w:bottom w:val="nil"/>
              <w:right w:val="nil"/>
            </w:tcBorders>
            <w:shd w:val="clear" w:color="auto" w:fill="auto"/>
            <w:noWrap/>
            <w:hideMark/>
          </w:tcPr>
          <w:p w14:paraId="0D8CCB15" w14:textId="77777777" w:rsidR="002B17BD" w:rsidRPr="00C6734B" w:rsidRDefault="002B17BD" w:rsidP="007F24F0">
            <w:pPr>
              <w:rPr>
                <w:rFonts w:eastAsia="Times New Roman" w:cs="Times New Roman"/>
                <w:sz w:val="22"/>
                <w:szCs w:val="22"/>
              </w:rPr>
            </w:pPr>
          </w:p>
        </w:tc>
        <w:tc>
          <w:tcPr>
            <w:tcW w:w="1800" w:type="dxa"/>
            <w:vMerge/>
            <w:tcBorders>
              <w:left w:val="nil"/>
              <w:bottom w:val="nil"/>
              <w:right w:val="nil"/>
            </w:tcBorders>
            <w:shd w:val="clear" w:color="auto" w:fill="auto"/>
            <w:noWrap/>
            <w:hideMark/>
          </w:tcPr>
          <w:p w14:paraId="6D57A06B" w14:textId="77777777" w:rsidR="002B17BD" w:rsidRPr="00C6734B" w:rsidRDefault="002B17BD" w:rsidP="007F24F0">
            <w:pPr>
              <w:rPr>
                <w:rFonts w:eastAsia="Times New Roman" w:cs="Times New Roman"/>
                <w:sz w:val="22"/>
                <w:szCs w:val="22"/>
              </w:rPr>
            </w:pPr>
          </w:p>
        </w:tc>
        <w:tc>
          <w:tcPr>
            <w:tcW w:w="1980" w:type="dxa"/>
            <w:tcBorders>
              <w:top w:val="nil"/>
              <w:left w:val="nil"/>
              <w:bottom w:val="nil"/>
              <w:right w:val="nil"/>
            </w:tcBorders>
            <w:shd w:val="clear" w:color="auto" w:fill="auto"/>
            <w:noWrap/>
            <w:hideMark/>
          </w:tcPr>
          <w:p w14:paraId="55B2272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KANSL1-AS1</w:t>
            </w:r>
          </w:p>
        </w:tc>
        <w:tc>
          <w:tcPr>
            <w:tcW w:w="2340" w:type="dxa"/>
            <w:tcBorders>
              <w:top w:val="nil"/>
              <w:left w:val="nil"/>
              <w:bottom w:val="nil"/>
              <w:right w:val="nil"/>
            </w:tcBorders>
            <w:shd w:val="clear" w:color="auto" w:fill="auto"/>
            <w:hideMark/>
          </w:tcPr>
          <w:p w14:paraId="2E93D303"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Increase and decrease observed in separate samples</w:t>
            </w:r>
          </w:p>
        </w:tc>
      </w:tr>
      <w:tr w:rsidR="002B17BD" w:rsidRPr="00C21483" w14:paraId="464A590F" w14:textId="77777777" w:rsidTr="007F24F0">
        <w:trPr>
          <w:trHeight w:val="300"/>
        </w:trPr>
        <w:tc>
          <w:tcPr>
            <w:tcW w:w="2880" w:type="dxa"/>
            <w:tcBorders>
              <w:top w:val="nil"/>
              <w:left w:val="nil"/>
              <w:right w:val="nil"/>
            </w:tcBorders>
            <w:shd w:val="clear" w:color="auto" w:fill="auto"/>
            <w:noWrap/>
            <w:hideMark/>
          </w:tcPr>
          <w:p w14:paraId="09EE2598" w14:textId="77777777" w:rsidR="002B17BD" w:rsidRPr="00C6734B" w:rsidRDefault="002B17BD" w:rsidP="007F24F0">
            <w:pPr>
              <w:rPr>
                <w:rFonts w:eastAsia="Times New Roman" w:cs="Times New Roman"/>
                <w:color w:val="000000"/>
                <w:sz w:val="22"/>
                <w:szCs w:val="22"/>
              </w:rPr>
            </w:pPr>
          </w:p>
        </w:tc>
        <w:tc>
          <w:tcPr>
            <w:tcW w:w="2700" w:type="dxa"/>
            <w:vMerge/>
            <w:tcBorders>
              <w:left w:val="nil"/>
              <w:right w:val="nil"/>
            </w:tcBorders>
            <w:shd w:val="clear" w:color="auto" w:fill="auto"/>
            <w:hideMark/>
          </w:tcPr>
          <w:p w14:paraId="1024ECE6" w14:textId="77777777" w:rsidR="002B17BD" w:rsidRPr="00C6734B" w:rsidRDefault="002B17BD" w:rsidP="007F24F0">
            <w:pPr>
              <w:rPr>
                <w:rFonts w:eastAsia="Times New Roman" w:cs="Times New Roman"/>
                <w:sz w:val="22"/>
                <w:szCs w:val="22"/>
              </w:rPr>
            </w:pPr>
          </w:p>
        </w:tc>
        <w:tc>
          <w:tcPr>
            <w:tcW w:w="1350" w:type="dxa"/>
            <w:tcBorders>
              <w:top w:val="nil"/>
              <w:left w:val="nil"/>
              <w:right w:val="nil"/>
            </w:tcBorders>
            <w:shd w:val="clear" w:color="auto" w:fill="auto"/>
            <w:noWrap/>
            <w:hideMark/>
          </w:tcPr>
          <w:p w14:paraId="73A0DB44" w14:textId="77777777" w:rsidR="002B17BD" w:rsidRPr="00C6734B" w:rsidRDefault="002B17BD" w:rsidP="007F24F0">
            <w:pPr>
              <w:rPr>
                <w:rFonts w:eastAsia="Times New Roman" w:cs="Times New Roman"/>
                <w:sz w:val="22"/>
                <w:szCs w:val="22"/>
              </w:rPr>
            </w:pPr>
          </w:p>
        </w:tc>
        <w:tc>
          <w:tcPr>
            <w:tcW w:w="1800" w:type="dxa"/>
            <w:tcBorders>
              <w:top w:val="nil"/>
              <w:left w:val="nil"/>
              <w:right w:val="nil"/>
            </w:tcBorders>
            <w:shd w:val="clear" w:color="auto" w:fill="auto"/>
            <w:noWrap/>
            <w:hideMark/>
          </w:tcPr>
          <w:p w14:paraId="7D08A3E1" w14:textId="77777777" w:rsidR="002B17BD" w:rsidRPr="00C6734B" w:rsidRDefault="002B17BD" w:rsidP="007F24F0">
            <w:pPr>
              <w:rPr>
                <w:rFonts w:eastAsia="Times New Roman" w:cs="Times New Roman"/>
                <w:sz w:val="22"/>
                <w:szCs w:val="22"/>
              </w:rPr>
            </w:pPr>
          </w:p>
        </w:tc>
        <w:tc>
          <w:tcPr>
            <w:tcW w:w="1980" w:type="dxa"/>
            <w:tcBorders>
              <w:top w:val="nil"/>
              <w:left w:val="nil"/>
              <w:right w:val="nil"/>
            </w:tcBorders>
            <w:shd w:val="clear" w:color="auto" w:fill="auto"/>
            <w:noWrap/>
            <w:hideMark/>
          </w:tcPr>
          <w:p w14:paraId="4F83E965" w14:textId="77777777" w:rsidR="002B17BD" w:rsidRPr="00C6734B" w:rsidRDefault="002B17BD" w:rsidP="007F24F0">
            <w:pPr>
              <w:rPr>
                <w:rFonts w:eastAsia="Times New Roman" w:cs="Times New Roman"/>
                <w:sz w:val="22"/>
                <w:szCs w:val="22"/>
              </w:rPr>
            </w:pPr>
          </w:p>
        </w:tc>
        <w:tc>
          <w:tcPr>
            <w:tcW w:w="2340" w:type="dxa"/>
            <w:tcBorders>
              <w:top w:val="nil"/>
              <w:left w:val="nil"/>
              <w:right w:val="nil"/>
            </w:tcBorders>
            <w:shd w:val="clear" w:color="auto" w:fill="auto"/>
            <w:noWrap/>
            <w:hideMark/>
          </w:tcPr>
          <w:p w14:paraId="129DAEDF" w14:textId="77777777" w:rsidR="002B17BD" w:rsidRPr="00C6734B" w:rsidRDefault="002B17BD" w:rsidP="007F24F0">
            <w:pPr>
              <w:rPr>
                <w:rFonts w:eastAsia="Times New Roman" w:cs="Times New Roman"/>
                <w:sz w:val="22"/>
                <w:szCs w:val="22"/>
              </w:rPr>
            </w:pPr>
          </w:p>
        </w:tc>
      </w:tr>
      <w:tr w:rsidR="002B17BD" w:rsidRPr="00C6734B" w14:paraId="3457E31F" w14:textId="77777777" w:rsidTr="007F24F0">
        <w:trPr>
          <w:trHeight w:val="1200"/>
        </w:trPr>
        <w:tc>
          <w:tcPr>
            <w:tcW w:w="2880" w:type="dxa"/>
            <w:tcBorders>
              <w:top w:val="nil"/>
              <w:left w:val="nil"/>
              <w:bottom w:val="single" w:sz="4" w:space="0" w:color="auto"/>
              <w:right w:val="nil"/>
            </w:tcBorders>
            <w:shd w:val="clear" w:color="auto" w:fill="auto"/>
            <w:hideMark/>
          </w:tcPr>
          <w:p w14:paraId="2D476932"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GDS2080</w:t>
            </w:r>
            <w:r>
              <w:rPr>
                <w:rFonts w:eastAsia="Times New Roman" w:cs="Times New Roman"/>
                <w:color w:val="000000"/>
                <w:sz w:val="22"/>
                <w:szCs w:val="22"/>
              </w:rPr>
              <w:t xml:space="preserve"> </w:t>
            </w:r>
            <w:r>
              <w:rPr>
                <w:rFonts w:eastAsia="Times New Roman" w:cs="Times New Roman"/>
                <w:color w:val="000000"/>
              </w:rPr>
              <w:fldChar w:fldCharType="begin"/>
            </w:r>
            <w:r>
              <w:rPr>
                <w:rFonts w:eastAsia="Times New Roman" w:cs="Times New Roman"/>
                <w:color w:val="000000"/>
              </w:rPr>
              <w:instrText xml:space="preserve"> ADDIN ZOTERO_ITEM CSL_CITATION {"citationID":"NJwEd51x","properties":{"formattedCitation":"\\super 8\\nosupersub{}","plainCitation":"8","noteIndex":0},"citationItems":[{"id":28810,"uris":["http://zotero.org/users/1314866/items/L7ZVXETY"],"itemData":{"id":28810,"type":"article-journal","abstract":"Although it has been well documented that pre-eclampsia is caused by a combination of maternal and fetal susceptibility genes, little is known about the precise etiology of this complicated disorder. To investigate how the expression of fetal genes contributes to the mechanisms underlying the progression of this disease, we have analyzed differentially expressed genes using placentas from 13 normal pregnancies and 14 pregnancies with severe pre-eclampsia. We performed genome-wide expression profiling using high-density oligonucleotide microarrays, followed by validation using real-time PCR. Among the 47,000 genes that were screened in the microarray, 137 genes were found to be differentially expressed between normal and pre-eclamptic tissues. Among these candidates, 70 were up-regulated and 67 were down-regulated. The up-regulated genes included leptin and inhibin A, which are well-known biological markers for pre-eclampsia, as well as FLT1, which was recently proved to be tightly linked with the etiology of this disease. Gene ontology analysis further revealed several biological processes that could be associated with the development of pre-eclampsia, including response to stress, host–pathogen interactions, lipid metabolism, and carbohydrate metabolism. Analyses of biological mechanisms highlighted some important pathways that may be involved in this disorder, such as the TGF-β and CEBPA-related pathways. Furthermore, when our present subjects were classified as either severe cases of early onset or late onset pre-eclampsia, the expression of 11 genes could be correlated with the severity of this disorder. These genes may therefore prove to be novel biological markers by which the severity of this condition could be predicted. Our data are likely to be a useful future resource in the elucidation of the disease-process and in the identification of novel markers for pre-eclampsia.","container-title":"Placenta","DOI":"10.1016/j.placenta.2006.05.010","ISSN":"0143-4004","issue":"5","journalAbbreviation":"Placenta","page":"487-497","source":"ScienceDirect","title":"Microarray Analysis of Differentially Expressed Fetal Genes in Placental Tissue Derived from Early and Late Onset Severe Pre-eclampsia","volume":"28","author":[{"family":"Nishizawa","given":"H."},{"family":"Pryor-Koishi","given":"K."},{"family":"Kato","given":"T."},{"family":"Kowa","given":"H."},{"family":"Kurahashi","given":"H."},{"family":"Udagawa","given":"Y."}],"issued":{"date-parts":[["2007",5,1]]},"citation-key":"nishizawaMicroarrayAnalysisDifferentially2007"}}],"schema":"https://github.com/citation-style-language/schema/raw/master/csl-citation.json"} </w:instrText>
            </w:r>
            <w:r>
              <w:rPr>
                <w:rFonts w:eastAsia="Times New Roman" w:cs="Times New Roman"/>
                <w:color w:val="000000"/>
              </w:rPr>
              <w:fldChar w:fldCharType="separate"/>
            </w:r>
            <w:r w:rsidRPr="00236A9C">
              <w:rPr>
                <w:rFonts w:cs="Times New Roman"/>
                <w:vertAlign w:val="superscript"/>
              </w:rPr>
              <w:t>8</w:t>
            </w:r>
            <w:r>
              <w:rPr>
                <w:rFonts w:eastAsia="Times New Roman" w:cs="Times New Roman"/>
                <w:color w:val="000000"/>
              </w:rPr>
              <w:fldChar w:fldCharType="end"/>
            </w:r>
            <w:r w:rsidRPr="00C6734B">
              <w:rPr>
                <w:rFonts w:eastAsia="Times New Roman" w:cs="Times New Roman"/>
                <w:color w:val="000000"/>
                <w:sz w:val="22"/>
                <w:szCs w:val="22"/>
              </w:rPr>
              <w:t xml:space="preserve"> - </w:t>
            </w:r>
            <w:r w:rsidRPr="00C6734B">
              <w:rPr>
                <w:rFonts w:eastAsia="Times New Roman" w:cs="Times New Roman"/>
                <w:color w:val="000000"/>
                <w:sz w:val="22"/>
                <w:szCs w:val="22"/>
              </w:rPr>
              <w:br/>
              <w:t xml:space="preserve">Early and late onset severe preeclampsia: placenta </w:t>
            </w:r>
          </w:p>
        </w:tc>
        <w:tc>
          <w:tcPr>
            <w:tcW w:w="2700" w:type="dxa"/>
            <w:tcBorders>
              <w:top w:val="nil"/>
              <w:left w:val="nil"/>
              <w:bottom w:val="single" w:sz="4" w:space="0" w:color="auto"/>
              <w:right w:val="nil"/>
            </w:tcBorders>
            <w:shd w:val="clear" w:color="auto" w:fill="auto"/>
            <w:hideMark/>
          </w:tcPr>
          <w:p w14:paraId="279B675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Agilent-012391 Whole Human Genome Oligo Microarray G4112A</w:t>
            </w:r>
          </w:p>
        </w:tc>
        <w:tc>
          <w:tcPr>
            <w:tcW w:w="1350" w:type="dxa"/>
            <w:tcBorders>
              <w:top w:val="nil"/>
              <w:left w:val="nil"/>
              <w:bottom w:val="single" w:sz="4" w:space="0" w:color="auto"/>
              <w:right w:val="nil"/>
            </w:tcBorders>
            <w:shd w:val="clear" w:color="auto" w:fill="auto"/>
            <w:noWrap/>
            <w:hideMark/>
          </w:tcPr>
          <w:p w14:paraId="0FD8A66A"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14</w:t>
            </w:r>
          </w:p>
        </w:tc>
        <w:tc>
          <w:tcPr>
            <w:tcW w:w="1800" w:type="dxa"/>
            <w:tcBorders>
              <w:top w:val="nil"/>
              <w:left w:val="nil"/>
              <w:bottom w:val="single" w:sz="4" w:space="0" w:color="auto"/>
              <w:right w:val="nil"/>
            </w:tcBorders>
            <w:shd w:val="clear" w:color="auto" w:fill="auto"/>
            <w:hideMark/>
          </w:tcPr>
          <w:p w14:paraId="0574E543"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Preeclampsia vs. normal pregnancy</w:t>
            </w:r>
          </w:p>
        </w:tc>
        <w:tc>
          <w:tcPr>
            <w:tcW w:w="1980" w:type="dxa"/>
            <w:tcBorders>
              <w:top w:val="nil"/>
              <w:left w:val="nil"/>
              <w:bottom w:val="single" w:sz="4" w:space="0" w:color="auto"/>
              <w:right w:val="nil"/>
            </w:tcBorders>
            <w:shd w:val="clear" w:color="auto" w:fill="auto"/>
            <w:noWrap/>
            <w:hideMark/>
          </w:tcPr>
          <w:p w14:paraId="708BEA04"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ERVH48-1</w:t>
            </w:r>
          </w:p>
        </w:tc>
        <w:tc>
          <w:tcPr>
            <w:tcW w:w="2340" w:type="dxa"/>
            <w:tcBorders>
              <w:top w:val="nil"/>
              <w:left w:val="nil"/>
              <w:bottom w:val="single" w:sz="4" w:space="0" w:color="auto"/>
              <w:right w:val="nil"/>
            </w:tcBorders>
            <w:shd w:val="clear" w:color="auto" w:fill="auto"/>
            <w:hideMark/>
          </w:tcPr>
          <w:p w14:paraId="429DA1E0" w14:textId="77777777" w:rsidR="002B17BD" w:rsidRPr="00C6734B" w:rsidRDefault="002B17BD" w:rsidP="007F24F0">
            <w:pPr>
              <w:rPr>
                <w:rFonts w:eastAsia="Times New Roman" w:cs="Times New Roman"/>
                <w:color w:val="000000"/>
                <w:sz w:val="22"/>
                <w:szCs w:val="22"/>
              </w:rPr>
            </w:pPr>
            <w:r w:rsidRPr="00C6734B">
              <w:rPr>
                <w:rFonts w:eastAsia="Times New Roman" w:cs="Times New Roman"/>
                <w:color w:val="000000"/>
                <w:sz w:val="22"/>
                <w:szCs w:val="22"/>
              </w:rPr>
              <w:t>Trends toward elevated ERVH48-1 in both early- and late-onset preeclampsia compared to normal</w:t>
            </w:r>
          </w:p>
        </w:tc>
      </w:tr>
      <w:tr w:rsidR="002B17BD" w:rsidRPr="00C21483" w14:paraId="40254439" w14:textId="77777777" w:rsidTr="007F24F0">
        <w:trPr>
          <w:trHeight w:val="300"/>
        </w:trPr>
        <w:tc>
          <w:tcPr>
            <w:tcW w:w="2880" w:type="dxa"/>
            <w:tcBorders>
              <w:top w:val="single" w:sz="4" w:space="0" w:color="auto"/>
              <w:left w:val="nil"/>
              <w:bottom w:val="nil"/>
              <w:right w:val="nil"/>
            </w:tcBorders>
            <w:shd w:val="clear" w:color="auto" w:fill="auto"/>
            <w:noWrap/>
            <w:hideMark/>
          </w:tcPr>
          <w:p w14:paraId="2AB0E073" w14:textId="77777777" w:rsidR="002B17BD" w:rsidRPr="007F24F0" w:rsidRDefault="002B17BD" w:rsidP="007F24F0">
            <w:pPr>
              <w:rPr>
                <w:rFonts w:eastAsia="Times New Roman" w:cs="Times New Roman"/>
                <w:color w:val="000000"/>
                <w:sz w:val="22"/>
                <w:szCs w:val="22"/>
              </w:rPr>
            </w:pPr>
          </w:p>
        </w:tc>
        <w:tc>
          <w:tcPr>
            <w:tcW w:w="2700" w:type="dxa"/>
            <w:tcBorders>
              <w:top w:val="single" w:sz="4" w:space="0" w:color="auto"/>
              <w:left w:val="nil"/>
              <w:bottom w:val="nil"/>
              <w:right w:val="nil"/>
            </w:tcBorders>
            <w:shd w:val="clear" w:color="auto" w:fill="auto"/>
            <w:hideMark/>
          </w:tcPr>
          <w:p w14:paraId="5E9F5A7E" w14:textId="77777777" w:rsidR="002B17BD" w:rsidRPr="007F24F0" w:rsidRDefault="002B17BD" w:rsidP="007F24F0">
            <w:pPr>
              <w:rPr>
                <w:rFonts w:eastAsia="Times New Roman" w:cs="Times New Roman"/>
                <w:sz w:val="22"/>
                <w:szCs w:val="22"/>
              </w:rPr>
            </w:pPr>
          </w:p>
        </w:tc>
        <w:tc>
          <w:tcPr>
            <w:tcW w:w="1350" w:type="dxa"/>
            <w:tcBorders>
              <w:top w:val="single" w:sz="4" w:space="0" w:color="auto"/>
              <w:left w:val="nil"/>
              <w:bottom w:val="nil"/>
              <w:right w:val="nil"/>
            </w:tcBorders>
            <w:shd w:val="clear" w:color="auto" w:fill="auto"/>
            <w:noWrap/>
            <w:hideMark/>
          </w:tcPr>
          <w:p w14:paraId="225F6EE3" w14:textId="77777777" w:rsidR="002B17BD" w:rsidRPr="007F24F0" w:rsidRDefault="002B17BD" w:rsidP="007F24F0">
            <w:pPr>
              <w:rPr>
                <w:rFonts w:eastAsia="Times New Roman" w:cs="Times New Roman"/>
                <w:sz w:val="22"/>
                <w:szCs w:val="22"/>
              </w:rPr>
            </w:pPr>
          </w:p>
        </w:tc>
        <w:tc>
          <w:tcPr>
            <w:tcW w:w="1800" w:type="dxa"/>
            <w:tcBorders>
              <w:top w:val="single" w:sz="4" w:space="0" w:color="auto"/>
              <w:left w:val="nil"/>
              <w:bottom w:val="nil"/>
              <w:right w:val="nil"/>
            </w:tcBorders>
            <w:shd w:val="clear" w:color="auto" w:fill="auto"/>
            <w:noWrap/>
            <w:hideMark/>
          </w:tcPr>
          <w:p w14:paraId="422DCF82" w14:textId="77777777" w:rsidR="002B17BD" w:rsidRPr="007F24F0" w:rsidRDefault="002B17BD" w:rsidP="007F24F0">
            <w:pPr>
              <w:rPr>
                <w:rFonts w:eastAsia="Times New Roman" w:cs="Times New Roman"/>
                <w:sz w:val="22"/>
                <w:szCs w:val="22"/>
              </w:rPr>
            </w:pPr>
          </w:p>
        </w:tc>
        <w:tc>
          <w:tcPr>
            <w:tcW w:w="1980" w:type="dxa"/>
            <w:tcBorders>
              <w:top w:val="single" w:sz="4" w:space="0" w:color="auto"/>
              <w:left w:val="nil"/>
              <w:bottom w:val="nil"/>
              <w:right w:val="nil"/>
            </w:tcBorders>
            <w:shd w:val="clear" w:color="auto" w:fill="auto"/>
            <w:noWrap/>
            <w:hideMark/>
          </w:tcPr>
          <w:p w14:paraId="727E8E48" w14:textId="77777777" w:rsidR="002B17BD" w:rsidRPr="007F24F0" w:rsidRDefault="002B17BD" w:rsidP="007F24F0">
            <w:pPr>
              <w:rPr>
                <w:rFonts w:eastAsia="Times New Roman" w:cs="Times New Roman"/>
                <w:sz w:val="22"/>
                <w:szCs w:val="22"/>
              </w:rPr>
            </w:pPr>
          </w:p>
        </w:tc>
        <w:tc>
          <w:tcPr>
            <w:tcW w:w="2340" w:type="dxa"/>
            <w:tcBorders>
              <w:top w:val="single" w:sz="4" w:space="0" w:color="auto"/>
              <w:left w:val="nil"/>
              <w:bottom w:val="nil"/>
              <w:right w:val="nil"/>
            </w:tcBorders>
            <w:shd w:val="clear" w:color="auto" w:fill="auto"/>
            <w:noWrap/>
            <w:hideMark/>
          </w:tcPr>
          <w:p w14:paraId="7C255B1C" w14:textId="77777777" w:rsidR="002B17BD" w:rsidRPr="007F24F0" w:rsidRDefault="002B17BD" w:rsidP="007F24F0">
            <w:pPr>
              <w:rPr>
                <w:rFonts w:eastAsia="Times New Roman" w:cs="Times New Roman"/>
                <w:sz w:val="22"/>
                <w:szCs w:val="22"/>
              </w:rPr>
            </w:pPr>
          </w:p>
        </w:tc>
      </w:tr>
    </w:tbl>
    <w:p w14:paraId="53BA0B88" w14:textId="77777777" w:rsidR="00AA639A" w:rsidRDefault="00AA639A"/>
    <w:p w14:paraId="4A5488A4" w14:textId="77777777" w:rsidR="006048E4" w:rsidRDefault="006048E4">
      <w:pPr>
        <w:sectPr w:rsidR="006048E4" w:rsidSect="00F252F5">
          <w:footerReference w:type="default" r:id="rId7"/>
          <w:pgSz w:w="15840" w:h="12240" w:orient="landscape"/>
          <w:pgMar w:top="1440" w:right="1440" w:bottom="1440" w:left="1440" w:header="720" w:footer="720" w:gutter="0"/>
          <w:cols w:space="720"/>
          <w:docGrid w:linePitch="360"/>
        </w:sectPr>
      </w:pPr>
    </w:p>
    <w:p w14:paraId="60D84A0F" w14:textId="6C35C0AF" w:rsidR="006048E4" w:rsidRDefault="006048E4">
      <w:pPr>
        <w:rPr>
          <w:b/>
          <w:bCs/>
        </w:rPr>
      </w:pPr>
      <w:r>
        <w:rPr>
          <w:b/>
          <w:bCs/>
        </w:rPr>
        <w:lastRenderedPageBreak/>
        <w:t>References</w:t>
      </w:r>
    </w:p>
    <w:p w14:paraId="71F313E7" w14:textId="77777777" w:rsidR="00332979" w:rsidRDefault="00332979">
      <w:pPr>
        <w:rPr>
          <w:b/>
          <w:bCs/>
        </w:rPr>
      </w:pPr>
    </w:p>
    <w:p w14:paraId="751698D5" w14:textId="77777777" w:rsidR="00236A9C" w:rsidRPr="00236A9C" w:rsidRDefault="00236A9C" w:rsidP="00236A9C">
      <w:pPr>
        <w:pStyle w:val="Bibliography"/>
        <w:rPr>
          <w:rFonts w:cs="Times New Roman"/>
        </w:rPr>
      </w:pPr>
      <w:r>
        <w:rPr>
          <w:b/>
          <w:bCs/>
        </w:rPr>
        <w:fldChar w:fldCharType="begin"/>
      </w:r>
      <w:r>
        <w:rPr>
          <w:b/>
          <w:bCs/>
        </w:rPr>
        <w:instrText xml:space="preserve"> ADDIN ZOTERO_BIBL {"uncited":[],"omitted":[],"custom":[]} CSL_BIBLIOGRAPHY </w:instrText>
      </w:r>
      <w:r>
        <w:rPr>
          <w:b/>
          <w:bCs/>
        </w:rPr>
        <w:fldChar w:fldCharType="separate"/>
      </w:r>
      <w:r w:rsidRPr="00236A9C">
        <w:rPr>
          <w:rFonts w:cs="Times New Roman"/>
        </w:rPr>
        <w:t>1.</w:t>
      </w:r>
      <w:r w:rsidRPr="00236A9C">
        <w:rPr>
          <w:rFonts w:cs="Times New Roman"/>
        </w:rPr>
        <w:tab/>
        <w:t xml:space="preserve">Cvitic S, Longtine MS, Hackl H, et al. The Human Placental Sexome Differs between Trophoblast Epithelium and Villous Vessel Endothelium. </w:t>
      </w:r>
      <w:r w:rsidRPr="00236A9C">
        <w:rPr>
          <w:rFonts w:cs="Times New Roman"/>
          <w:i/>
          <w:iCs/>
        </w:rPr>
        <w:t>PLoS One</w:t>
      </w:r>
      <w:r w:rsidRPr="00236A9C">
        <w:rPr>
          <w:rFonts w:cs="Times New Roman"/>
        </w:rPr>
        <w:t>. 2013;8(10):e79233. doi:10.1371/journal.pone.0079233</w:t>
      </w:r>
    </w:p>
    <w:p w14:paraId="7EF21471" w14:textId="77777777" w:rsidR="00236A9C" w:rsidRPr="00236A9C" w:rsidRDefault="00236A9C" w:rsidP="00236A9C">
      <w:pPr>
        <w:pStyle w:val="Bibliography"/>
        <w:rPr>
          <w:rFonts w:cs="Times New Roman"/>
        </w:rPr>
      </w:pPr>
      <w:r w:rsidRPr="00236A9C">
        <w:rPr>
          <w:rFonts w:cs="Times New Roman"/>
        </w:rPr>
        <w:t>2.</w:t>
      </w:r>
      <w:r w:rsidRPr="00236A9C">
        <w:rPr>
          <w:rFonts w:cs="Times New Roman"/>
        </w:rPr>
        <w:tab/>
        <w:t xml:space="preserve">Ben Amara A, Gorvel L, Baulan K, et al. Placental Macrophages Are Impaired in Chorioamnionitis, an Infectious Pathology of the Placenta. </w:t>
      </w:r>
      <w:r w:rsidRPr="00236A9C">
        <w:rPr>
          <w:rFonts w:cs="Times New Roman"/>
          <w:i/>
          <w:iCs/>
        </w:rPr>
        <w:t>The Journal of Immunology</w:t>
      </w:r>
      <w:r w:rsidRPr="00236A9C">
        <w:rPr>
          <w:rFonts w:cs="Times New Roman"/>
        </w:rPr>
        <w:t>. 2013;191(11):5501-5514. doi:10.4049/jimmunol.1300988</w:t>
      </w:r>
    </w:p>
    <w:p w14:paraId="28073700" w14:textId="77777777" w:rsidR="00236A9C" w:rsidRPr="00236A9C" w:rsidRDefault="00236A9C" w:rsidP="00236A9C">
      <w:pPr>
        <w:pStyle w:val="Bibliography"/>
        <w:rPr>
          <w:rFonts w:cs="Times New Roman"/>
        </w:rPr>
      </w:pPr>
      <w:r w:rsidRPr="00236A9C">
        <w:rPr>
          <w:rFonts w:cs="Times New Roman"/>
        </w:rPr>
        <w:t>3.</w:t>
      </w:r>
      <w:r w:rsidRPr="00236A9C">
        <w:rPr>
          <w:rFonts w:cs="Times New Roman"/>
        </w:rPr>
        <w:tab/>
        <w:t xml:space="preserve">Jiang X, Bar HY, Yan J, et al. A higher maternal choline intake among third-trimester pregnant women lowers placental and circulating concentrations of the antiangiogenic factor fms-like tyrosine kinase-1 (sFLT1). </w:t>
      </w:r>
      <w:r w:rsidRPr="00236A9C">
        <w:rPr>
          <w:rFonts w:cs="Times New Roman"/>
          <w:i/>
          <w:iCs/>
        </w:rPr>
        <w:t>FASEB J</w:t>
      </w:r>
      <w:r w:rsidRPr="00236A9C">
        <w:rPr>
          <w:rFonts w:cs="Times New Roman"/>
        </w:rPr>
        <w:t>. 2013;27(3):1245-1253. doi:10.1096/fj.12-221648</w:t>
      </w:r>
    </w:p>
    <w:p w14:paraId="37D5CFE5" w14:textId="77777777" w:rsidR="00236A9C" w:rsidRPr="00236A9C" w:rsidRDefault="00236A9C" w:rsidP="00236A9C">
      <w:pPr>
        <w:pStyle w:val="Bibliography"/>
        <w:rPr>
          <w:rFonts w:cs="Times New Roman"/>
        </w:rPr>
      </w:pPr>
      <w:r w:rsidRPr="00236A9C">
        <w:rPr>
          <w:rFonts w:cs="Times New Roman"/>
        </w:rPr>
        <w:t>4.</w:t>
      </w:r>
      <w:r w:rsidRPr="00236A9C">
        <w:rPr>
          <w:rFonts w:cs="Times New Roman"/>
        </w:rPr>
        <w:tab/>
        <w:t xml:space="preserve">She X, Rohl CA, Castle JC, Kulkarni AV, Johnson JM, Chen R. Definition, conservation and epigenetics of housekeeping and tissue-enriched genes. </w:t>
      </w:r>
      <w:r w:rsidRPr="00236A9C">
        <w:rPr>
          <w:rFonts w:cs="Times New Roman"/>
          <w:i/>
          <w:iCs/>
        </w:rPr>
        <w:t>BMC Genomics</w:t>
      </w:r>
      <w:r w:rsidRPr="00236A9C">
        <w:rPr>
          <w:rFonts w:cs="Times New Roman"/>
        </w:rPr>
        <w:t>. 2009;10:269. doi:10.1186/1471-2164-10-269</w:t>
      </w:r>
    </w:p>
    <w:p w14:paraId="20955651" w14:textId="77777777" w:rsidR="00236A9C" w:rsidRPr="00236A9C" w:rsidRDefault="00236A9C" w:rsidP="00236A9C">
      <w:pPr>
        <w:pStyle w:val="Bibliography"/>
        <w:rPr>
          <w:rFonts w:cs="Times New Roman"/>
        </w:rPr>
      </w:pPr>
      <w:r w:rsidRPr="00236A9C">
        <w:rPr>
          <w:rFonts w:cs="Times New Roman"/>
        </w:rPr>
        <w:t>5.</w:t>
      </w:r>
      <w:r w:rsidRPr="00236A9C">
        <w:rPr>
          <w:rFonts w:cs="Times New Roman"/>
        </w:rPr>
        <w:tab/>
        <w:t xml:space="preserve">Mikheev AM, Nabekura T, Kaddoumi A, et al. Profiling Gene Expression in Human Placentae of Different Gestational Ages: an OPRU Network and UW SCOR Study. </w:t>
      </w:r>
      <w:r w:rsidRPr="00236A9C">
        <w:rPr>
          <w:rFonts w:cs="Times New Roman"/>
          <w:i/>
          <w:iCs/>
        </w:rPr>
        <w:t>Reprod Sci</w:t>
      </w:r>
      <w:r w:rsidRPr="00236A9C">
        <w:rPr>
          <w:rFonts w:cs="Times New Roman"/>
        </w:rPr>
        <w:t>. 2008;15(9):866-877. doi:10.1177/1933719108322425</w:t>
      </w:r>
    </w:p>
    <w:p w14:paraId="1C1D17E7" w14:textId="77777777" w:rsidR="00236A9C" w:rsidRPr="00236A9C" w:rsidRDefault="00236A9C" w:rsidP="00236A9C">
      <w:pPr>
        <w:pStyle w:val="Bibliography"/>
        <w:rPr>
          <w:rFonts w:cs="Times New Roman"/>
        </w:rPr>
      </w:pPr>
      <w:r w:rsidRPr="00236A9C">
        <w:rPr>
          <w:rFonts w:cs="Times New Roman"/>
        </w:rPr>
        <w:t>6.</w:t>
      </w:r>
      <w:r w:rsidRPr="00236A9C">
        <w:rPr>
          <w:rFonts w:cs="Times New Roman"/>
        </w:rPr>
        <w:tab/>
        <w:t xml:space="preserve">Huuskonen P, Storvik M, Reinisalo M, et al. Microarray Analysis of the Global Alterations in the Gene Expression in the Placentas From Cigarette-smoking Mothers. </w:t>
      </w:r>
      <w:r w:rsidRPr="00236A9C">
        <w:rPr>
          <w:rFonts w:cs="Times New Roman"/>
          <w:i/>
          <w:iCs/>
        </w:rPr>
        <w:t>Clinical Pharmacology &amp; Therapeutics</w:t>
      </w:r>
      <w:r w:rsidRPr="00236A9C">
        <w:rPr>
          <w:rFonts w:cs="Times New Roman"/>
        </w:rPr>
        <w:t>. 2008;83(4):542-550. doi:10.1038/sj.clpt.6100376</w:t>
      </w:r>
    </w:p>
    <w:p w14:paraId="232AAE6B" w14:textId="77777777" w:rsidR="00236A9C" w:rsidRPr="00236A9C" w:rsidRDefault="00236A9C" w:rsidP="00236A9C">
      <w:pPr>
        <w:pStyle w:val="Bibliography"/>
        <w:rPr>
          <w:rFonts w:cs="Times New Roman"/>
        </w:rPr>
      </w:pPr>
      <w:r w:rsidRPr="00236A9C">
        <w:rPr>
          <w:rFonts w:cs="Times New Roman"/>
        </w:rPr>
        <w:t>7.</w:t>
      </w:r>
      <w:r w:rsidRPr="00236A9C">
        <w:rPr>
          <w:rFonts w:cs="Times New Roman"/>
        </w:rPr>
        <w:tab/>
        <w:t xml:space="preserve">Herse F, Dechend R, Harsem NK, et al. Dysregulation of the Circulating and Tissue-Based Renin-Angiotensin System in Preeclampsia. </w:t>
      </w:r>
      <w:r w:rsidRPr="00236A9C">
        <w:rPr>
          <w:rFonts w:cs="Times New Roman"/>
          <w:i/>
          <w:iCs/>
        </w:rPr>
        <w:t>Hypertension</w:t>
      </w:r>
      <w:r w:rsidRPr="00236A9C">
        <w:rPr>
          <w:rFonts w:cs="Times New Roman"/>
        </w:rPr>
        <w:t>. 2007;49(3):604-611. doi:10.1161/01.HYP.0000257797.49289.71</w:t>
      </w:r>
    </w:p>
    <w:p w14:paraId="37720CDF" w14:textId="77777777" w:rsidR="00236A9C" w:rsidRPr="00236A9C" w:rsidRDefault="00236A9C" w:rsidP="00236A9C">
      <w:pPr>
        <w:pStyle w:val="Bibliography"/>
        <w:rPr>
          <w:rFonts w:cs="Times New Roman"/>
        </w:rPr>
      </w:pPr>
      <w:r w:rsidRPr="00236A9C">
        <w:rPr>
          <w:rFonts w:cs="Times New Roman"/>
        </w:rPr>
        <w:t>8.</w:t>
      </w:r>
      <w:r w:rsidRPr="00236A9C">
        <w:rPr>
          <w:rFonts w:cs="Times New Roman"/>
        </w:rPr>
        <w:tab/>
        <w:t xml:space="preserve">Nishizawa H, Pryor-Koishi K, Kato T, Kowa H, Kurahashi H, Udagawa Y. Microarray Analysis of Differentially Expressed Fetal Genes in Placental Tissue Derived from Early and Late Onset Severe Pre-eclampsia. </w:t>
      </w:r>
      <w:r w:rsidRPr="00236A9C">
        <w:rPr>
          <w:rFonts w:cs="Times New Roman"/>
          <w:i/>
          <w:iCs/>
        </w:rPr>
        <w:t>Placenta</w:t>
      </w:r>
      <w:r w:rsidRPr="00236A9C">
        <w:rPr>
          <w:rFonts w:cs="Times New Roman"/>
        </w:rPr>
        <w:t>. 2007;28(5):487-497. doi:10.1016/j.placenta.2006.05.010</w:t>
      </w:r>
    </w:p>
    <w:p w14:paraId="45B4C3A0" w14:textId="6B9E671E" w:rsidR="00332979" w:rsidRPr="00D81C3D" w:rsidRDefault="00236A9C">
      <w:pPr>
        <w:rPr>
          <w:b/>
          <w:bCs/>
        </w:rPr>
      </w:pPr>
      <w:r>
        <w:rPr>
          <w:b/>
          <w:bCs/>
        </w:rPr>
        <w:fldChar w:fldCharType="end"/>
      </w:r>
    </w:p>
    <w:sectPr w:rsidR="00332979" w:rsidRPr="00D81C3D" w:rsidSect="00471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1913" w14:textId="77777777" w:rsidR="00AA639A" w:rsidRDefault="00AA639A" w:rsidP="00AA639A">
      <w:r>
        <w:separator/>
      </w:r>
    </w:p>
  </w:endnote>
  <w:endnote w:type="continuationSeparator" w:id="0">
    <w:p w14:paraId="343CDE84" w14:textId="77777777" w:rsidR="00AA639A" w:rsidRDefault="00AA639A" w:rsidP="00A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907389"/>
      <w:docPartObj>
        <w:docPartGallery w:val="Page Numbers (Bottom of Page)"/>
        <w:docPartUnique/>
      </w:docPartObj>
    </w:sdtPr>
    <w:sdtEndPr>
      <w:rPr>
        <w:noProof/>
      </w:rPr>
    </w:sdtEndPr>
    <w:sdtContent>
      <w:p w14:paraId="34BD48DD" w14:textId="717685C1" w:rsidR="00AA639A" w:rsidRDefault="00AA63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51064" w14:textId="77777777" w:rsidR="00AA639A" w:rsidRDefault="00AA6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40C4" w14:textId="77777777" w:rsidR="00AA639A" w:rsidRDefault="00AA639A" w:rsidP="00AA639A">
      <w:r>
        <w:separator/>
      </w:r>
    </w:p>
  </w:footnote>
  <w:footnote w:type="continuationSeparator" w:id="0">
    <w:p w14:paraId="458C2CAC" w14:textId="77777777" w:rsidR="00AA639A" w:rsidRDefault="00AA639A" w:rsidP="00AA6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F5"/>
    <w:rsid w:val="0001468B"/>
    <w:rsid w:val="00077A1D"/>
    <w:rsid w:val="000A16BA"/>
    <w:rsid w:val="00153D40"/>
    <w:rsid w:val="001D528D"/>
    <w:rsid w:val="00236A9C"/>
    <w:rsid w:val="00246719"/>
    <w:rsid w:val="00246CB8"/>
    <w:rsid w:val="002472E6"/>
    <w:rsid w:val="0026303D"/>
    <w:rsid w:val="002B17BD"/>
    <w:rsid w:val="002C68BE"/>
    <w:rsid w:val="002F37BE"/>
    <w:rsid w:val="003324A4"/>
    <w:rsid w:val="00332979"/>
    <w:rsid w:val="00396E73"/>
    <w:rsid w:val="003C65F0"/>
    <w:rsid w:val="003D02E7"/>
    <w:rsid w:val="003E3D90"/>
    <w:rsid w:val="00413E93"/>
    <w:rsid w:val="00416754"/>
    <w:rsid w:val="00471BB7"/>
    <w:rsid w:val="004907DD"/>
    <w:rsid w:val="004C5BED"/>
    <w:rsid w:val="00535B6E"/>
    <w:rsid w:val="00576CF9"/>
    <w:rsid w:val="005A7189"/>
    <w:rsid w:val="005B738E"/>
    <w:rsid w:val="005C593B"/>
    <w:rsid w:val="005E18F6"/>
    <w:rsid w:val="005E1C1C"/>
    <w:rsid w:val="005E51BA"/>
    <w:rsid w:val="006006A8"/>
    <w:rsid w:val="006048E4"/>
    <w:rsid w:val="006227EF"/>
    <w:rsid w:val="006424BD"/>
    <w:rsid w:val="006623D2"/>
    <w:rsid w:val="006629AD"/>
    <w:rsid w:val="006C1CF4"/>
    <w:rsid w:val="006E5184"/>
    <w:rsid w:val="007265BE"/>
    <w:rsid w:val="00737C94"/>
    <w:rsid w:val="007456A6"/>
    <w:rsid w:val="00754566"/>
    <w:rsid w:val="007A32F8"/>
    <w:rsid w:val="007D1F41"/>
    <w:rsid w:val="00803B7E"/>
    <w:rsid w:val="00835719"/>
    <w:rsid w:val="00866335"/>
    <w:rsid w:val="00880247"/>
    <w:rsid w:val="008E3EB4"/>
    <w:rsid w:val="0090249B"/>
    <w:rsid w:val="009239C3"/>
    <w:rsid w:val="00954937"/>
    <w:rsid w:val="00956305"/>
    <w:rsid w:val="009A7FE8"/>
    <w:rsid w:val="009B7973"/>
    <w:rsid w:val="009D01D9"/>
    <w:rsid w:val="00A76550"/>
    <w:rsid w:val="00AA639A"/>
    <w:rsid w:val="00AB0F0D"/>
    <w:rsid w:val="00AB317E"/>
    <w:rsid w:val="00AC04A7"/>
    <w:rsid w:val="00AE48DE"/>
    <w:rsid w:val="00B73718"/>
    <w:rsid w:val="00B73933"/>
    <w:rsid w:val="00B75012"/>
    <w:rsid w:val="00B85F00"/>
    <w:rsid w:val="00B87A4F"/>
    <w:rsid w:val="00BA6F8F"/>
    <w:rsid w:val="00BF7D3E"/>
    <w:rsid w:val="00C21483"/>
    <w:rsid w:val="00C61E2A"/>
    <w:rsid w:val="00C6734B"/>
    <w:rsid w:val="00D13C05"/>
    <w:rsid w:val="00D549C0"/>
    <w:rsid w:val="00D6471C"/>
    <w:rsid w:val="00D674EF"/>
    <w:rsid w:val="00D81C3D"/>
    <w:rsid w:val="00DE5431"/>
    <w:rsid w:val="00E0136B"/>
    <w:rsid w:val="00E45821"/>
    <w:rsid w:val="00E50C66"/>
    <w:rsid w:val="00E5536D"/>
    <w:rsid w:val="00E65CE4"/>
    <w:rsid w:val="00E81C26"/>
    <w:rsid w:val="00E87FC2"/>
    <w:rsid w:val="00EC1407"/>
    <w:rsid w:val="00F252F5"/>
    <w:rsid w:val="00FC58BE"/>
    <w:rsid w:val="00FF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47762"/>
  <w15:chartTrackingRefBased/>
  <w15:docId w15:val="{F025B45D-1B6F-400D-A1BB-69FF501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2F5"/>
    <w:pPr>
      <w:spacing w:after="0" w:line="240" w:lineRule="auto"/>
    </w:pPr>
    <w:rPr>
      <w:rFonts w:ascii="Times New Roman" w:hAnsi="Times New Roman" w:cs="Times New Roman (Body CS)"/>
      <w:kern w:val="0"/>
      <w:sz w:val="24"/>
      <w:szCs w:val="24"/>
      <w14:ligatures w14:val="none"/>
    </w:rPr>
  </w:style>
  <w:style w:type="paragraph" w:styleId="Heading1">
    <w:name w:val="heading 1"/>
    <w:basedOn w:val="Normal"/>
    <w:next w:val="Normal"/>
    <w:link w:val="Heading1Char"/>
    <w:uiPriority w:val="9"/>
    <w:qFormat/>
    <w:rsid w:val="00F252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52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252F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52F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252F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252F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252F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252F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252F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5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2F5"/>
    <w:rPr>
      <w:rFonts w:eastAsiaTheme="majorEastAsia" w:cstheme="majorBidi"/>
      <w:color w:val="272727" w:themeColor="text1" w:themeTint="D8"/>
    </w:rPr>
  </w:style>
  <w:style w:type="paragraph" w:styleId="Title">
    <w:name w:val="Title"/>
    <w:basedOn w:val="Normal"/>
    <w:next w:val="Normal"/>
    <w:link w:val="TitleChar"/>
    <w:uiPriority w:val="10"/>
    <w:qFormat/>
    <w:rsid w:val="00F252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5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2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5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2F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252F5"/>
    <w:rPr>
      <w:i/>
      <w:iCs/>
      <w:color w:val="404040" w:themeColor="text1" w:themeTint="BF"/>
    </w:rPr>
  </w:style>
  <w:style w:type="paragraph" w:styleId="ListParagraph">
    <w:name w:val="List Paragraph"/>
    <w:basedOn w:val="Normal"/>
    <w:uiPriority w:val="34"/>
    <w:qFormat/>
    <w:rsid w:val="00F252F5"/>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252F5"/>
    <w:rPr>
      <w:i/>
      <w:iCs/>
      <w:color w:val="0F4761" w:themeColor="accent1" w:themeShade="BF"/>
    </w:rPr>
  </w:style>
  <w:style w:type="paragraph" w:styleId="IntenseQuote">
    <w:name w:val="Intense Quote"/>
    <w:basedOn w:val="Normal"/>
    <w:next w:val="Normal"/>
    <w:link w:val="IntenseQuoteChar"/>
    <w:uiPriority w:val="30"/>
    <w:qFormat/>
    <w:rsid w:val="00F252F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252F5"/>
    <w:rPr>
      <w:i/>
      <w:iCs/>
      <w:color w:val="0F4761" w:themeColor="accent1" w:themeShade="BF"/>
    </w:rPr>
  </w:style>
  <w:style w:type="character" w:styleId="IntenseReference">
    <w:name w:val="Intense Reference"/>
    <w:basedOn w:val="DefaultParagraphFont"/>
    <w:uiPriority w:val="32"/>
    <w:qFormat/>
    <w:rsid w:val="00F252F5"/>
    <w:rPr>
      <w:b/>
      <w:bCs/>
      <w:smallCaps/>
      <w:color w:val="0F4761" w:themeColor="accent1" w:themeShade="BF"/>
      <w:spacing w:val="5"/>
    </w:rPr>
  </w:style>
  <w:style w:type="paragraph" w:styleId="Revision">
    <w:name w:val="Revision"/>
    <w:hidden/>
    <w:uiPriority w:val="99"/>
    <w:semiHidden/>
    <w:rsid w:val="005A7189"/>
    <w:pPr>
      <w:spacing w:after="0" w:line="240" w:lineRule="auto"/>
    </w:pPr>
    <w:rPr>
      <w:rFonts w:ascii="Times New Roman" w:hAnsi="Times New Roman" w:cs="Times New Roman (Body CS)"/>
      <w:kern w:val="0"/>
      <w:sz w:val="24"/>
      <w:szCs w:val="24"/>
      <w14:ligatures w14:val="none"/>
    </w:rPr>
  </w:style>
  <w:style w:type="paragraph" w:styleId="Header">
    <w:name w:val="header"/>
    <w:basedOn w:val="Normal"/>
    <w:link w:val="HeaderChar"/>
    <w:uiPriority w:val="99"/>
    <w:unhideWhenUsed/>
    <w:rsid w:val="00AA639A"/>
    <w:pPr>
      <w:tabs>
        <w:tab w:val="center" w:pos="4680"/>
        <w:tab w:val="right" w:pos="9360"/>
      </w:tabs>
    </w:pPr>
  </w:style>
  <w:style w:type="character" w:customStyle="1" w:styleId="HeaderChar">
    <w:name w:val="Header Char"/>
    <w:basedOn w:val="DefaultParagraphFont"/>
    <w:link w:val="Header"/>
    <w:uiPriority w:val="99"/>
    <w:rsid w:val="00AA639A"/>
    <w:rPr>
      <w:rFonts w:ascii="Times New Roman" w:hAnsi="Times New Roman" w:cs="Times New Roman (Body CS)"/>
      <w:kern w:val="0"/>
      <w:sz w:val="24"/>
      <w:szCs w:val="24"/>
      <w14:ligatures w14:val="none"/>
    </w:rPr>
  </w:style>
  <w:style w:type="paragraph" w:styleId="Footer">
    <w:name w:val="footer"/>
    <w:basedOn w:val="Normal"/>
    <w:link w:val="FooterChar"/>
    <w:uiPriority w:val="99"/>
    <w:unhideWhenUsed/>
    <w:rsid w:val="00AA639A"/>
    <w:pPr>
      <w:tabs>
        <w:tab w:val="center" w:pos="4680"/>
        <w:tab w:val="right" w:pos="9360"/>
      </w:tabs>
    </w:pPr>
  </w:style>
  <w:style w:type="character" w:customStyle="1" w:styleId="FooterChar">
    <w:name w:val="Footer Char"/>
    <w:basedOn w:val="DefaultParagraphFont"/>
    <w:link w:val="Footer"/>
    <w:uiPriority w:val="99"/>
    <w:rsid w:val="00AA639A"/>
    <w:rPr>
      <w:rFonts w:ascii="Times New Roman" w:hAnsi="Times New Roman" w:cs="Times New Roman (Body CS)"/>
      <w:kern w:val="0"/>
      <w:sz w:val="24"/>
      <w:szCs w:val="24"/>
      <w14:ligatures w14:val="none"/>
    </w:rPr>
  </w:style>
  <w:style w:type="paragraph" w:styleId="Bibliography">
    <w:name w:val="Bibliography"/>
    <w:basedOn w:val="Normal"/>
    <w:next w:val="Normal"/>
    <w:uiPriority w:val="37"/>
    <w:unhideWhenUsed/>
    <w:rsid w:val="00236A9C"/>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7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2A7C-12B5-41A5-A7EA-504C73B2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4464</Words>
  <Characters>25447</Characters>
  <Application>Microsoft Office Word</Application>
  <DocSecurity>0</DocSecurity>
  <Lines>212</Lines>
  <Paragraphs>59</Paragraphs>
  <ScaleCrop>false</ScaleCrop>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Hussey</dc:creator>
  <cp:keywords/>
  <dc:description/>
  <cp:lastModifiedBy>Michael Hussey</cp:lastModifiedBy>
  <cp:revision>85</cp:revision>
  <dcterms:created xsi:type="dcterms:W3CDTF">2024-04-30T07:17:00Z</dcterms:created>
  <dcterms:modified xsi:type="dcterms:W3CDTF">2025-03-27T08:45:00Z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id="4R37Pwz7"/&gt;&lt;style id="http://www.zotero.org/styles/epidemiology" hasBibliography="1" bibliographyStyleHasBeenSet="1"/&gt;&lt;prefs&gt;&lt;pref name="fieldType" value="Field"/&gt;&lt;/prefs&gt;&lt;/data&gt;</vt:lpwstr>
  </property>
</Properties>
</file>