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ackground w:color="FFFFFF"/>
  <w:body>
    <w:p w:rsidR="00000000" w:rsidDel="00000000" w:rsidP="00000000" w:rsidRDefault="00000000" w:rsidRPr="00000000" w14:paraId="00000001">
      <w:pPr>
        <w:spacing w:line="240" w:lineRule="auto"/>
        <w:ind w:right="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Supplement A: </w:t>
      </w:r>
      <w:r w:rsidDel="00000000" w:rsidR="00000000" w:rsidRPr="00000000">
        <w:rPr>
          <w:rFonts w:ascii="Times New Roman" w:cs="Times New Roman" w:eastAsia="Times New Roman" w:hAnsi="Times New Roman"/>
          <w:sz w:val="24"/>
          <w:szCs w:val="24"/>
          <w:rtl w:val="0"/>
        </w:rPr>
        <w:t xml:space="preserve">Number of customers in California de-energized through public safety power shutoffs by utility companies in California. Data from California Public Utilities Commission Public PSPS Dashboard: https://capuc.maps.arcgis.com/apps/dashboards/ecd21b1c204f47da8b1fcc4c5c3b7d3a</w:t>
      </w:r>
    </w:p>
    <w:p w:rsidR="00000000" w:rsidDel="00000000" w:rsidP="00000000" w:rsidRDefault="00000000" w:rsidRPr="00000000" w14:paraId="00000002">
      <w:pPr>
        <w:spacing w:line="240" w:lineRule="auto"/>
        <w:ind w:right="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3">
      <w:pPr>
        <w:spacing w:line="240" w:lineRule="auto"/>
        <w:ind w:right="72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114300" distT="114300" distL="114300" distR="114300">
            <wp:extent cx="4691063" cy="5816918"/>
            <wp:effectExtent b="12700" l="12700" r="12700" t="12700"/>
            <wp:docPr id="2"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4691063" cy="5816918"/>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04">
      <w:pPr>
        <w:spacing w:line="240" w:lineRule="auto"/>
        <w:ind w:right="720"/>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5">
      <w:pPr>
        <w:spacing w:line="240" w:lineRule="auto"/>
        <w:ind w:right="720"/>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6">
      <w:pPr>
        <w:spacing w:line="240" w:lineRule="auto"/>
        <w:ind w:right="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7">
      <w:pPr>
        <w:spacing w:line="240" w:lineRule="auto"/>
        <w:ind w:right="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8">
      <w:pPr>
        <w:spacing w:line="240" w:lineRule="auto"/>
        <w:ind w:right="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9">
      <w:pPr>
        <w:spacing w:line="240" w:lineRule="auto"/>
        <w:ind w:right="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A">
      <w:pPr>
        <w:spacing w:line="240" w:lineRule="auto"/>
        <w:ind w:right="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B">
      <w:pPr>
        <w:spacing w:line="240" w:lineRule="auto"/>
        <w:ind w:right="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C">
      <w:pPr>
        <w:spacing w:line="240" w:lineRule="auto"/>
        <w:ind w:right="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Supplement B:</w:t>
      </w:r>
      <w:r w:rsidDel="00000000" w:rsidR="00000000" w:rsidRPr="00000000">
        <w:rPr>
          <w:rFonts w:ascii="Times New Roman" w:cs="Times New Roman" w:eastAsia="Times New Roman" w:hAnsi="Times New Roman"/>
          <w:sz w:val="24"/>
          <w:szCs w:val="24"/>
          <w:rtl w:val="0"/>
        </w:rPr>
        <w:t xml:space="preserve"> Power outage data were sourced from poweroutages.com, which aggregates data from 16 (61.5%) of California’s utility companies, servicing 80% of the population. We used county-level housing unit data from the American Community Survey to approximate the number of customers per county. We defined a county as experiencing a power outage if the number of customers without power was greater than 0.5% of housing units within the county and if the outage lasted at least one hour. We then used tertiles to separate occurrences of power disruptions and customers affected into low, medium, and high categories. We calculated the number of monthly power disruptions in 8-hour windows, to accommodate varying daily power needs for devices like nightly BiPAP machines or mobility devices. Using data from the ASPR emPOWER database, we determined the number of electricity-dependent durable medical equipment (DME) users and the total number of Medicare beneficiaries per county. Using data from the Health Resources and Services Administration (HRSA), we calculated the number of uninsured residents served by Federal (Section 330) Health Center Programs (HCP), look-alikes (organizations that meet Federally Qualified Health Center eligibility requirements), and the percent of low-income residents (below 200% of the Federal Poverty Level) in each county. The ASPR, HRSA, and poverty-level data collectively are a reasonable proxy for the burden of medically vulnerable people and the subset dependent on electricity for their medical needs.</w:t>
      </w:r>
    </w:p>
    <w:p w:rsidR="00000000" w:rsidDel="00000000" w:rsidP="00000000" w:rsidRDefault="00000000" w:rsidRPr="00000000" w14:paraId="0000000D">
      <w:pPr>
        <w:spacing w:line="240" w:lineRule="auto"/>
        <w:ind w:right="720"/>
        <w:rPr>
          <w:rFonts w:ascii="Times New Roman" w:cs="Times New Roman" w:eastAsia="Times New Roman" w:hAnsi="Times New Roman"/>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0E">
      <w:pPr>
        <w:spacing w:line="240" w:lineRule="auto"/>
        <w:ind w:right="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Supplement C:</w:t>
      </w:r>
      <w:r w:rsidDel="00000000" w:rsidR="00000000" w:rsidRPr="00000000">
        <w:rPr>
          <w:rFonts w:ascii="Gungsuh" w:cs="Gungsuh" w:eastAsia="Gungsuh" w:hAnsi="Gungsuh"/>
          <w:sz w:val="24"/>
          <w:szCs w:val="24"/>
          <w:rtl w:val="0"/>
        </w:rPr>
        <w:t xml:space="preserve"> County-wise frequency of power disruption events lasting ≥ 1 day and the total number of customers affected by county, in 2019. The Southern counties of Orange, San Bernadino, and Los Angeles had high numbers of customers affected, as did the Northern counties of Humboldt. The Northern counties of Shasta, Tehama, Butte, El Dorado, Napa, and Sonoma experienced higher numbers of disruptions, with a moderate number of customers affected. </w:t>
      </w:r>
    </w:p>
    <w:p w:rsidR="00000000" w:rsidDel="00000000" w:rsidP="00000000" w:rsidRDefault="00000000" w:rsidRPr="00000000" w14:paraId="0000000F">
      <w:pPr>
        <w:spacing w:line="240" w:lineRule="auto"/>
        <w:ind w:righ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0">
      <w:pPr>
        <w:spacing w:line="240" w:lineRule="auto"/>
        <w:ind w:right="72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Pr>
        <w:drawing>
          <wp:inline distB="114300" distT="114300" distL="114300" distR="114300">
            <wp:extent cx="5105400" cy="5819775"/>
            <wp:effectExtent b="0" l="0" r="0" t="0"/>
            <wp:docPr id="3" name="image4.png"/>
            <a:graphic>
              <a:graphicData uri="http://schemas.openxmlformats.org/drawingml/2006/picture">
                <pic:pic>
                  <pic:nvPicPr>
                    <pic:cNvPr id="0" name="image4.png"/>
                    <pic:cNvPicPr preferRelativeResize="0"/>
                  </pic:nvPicPr>
                  <pic:blipFill>
                    <a:blip r:embed="rId7"/>
                    <a:srcRect b="19487" l="5288" r="8814" t="15277"/>
                    <a:stretch>
                      <a:fillRect/>
                    </a:stretch>
                  </pic:blipFill>
                  <pic:spPr>
                    <a:xfrm>
                      <a:off x="0" y="0"/>
                      <a:ext cx="5105400" cy="5819775"/>
                    </a:xfrm>
                    <a:prstGeom prst="rect"/>
                    <a:ln/>
                  </pic:spPr>
                </pic:pic>
              </a:graphicData>
            </a:graphic>
          </wp:inline>
        </w:drawing>
      </w:r>
      <w:r w:rsidDel="00000000" w:rsidR="00000000" w:rsidRPr="00000000">
        <w:br w:type="page"/>
      </w:r>
      <w:r w:rsidDel="00000000" w:rsidR="00000000" w:rsidRPr="00000000">
        <w:rPr>
          <w:rtl w:val="0"/>
        </w:rPr>
      </w:r>
    </w:p>
    <w:p w:rsidR="00000000" w:rsidDel="00000000" w:rsidP="00000000" w:rsidRDefault="00000000" w:rsidRPr="00000000" w14:paraId="00000011">
      <w:pPr>
        <w:spacing w:line="240" w:lineRule="auto"/>
        <w:ind w:right="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Supplement D:</w:t>
      </w:r>
      <w:r w:rsidDel="00000000" w:rsidR="00000000" w:rsidRPr="00000000">
        <w:rPr>
          <w:rFonts w:ascii="Times New Roman" w:cs="Times New Roman" w:eastAsia="Times New Roman" w:hAnsi="Times New Roman"/>
          <w:sz w:val="24"/>
          <w:szCs w:val="24"/>
          <w:rtl w:val="0"/>
        </w:rPr>
        <w:t xml:space="preserve"> Average number of extreme (24+ hours) power disruptions experienced by customers at the county level in 2019 and the percent of durable medical equipment (DME) users out of Medicare beneficiaries living in each county. Counties with bold names have a high level of vulnerability.</w:t>
      </w:r>
    </w:p>
    <w:p w:rsidR="00000000" w:rsidDel="00000000" w:rsidP="00000000" w:rsidRDefault="00000000" w:rsidRPr="00000000" w14:paraId="00000012">
      <w:pPr>
        <w:spacing w:line="240" w:lineRule="auto"/>
        <w:ind w:right="72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114300" distT="114300" distL="114300" distR="114300">
            <wp:extent cx="4272939" cy="3044987"/>
            <wp:effectExtent b="0" l="0" r="0" t="0"/>
            <wp:docPr id="1" name="image3.png"/>
            <a:graphic>
              <a:graphicData uri="http://schemas.openxmlformats.org/drawingml/2006/picture">
                <pic:pic>
                  <pic:nvPicPr>
                    <pic:cNvPr id="0" name="image3.png"/>
                    <pic:cNvPicPr preferRelativeResize="0"/>
                  </pic:nvPicPr>
                  <pic:blipFill>
                    <a:blip r:embed="rId8"/>
                    <a:srcRect b="0" l="0" r="0" t="0"/>
                    <a:stretch>
                      <a:fillRect/>
                    </a:stretch>
                  </pic:blipFill>
                  <pic:spPr>
                    <a:xfrm>
                      <a:off x="0" y="0"/>
                      <a:ext cx="4272939" cy="3044987"/>
                    </a:xfrm>
                    <a:prstGeom prst="rect"/>
                    <a:ln/>
                  </pic:spPr>
                </pic:pic>
              </a:graphicData>
            </a:graphic>
          </wp:inline>
        </w:drawing>
      </w:r>
      <w:r w:rsidDel="00000000" w:rsidR="00000000" w:rsidRPr="00000000">
        <w:rPr>
          <w:rtl w:val="0"/>
        </w:rPr>
      </w:r>
    </w:p>
    <w:p w:rsidR="00000000" w:rsidDel="00000000" w:rsidP="00000000" w:rsidRDefault="00000000" w:rsidRPr="00000000" w14:paraId="00000013">
      <w:pPr>
        <w:spacing w:line="240" w:lineRule="auto"/>
        <w:ind w:righ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4">
      <w:pPr>
        <w:spacing w:line="240" w:lineRule="auto"/>
        <w:ind w:right="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Supplement E: </w:t>
      </w:r>
      <w:r w:rsidDel="00000000" w:rsidR="00000000" w:rsidRPr="00000000">
        <w:rPr>
          <w:rFonts w:ascii="Times New Roman" w:cs="Times New Roman" w:eastAsia="Times New Roman" w:hAnsi="Times New Roman"/>
          <w:sz w:val="24"/>
          <w:szCs w:val="24"/>
          <w:rtl w:val="0"/>
        </w:rPr>
        <w:t xml:space="preserve">Average number of extreme (24+ hours) power disruptions experienced by customers at the county level in 2019 and the percent of low-income population (below 200% federal poverty line) not served by Health Center Program (HCP) in each county. </w:t>
      </w:r>
    </w:p>
    <w:p w:rsidR="00000000" w:rsidDel="00000000" w:rsidP="00000000" w:rsidRDefault="00000000" w:rsidRPr="00000000" w14:paraId="00000015">
      <w:pPr>
        <w:spacing w:line="240" w:lineRule="auto"/>
        <w:ind w:right="72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114300" distT="114300" distL="114300" distR="114300">
            <wp:extent cx="4288155" cy="3058059"/>
            <wp:effectExtent b="0" l="0" r="0" t="0"/>
            <wp:docPr id="4" name="image2.png"/>
            <a:graphic>
              <a:graphicData uri="http://schemas.openxmlformats.org/drawingml/2006/picture">
                <pic:pic>
                  <pic:nvPicPr>
                    <pic:cNvPr id="0" name="image2.png"/>
                    <pic:cNvPicPr preferRelativeResize="0"/>
                  </pic:nvPicPr>
                  <pic:blipFill>
                    <a:blip r:embed="rId9"/>
                    <a:srcRect b="0" l="0" r="0" t="0"/>
                    <a:stretch>
                      <a:fillRect/>
                    </a:stretch>
                  </pic:blipFill>
                  <pic:spPr>
                    <a:xfrm>
                      <a:off x="0" y="0"/>
                      <a:ext cx="4288155" cy="3058059"/>
                    </a:xfrm>
                    <a:prstGeom prst="rect"/>
                    <a:ln/>
                  </pic:spPr>
                </pic:pic>
              </a:graphicData>
            </a:graphic>
          </wp:inline>
        </w:drawing>
      </w:r>
      <w:r w:rsidDel="00000000" w:rsidR="00000000" w:rsidRPr="00000000">
        <w:rPr>
          <w:rtl w:val="0"/>
        </w:rPr>
      </w:r>
    </w:p>
    <w:p w:rsidR="00000000" w:rsidDel="00000000" w:rsidP="00000000" w:rsidRDefault="00000000" w:rsidRPr="00000000" w14:paraId="00000016">
      <w:pPr>
        <w:spacing w:line="240" w:lineRule="auto"/>
        <w:ind w:righ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7">
      <w:pPr>
        <w:spacing w:line="240" w:lineRule="auto"/>
        <w:ind w:right="720"/>
        <w:rPr/>
      </w:pPr>
      <w:r w:rsidDel="00000000" w:rsidR="00000000" w:rsidRPr="00000000">
        <w:rPr>
          <w:rFonts w:ascii="Times New Roman" w:cs="Times New Roman" w:eastAsia="Times New Roman" w:hAnsi="Times New Roman"/>
          <w:b w:val="1"/>
          <w:sz w:val="24"/>
          <w:szCs w:val="24"/>
          <w:rtl w:val="0"/>
        </w:rPr>
        <w:t xml:space="preserve">Supplement Note:</w:t>
      </w:r>
      <w:r w:rsidDel="00000000" w:rsidR="00000000" w:rsidRPr="00000000">
        <w:rPr>
          <w:rFonts w:ascii="Times New Roman" w:cs="Times New Roman" w:eastAsia="Times New Roman" w:hAnsi="Times New Roman"/>
          <w:sz w:val="24"/>
          <w:szCs w:val="24"/>
          <w:rtl w:val="0"/>
        </w:rPr>
        <w:t xml:space="preserve"> The underlying code and key data files are available in a GitHub repository linked here (</w:t>
      </w:r>
      <w:hyperlink r:id="rId10">
        <w:r w:rsidDel="00000000" w:rsidR="00000000" w:rsidRPr="00000000">
          <w:rPr>
            <w:rFonts w:ascii="Times New Roman" w:cs="Times New Roman" w:eastAsia="Times New Roman" w:hAnsi="Times New Roman"/>
            <w:sz w:val="24"/>
            <w:szCs w:val="24"/>
            <w:u w:val="single"/>
            <w:rtl w:val="0"/>
          </w:rPr>
          <w:t xml:space="preserve">https://github.com/jiashenyue/ca-poweroutage-medical-vulnerable-pop?tab=readme-ov-file</w:t>
        </w:r>
      </w:hyperlink>
      <w:r w:rsidDel="00000000" w:rsidR="00000000" w:rsidRPr="00000000">
        <w:rPr>
          <w:rFonts w:ascii="Times New Roman" w:cs="Times New Roman" w:eastAsia="Times New Roman" w:hAnsi="Times New Roman"/>
          <w:sz w:val="24"/>
          <w:szCs w:val="24"/>
          <w:rtl w:val="0"/>
        </w:rPr>
        <w:t xml:space="preserve">) with a Zenodo data link on the README page. </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 w:name="Gungsuh"/>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hyperlink" Target="https://github.com/jiashenyue/ca-poweroutage-medical-vulnerable-pop?tab=readme-ov-file" TargetMode="External"/><Relationship Id="rId9" Type="http://schemas.openxmlformats.org/officeDocument/2006/relationships/image" Target="media/image2.png"/><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image" Target="media/image4.png"/><Relationship Id="rId8"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