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hd w:fill="ffffff" w:val="clear"/>
        <w:spacing w:after="240" w:before="240" w:line="312"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APPENDIX 1</w:t>
      </w:r>
    </w:p>
    <w:p w:rsidR="00000000" w:rsidDel="00000000" w:rsidP="00000000" w:rsidRDefault="00000000" w:rsidRPr="00000000" w14:paraId="00000002">
      <w:pPr>
        <w:widowControl w:val="0"/>
        <w:shd w:fill="ffffff" w:val="clear"/>
        <w:spacing w:after="240" w:before="240" w:line="312"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Appendix 1</w:t>
      </w:r>
      <w:r w:rsidDel="00000000" w:rsidR="00000000" w:rsidRPr="00000000">
        <w:rPr>
          <w:rFonts w:ascii="Arial" w:cs="Arial" w:eastAsia="Arial" w:hAnsi="Arial"/>
          <w:sz w:val="22"/>
          <w:szCs w:val="22"/>
          <w:rtl w:val="0"/>
        </w:rPr>
        <w:t xml:space="preserve">. Job Action Sheet for the HEOC Health and Safety Officer position in the Arizona Department of Health Services.  Acronyms include ADHS = Arizona Department of Health Services; Appendix P: A collection of lived experiences during the response; CDC = Centers for Disease Control and Prevention; FEMA = Federal Emergency Management Agency; HEOC: Health Emergency Operations Center; HSO = Health and Safety Officer; IAP: Incident Action Plan; ICS: Incident Command System; OSHA = Occupational Safety and Health Administration.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14325.0" w:type="dxa"/>
        <w:jc w:val="left"/>
        <w:tblInd w:w="-7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80"/>
        <w:gridCol w:w="7545"/>
        <w:tblGridChange w:id="0">
          <w:tblGrid>
            <w:gridCol w:w="6780"/>
            <w:gridCol w:w="7545"/>
          </w:tblGrid>
        </w:tblGridChange>
      </w:tblGrid>
      <w:tr>
        <w:trPr>
          <w:cantSplit w:val="0"/>
          <w:trHeight w:val="375" w:hRule="atLeast"/>
          <w:tblHeader w:val="0"/>
        </w:trPr>
        <w:tc>
          <w:tcPr>
            <w:gridSpan w:val="2"/>
            <w:shd w:fill="c4bc96" w:val="clear"/>
          </w:tcPr>
          <w:p w:rsidR="00000000" w:rsidDel="00000000" w:rsidP="00000000" w:rsidRDefault="00000000" w:rsidRPr="00000000" w14:paraId="00000005">
            <w:pPr>
              <w:rPr>
                <w:b w:val="1"/>
              </w:rPr>
            </w:pPr>
            <w:r w:rsidDel="00000000" w:rsidR="00000000" w:rsidRPr="00000000">
              <w:rPr>
                <w:b w:val="1"/>
                <w:rtl w:val="0"/>
              </w:rPr>
              <w:t xml:space="preserve">Position Title:  Health and Safety Officer                                              Section: Incident Command                                                    Reports to: Incident Commander</w:t>
            </w:r>
          </w:p>
        </w:tc>
      </w:tr>
      <w:tr>
        <w:trPr>
          <w:cantSplit w:val="0"/>
          <w:trHeight w:val="675" w:hRule="atLeast"/>
          <w:tblHeader w:val="0"/>
        </w:trPr>
        <w:tc>
          <w:tcPr>
            <w:gridSpan w:val="2"/>
            <w:tcBorders>
              <w:bottom w:color="000000" w:space="0" w:sz="6" w:val="single"/>
            </w:tcBorders>
            <w:vAlign w:val="center"/>
          </w:tcPr>
          <w:p w:rsidR="00000000" w:rsidDel="00000000" w:rsidP="00000000" w:rsidRDefault="00000000" w:rsidRPr="00000000" w14:paraId="00000007">
            <w:pPr>
              <w:rPr/>
            </w:pPr>
            <w:r w:rsidDel="00000000" w:rsidR="00000000" w:rsidRPr="00000000">
              <w:rPr>
                <w:b w:val="1"/>
                <w:rtl w:val="0"/>
              </w:rPr>
              <w:t xml:space="preserve">Objective: </w:t>
            </w:r>
            <w:r w:rsidDel="00000000" w:rsidR="00000000" w:rsidRPr="00000000">
              <w:rPr>
                <w:rtl w:val="0"/>
              </w:rPr>
              <w:t xml:space="preserve"> To monitor and recommend measures for ensuring HEOC personnel physical, mental, emotional and occupational safety, and to assess and/or anticipate and prevent hazardous and unsafe situations.</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shd w:fill="595959" w:val="cle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color w:val="ffffff"/>
              </w:rPr>
            </w:pPr>
            <w:r w:rsidDel="00000000" w:rsidR="00000000" w:rsidRPr="00000000">
              <w:rPr>
                <w:b w:val="1"/>
                <w:color w:val="ffffff"/>
                <w:rtl w:val="0"/>
              </w:rPr>
              <w:t xml:space="preserve">IMMEDIATE ACTIONS (0-2 HOURS)</w:t>
            </w:r>
          </w:p>
        </w:tc>
      </w:tr>
      <w:tr>
        <w:trPr>
          <w:cantSplit w:val="0"/>
          <w:trHeight w:val="3405" w:hRule="atLeast"/>
          <w:tblHeader w:val="0"/>
        </w:trPr>
        <w:tc>
          <w:tcPr>
            <w:gridSpan w:val="2"/>
            <w:tcBorders>
              <w:top w:color="000000" w:space="0" w:sz="6" w:val="single"/>
              <w:bottom w:color="000000" w:space="0" w:sz="6" w:val="single"/>
            </w:tcBorders>
          </w:tcPr>
          <w:p w:rsidR="00000000" w:rsidDel="00000000" w:rsidP="00000000" w:rsidRDefault="00000000" w:rsidRPr="00000000" w14:paraId="0000000B">
            <w:pPr>
              <w:numPr>
                <w:ilvl w:val="0"/>
                <w:numId w:val="4"/>
              </w:numPr>
              <w:spacing w:line="240" w:lineRule="auto"/>
              <w:ind w:left="720" w:hanging="360"/>
              <w:rPr>
                <w:u w:val="none"/>
              </w:rPr>
            </w:pPr>
            <w:r w:rsidDel="00000000" w:rsidR="00000000" w:rsidRPr="00000000">
              <w:rPr>
                <w:rFonts w:ascii="Calibri" w:cs="Calibri" w:eastAsia="Calibri" w:hAnsi="Calibri"/>
                <w:rtl w:val="0"/>
              </w:rPr>
              <w:t xml:space="preserve">Prepare initial hea</w:t>
            </w:r>
            <w:r w:rsidDel="00000000" w:rsidR="00000000" w:rsidRPr="00000000">
              <w:rPr>
                <w:rtl w:val="0"/>
              </w:rPr>
              <w:t xml:space="preserve">lth and </w:t>
            </w:r>
            <w:r w:rsidDel="00000000" w:rsidR="00000000" w:rsidRPr="00000000">
              <w:rPr>
                <w:rFonts w:ascii="Calibri" w:cs="Calibri" w:eastAsia="Calibri" w:hAnsi="Calibri"/>
                <w:rtl w:val="0"/>
              </w:rPr>
              <w:t xml:space="preserve">safety briefing that will be given to HEOC </w:t>
            </w:r>
            <w:r w:rsidDel="00000000" w:rsidR="00000000" w:rsidRPr="00000000">
              <w:rPr>
                <w:rtl w:val="0"/>
              </w:rPr>
              <w:t xml:space="preserve">personnel</w:t>
            </w:r>
            <w:r w:rsidDel="00000000" w:rsidR="00000000" w:rsidRPr="00000000">
              <w:rPr>
                <w:rtl w:val="0"/>
              </w:rPr>
            </w:r>
          </w:p>
          <w:p w:rsidR="00000000" w:rsidDel="00000000" w:rsidP="00000000" w:rsidRDefault="00000000" w:rsidRPr="00000000" w14:paraId="0000000C">
            <w:pPr>
              <w:numPr>
                <w:ilvl w:val="0"/>
                <w:numId w:val="4"/>
              </w:numPr>
              <w:spacing w:after="0" w:line="240" w:lineRule="auto"/>
              <w:ind w:left="720" w:hanging="360"/>
              <w:rPr>
                <w:u w:val="none"/>
              </w:rPr>
            </w:pPr>
            <w:r w:rsidDel="00000000" w:rsidR="00000000" w:rsidRPr="00000000">
              <w:rPr>
                <w:rtl w:val="0"/>
              </w:rPr>
              <w:t xml:space="preserve">Ask HEOC Logistics to print and hang sign “Your Health and Safety Takes Priority Over These Events” in the physical space</w:t>
            </w:r>
          </w:p>
          <w:p w:rsidR="00000000" w:rsidDel="00000000" w:rsidP="00000000" w:rsidRDefault="00000000" w:rsidRPr="00000000" w14:paraId="0000000D">
            <w:pPr>
              <w:numPr>
                <w:ilvl w:val="0"/>
                <w:numId w:val="4"/>
              </w:numPr>
              <w:spacing w:line="240" w:lineRule="auto"/>
              <w:ind w:left="720" w:hanging="360"/>
              <w:rPr>
                <w:u w:val="none"/>
              </w:rPr>
            </w:pPr>
            <w:r w:rsidDel="00000000" w:rsidR="00000000" w:rsidRPr="00000000">
              <w:rPr>
                <w:rtl w:val="0"/>
              </w:rPr>
              <w:t xml:space="preserve">Review materials in the HEOC Health and Safety Officer Folder</w:t>
            </w:r>
          </w:p>
          <w:p w:rsidR="00000000" w:rsidDel="00000000" w:rsidP="00000000" w:rsidRDefault="00000000" w:rsidRPr="00000000" w14:paraId="0000000E">
            <w:pPr>
              <w:numPr>
                <w:ilvl w:val="0"/>
                <w:numId w:val="4"/>
              </w:numPr>
              <w:spacing w:line="240" w:lineRule="auto"/>
              <w:ind w:left="720" w:hanging="360"/>
              <w:rPr>
                <w:u w:val="none"/>
              </w:rPr>
            </w:pPr>
            <w:r w:rsidDel="00000000" w:rsidR="00000000" w:rsidRPr="00000000">
              <w:rPr>
                <w:rFonts w:ascii="Calibri" w:cs="Calibri" w:eastAsia="Calibri" w:hAnsi="Calibri"/>
                <w:rtl w:val="0"/>
              </w:rPr>
              <w:t xml:space="preserve">Participate in planning meetings and </w:t>
            </w:r>
            <w:r w:rsidDel="00000000" w:rsidR="00000000" w:rsidRPr="00000000">
              <w:rPr>
                <w:rtl w:val="0"/>
              </w:rPr>
              <w:t xml:space="preserve">w</w:t>
            </w:r>
            <w:r w:rsidDel="00000000" w:rsidR="00000000" w:rsidRPr="00000000">
              <w:rPr>
                <w:rFonts w:ascii="Calibri" w:cs="Calibri" w:eastAsia="Calibri" w:hAnsi="Calibri"/>
                <w:rtl w:val="0"/>
              </w:rPr>
              <w:t xml:space="preserve">ork with HEOC Planning to Complete ICS 206 Forms and 208</w:t>
            </w:r>
          </w:p>
          <w:p w:rsidR="00000000" w:rsidDel="00000000" w:rsidP="00000000" w:rsidRDefault="00000000" w:rsidRPr="00000000" w14:paraId="0000000F">
            <w:pPr>
              <w:numPr>
                <w:ilvl w:val="0"/>
                <w:numId w:val="4"/>
              </w:numPr>
              <w:spacing w:line="240" w:lineRule="auto"/>
              <w:ind w:left="720" w:hanging="360"/>
              <w:rPr>
                <w:u w:val="none"/>
              </w:rPr>
            </w:pPr>
            <w:r w:rsidDel="00000000" w:rsidR="00000000" w:rsidRPr="00000000">
              <w:rPr>
                <w:rtl w:val="0"/>
              </w:rPr>
              <w:t xml:space="preserve">Establish a weekly cadence of meeting with all Health and Safety Officers</w:t>
            </w:r>
          </w:p>
          <w:p w:rsidR="00000000" w:rsidDel="00000000" w:rsidP="00000000" w:rsidRDefault="00000000" w:rsidRPr="00000000" w14:paraId="00000010">
            <w:pPr>
              <w:numPr>
                <w:ilvl w:val="0"/>
                <w:numId w:val="4"/>
              </w:numPr>
              <w:spacing w:line="240" w:lineRule="auto"/>
              <w:ind w:left="720" w:hanging="360"/>
              <w:rPr>
                <w:u w:val="none"/>
              </w:rPr>
            </w:pPr>
            <w:r w:rsidDel="00000000" w:rsidR="00000000" w:rsidRPr="00000000">
              <w:rPr>
                <w:rtl w:val="0"/>
              </w:rPr>
              <w:t xml:space="preserve">Establish a HSO bench to rotate out every operational period</w:t>
            </w:r>
          </w:p>
          <w:p w:rsidR="00000000" w:rsidDel="00000000" w:rsidP="00000000" w:rsidRDefault="00000000" w:rsidRPr="00000000" w14:paraId="00000011">
            <w:pPr>
              <w:numPr>
                <w:ilvl w:val="0"/>
                <w:numId w:val="4"/>
              </w:numPr>
              <w:spacing w:line="240" w:lineRule="auto"/>
              <w:ind w:left="720" w:hanging="360"/>
              <w:rPr>
                <w:u w:val="none"/>
              </w:rPr>
            </w:pPr>
            <w:r w:rsidDel="00000000" w:rsidR="00000000" w:rsidRPr="00000000">
              <w:rPr>
                <w:rtl w:val="0"/>
              </w:rPr>
              <w:t xml:space="preserve">Reach out to HEOC Medical Director to confer on recommendations for physical safety</w:t>
            </w:r>
          </w:p>
          <w:p w:rsidR="00000000" w:rsidDel="00000000" w:rsidP="00000000" w:rsidRDefault="00000000" w:rsidRPr="00000000" w14:paraId="00000012">
            <w:pPr>
              <w:numPr>
                <w:ilvl w:val="0"/>
                <w:numId w:val="4"/>
              </w:numPr>
              <w:spacing w:line="240" w:lineRule="auto"/>
              <w:ind w:left="720" w:hanging="360"/>
              <w:rPr>
                <w:u w:val="none"/>
              </w:rPr>
            </w:pPr>
            <w:r w:rsidDel="00000000" w:rsidR="00000000" w:rsidRPr="00000000">
              <w:rPr>
                <w:rtl w:val="0"/>
              </w:rPr>
              <w:t xml:space="preserve">Collaborate with Operations assigned to time tracker, determine alarm thresholds and actions to be taken (use Time Tracker and follow up system)</w:t>
            </w:r>
            <w:r w:rsidDel="00000000" w:rsidR="00000000" w:rsidRPr="00000000">
              <w:rPr>
                <w:rtl w:val="0"/>
              </w:rPr>
            </w:r>
          </w:p>
          <w:p w:rsidR="00000000" w:rsidDel="00000000" w:rsidP="00000000" w:rsidRDefault="00000000" w:rsidRPr="00000000" w14:paraId="00000013">
            <w:pPr>
              <w:numPr>
                <w:ilvl w:val="0"/>
                <w:numId w:val="4"/>
              </w:numPr>
              <w:spacing w:line="240" w:lineRule="auto"/>
              <w:ind w:left="720" w:hanging="360"/>
              <w:rPr>
                <w:u w:val="none"/>
              </w:rPr>
            </w:pPr>
            <w:r w:rsidDel="00000000" w:rsidR="00000000" w:rsidRPr="00000000">
              <w:rPr>
                <w:rtl w:val="0"/>
              </w:rPr>
              <w:t xml:space="preserve">Collaborate with OSHA and other authorities in case of anticipated occupational hazards, vaccinations and exposures</w:t>
            </w:r>
            <w:r w:rsidDel="00000000" w:rsidR="00000000" w:rsidRPr="00000000">
              <w:rPr>
                <w:rtl w:val="0"/>
              </w:rPr>
            </w:r>
          </w:p>
          <w:p w:rsidR="00000000" w:rsidDel="00000000" w:rsidP="00000000" w:rsidRDefault="00000000" w:rsidRPr="00000000" w14:paraId="00000014">
            <w:pPr>
              <w:numPr>
                <w:ilvl w:val="0"/>
                <w:numId w:val="4"/>
              </w:numPr>
              <w:spacing w:line="240" w:lineRule="auto"/>
              <w:ind w:left="720" w:hanging="360"/>
              <w:rPr>
                <w:u w:val="none"/>
              </w:rPr>
            </w:pPr>
            <w:r w:rsidDel="00000000" w:rsidR="00000000" w:rsidRPr="00000000">
              <w:rPr>
                <w:rFonts w:ascii="Calibri" w:cs="Calibri" w:eastAsia="Calibri" w:hAnsi="Calibri"/>
                <w:rtl w:val="0"/>
              </w:rPr>
              <w:t xml:space="preserve">Identify hazardous situations associated with the incident, assess the risk and report them to the </w:t>
            </w:r>
            <w:r w:rsidDel="00000000" w:rsidR="00000000" w:rsidRPr="00000000">
              <w:rPr>
                <w:rtl w:val="0"/>
              </w:rPr>
              <w:t xml:space="preserve">Incident Commander</w:t>
            </w:r>
            <w:r w:rsidDel="00000000" w:rsidR="00000000" w:rsidRPr="00000000">
              <w:rPr>
                <w:rtl w:val="0"/>
              </w:rPr>
            </w:r>
          </w:p>
          <w:p w:rsidR="00000000" w:rsidDel="00000000" w:rsidP="00000000" w:rsidRDefault="00000000" w:rsidRPr="00000000" w14:paraId="00000015">
            <w:pPr>
              <w:widowControl w:val="0"/>
              <w:numPr>
                <w:ilvl w:val="0"/>
                <w:numId w:val="4"/>
              </w:numPr>
              <w:spacing w:line="240" w:lineRule="auto"/>
              <w:ind w:left="720" w:hanging="360"/>
              <w:rPr>
                <w:u w:val="none"/>
              </w:rPr>
            </w:pPr>
            <w:r w:rsidDel="00000000" w:rsidR="00000000" w:rsidRPr="00000000">
              <w:rPr>
                <w:rtl w:val="0"/>
              </w:rPr>
              <w:t xml:space="preserve">Review previous activations’ </w:t>
            </w:r>
            <w:r w:rsidDel="00000000" w:rsidR="00000000" w:rsidRPr="00000000">
              <w:rPr>
                <w:i w:val="1"/>
                <w:rtl w:val="0"/>
              </w:rPr>
              <w:t xml:space="preserve">Appendix P </w:t>
            </w:r>
            <w:r w:rsidDel="00000000" w:rsidR="00000000" w:rsidRPr="00000000">
              <w:rPr>
                <w:rtl w:val="0"/>
              </w:rPr>
              <w:t xml:space="preserve">or personnel lessons learned to apply to this new activation</w:t>
            </w:r>
          </w:p>
        </w:tc>
      </w:tr>
      <w:tr>
        <w:trPr>
          <w:cantSplit w:val="0"/>
          <w:trHeight w:val="315" w:hRule="atLeast"/>
          <w:tblHeader w:val="0"/>
        </w:trPr>
        <w:tc>
          <w:tcPr>
            <w:gridSpan w:val="2"/>
            <w:tcBorders>
              <w:top w:color="000000" w:space="0" w:sz="6" w:val="single"/>
              <w:left w:color="000000" w:space="0" w:sz="6" w:val="single"/>
              <w:bottom w:color="000000" w:space="0" w:sz="6" w:val="single"/>
              <w:right w:color="000000" w:space="0" w:sz="6" w:val="single"/>
            </w:tcBorders>
            <w:shd w:fill="595959" w:val="clear"/>
          </w:tcPr>
          <w:p w:rsidR="00000000" w:rsidDel="00000000" w:rsidP="00000000" w:rsidRDefault="00000000" w:rsidRPr="00000000" w14:paraId="00000017">
            <w:pPr>
              <w:widowControl w:val="0"/>
              <w:spacing w:line="276" w:lineRule="auto"/>
              <w:jc w:val="center"/>
              <w:rPr>
                <w:b w:val="1"/>
                <w:color w:val="ffffff"/>
              </w:rPr>
            </w:pPr>
            <w:r w:rsidDel="00000000" w:rsidR="00000000" w:rsidRPr="00000000">
              <w:rPr>
                <w:b w:val="1"/>
                <w:color w:val="ffffff"/>
                <w:rtl w:val="0"/>
              </w:rPr>
              <w:t xml:space="preserve">ONGOING RESPONSE ACTIONS </w:t>
            </w:r>
          </w:p>
        </w:tc>
      </w:tr>
      <w:tr>
        <w:trPr>
          <w:cantSplit w:val="0"/>
          <w:trHeight w:val="1152" w:hRule="atLeast"/>
          <w:tblHeader w:val="0"/>
        </w:trPr>
        <w:tc>
          <w:tcPr>
            <w:gridSpan w:val="2"/>
            <w:tcBorders>
              <w:top w:color="000000" w:space="0" w:sz="6" w:val="single"/>
              <w:bottom w:color="000000" w:space="0" w:sz="6" w:val="single"/>
            </w:tcBorders>
          </w:tcPr>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1"/>
                <w:szCs w:val="21"/>
                <w:u w:val="none"/>
              </w:rPr>
            </w:pPr>
            <w:r w:rsidDel="00000000" w:rsidR="00000000" w:rsidRPr="00000000">
              <w:rPr>
                <w:sz w:val="21"/>
                <w:szCs w:val="21"/>
                <w:rtl w:val="0"/>
              </w:rPr>
              <w:t xml:space="preserve">Ensure regular (weekly, biweekly, monthly) check-ins with HEOC (email or video)</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Communicate instances or concerns of injury, illness or exposure to the HEOC Manager</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1"/>
                <w:szCs w:val="21"/>
                <w:u w:val="none"/>
              </w:rPr>
            </w:pPr>
            <w:r w:rsidDel="00000000" w:rsidR="00000000" w:rsidRPr="00000000">
              <w:rPr>
                <w:sz w:val="21"/>
                <w:szCs w:val="21"/>
                <w:rtl w:val="0"/>
              </w:rPr>
              <w:t xml:space="preserve">Ensure regular touchpoints with Operations tracking time</w:t>
            </w:r>
          </w:p>
          <w:p w:rsidR="00000000" w:rsidDel="00000000" w:rsidP="00000000" w:rsidRDefault="00000000" w:rsidRPr="00000000" w14:paraId="0000001C">
            <w:pPr>
              <w:keepNext w:val="0"/>
              <w:keepLines w:val="1"/>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sz w:val="21"/>
                <w:szCs w:val="21"/>
                <w:u w:val="none"/>
              </w:rPr>
            </w:pPr>
            <w:r w:rsidDel="00000000" w:rsidR="00000000" w:rsidRPr="00000000">
              <w:rPr>
                <w:sz w:val="21"/>
                <w:szCs w:val="21"/>
                <w:rtl w:val="0"/>
              </w:rPr>
              <w:t xml:space="preserve">Maintain Activity Tracker of all activities per week</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Review the IAP/ICP for safety implications for each operational period</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sz w:val="21"/>
                <w:szCs w:val="21"/>
                <w:u w:val="no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Make predictions about responder safety that could arise during the incident If applicable, prepare</w:t>
            </w:r>
            <w:r w:rsidDel="00000000" w:rsidR="00000000" w:rsidRPr="00000000">
              <w:rPr>
                <w:rFonts w:ascii="Calibri" w:cs="Calibri" w:eastAsia="Calibri" w:hAnsi="Calibri"/>
                <w:b w:val="0"/>
                <w:i w:val="0"/>
                <w:smallCaps w:val="0"/>
                <w:strike w:val="0"/>
                <w:sz w:val="21"/>
                <w:szCs w:val="21"/>
                <w:shd w:fill="auto" w:val="clear"/>
                <w:vertAlign w:val="baseline"/>
                <w:rtl w:val="0"/>
              </w:rPr>
              <w:t xml:space="preserve"> ICS form </w:t>
            </w:r>
            <w:r w:rsidDel="00000000" w:rsidR="00000000" w:rsidRPr="00000000">
              <w:rPr>
                <w:sz w:val="21"/>
                <w:szCs w:val="21"/>
                <w:rtl w:val="0"/>
              </w:rPr>
              <w:t xml:space="preserve">208</w:t>
            </w:r>
            <w:r w:rsidDel="00000000" w:rsidR="00000000" w:rsidRPr="00000000">
              <w:rPr>
                <w:rFonts w:ascii="Calibri" w:cs="Calibri" w:eastAsia="Calibri" w:hAnsi="Calibri"/>
                <w:b w:val="0"/>
                <w:i w:val="0"/>
                <w:smallCaps w:val="0"/>
                <w:strike w:val="0"/>
                <w:sz w:val="21"/>
                <w:szCs w:val="21"/>
                <w:shd w:fill="auto" w:val="clear"/>
                <w:vertAlign w:val="baseline"/>
                <w:rtl w:val="0"/>
              </w:rPr>
              <w:t xml:space="preserve"> Health and Safety Message</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sz w:val="21"/>
                <w:szCs w:val="21"/>
                <w:u w:val="no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 conjunction with the Operations Section, review, distribute and report on health and safety protocols released by CDC/FEMA, </w:t>
            </w:r>
            <w:r w:rsidDel="00000000" w:rsidR="00000000" w:rsidRPr="00000000">
              <w:rPr>
                <w:sz w:val="21"/>
                <w:szCs w:val="21"/>
                <w:rtl w:val="0"/>
              </w:rPr>
              <w:t xml:space="preserve">other resources for safety </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sz w:val="21"/>
                <w:szCs w:val="21"/>
                <w:u w:val="none"/>
              </w:rPr>
            </w:pPr>
            <w:r w:rsidDel="00000000" w:rsidR="00000000" w:rsidRPr="00000000">
              <w:rPr>
                <w:sz w:val="21"/>
                <w:szCs w:val="21"/>
                <w:rtl w:val="0"/>
              </w:rPr>
              <w:t xml:space="preserve">Present relevant safety messages on briefing, as indicated and as appropriate</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sz w:val="21"/>
                <w:szCs w:val="21"/>
                <w:u w:val="no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Exercise emergency authority to stop and prevent unsafe acts</w:t>
            </w:r>
            <w:r w:rsidDel="00000000" w:rsidR="00000000" w:rsidRPr="00000000">
              <w:rPr>
                <w:sz w:val="21"/>
                <w:szCs w:val="21"/>
                <w:rtl w:val="0"/>
              </w:rPr>
              <w:t xml:space="preserve">, remove personnel from HEOC response if indicated</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sz w:val="21"/>
                <w:szCs w:val="21"/>
                <w:u w:val="no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Plan for the possibility of extended deployment and impact on HEOC staff </w:t>
            </w:r>
            <w:r w:rsidDel="00000000" w:rsidR="00000000" w:rsidRPr="00000000">
              <w:rPr>
                <w:sz w:val="21"/>
                <w:szCs w:val="21"/>
                <w:rtl w:val="0"/>
              </w:rPr>
              <w:t xml:space="preserve">safety and wellness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1"/>
                <w:szCs w:val="21"/>
                <w:u w:val="none"/>
              </w:rPr>
            </w:pPr>
            <w:r w:rsidDel="00000000" w:rsidR="00000000" w:rsidRPr="00000000">
              <w:rPr>
                <w:sz w:val="21"/>
                <w:szCs w:val="21"/>
                <w:rtl w:val="0"/>
              </w:rPr>
              <w:t xml:space="preserve">Host quarterly emotional debriefings</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sz w:val="21"/>
                <w:szCs w:val="21"/>
                <w:u w:val="none"/>
              </w:rPr>
            </w:pPr>
            <w:r w:rsidDel="00000000" w:rsidR="00000000" w:rsidRPr="00000000">
              <w:rPr>
                <w:sz w:val="21"/>
                <w:szCs w:val="21"/>
                <w:rtl w:val="0"/>
              </w:rPr>
              <w:t xml:space="preserve">Present trends and pulse of safety and wellness to the Incident Commander</w:t>
            </w:r>
            <w:r w:rsidDel="00000000" w:rsidR="00000000" w:rsidRPr="00000000">
              <w:rPr>
                <w:rtl w:val="0"/>
              </w:rPr>
            </w:r>
          </w:p>
        </w:tc>
      </w:tr>
      <w:tr>
        <w:trPr>
          <w:cantSplit w:val="1"/>
          <w:trHeight w:val="315.36" w:hRule="atLeast"/>
          <w:tblHeader w:val="0"/>
        </w:trPr>
        <w:tc>
          <w:tcPr>
            <w:gridSpan w:val="2"/>
            <w:tcBorders>
              <w:top w:color="000000" w:space="0" w:sz="6" w:val="single"/>
              <w:left w:color="000000" w:space="0" w:sz="6" w:val="single"/>
              <w:bottom w:color="000000" w:space="0" w:sz="6" w:val="single"/>
              <w:right w:color="000000" w:space="0" w:sz="6" w:val="single"/>
            </w:tcBorders>
            <w:shd w:fill="595959" w:val="clear"/>
          </w:tcPr>
          <w:p w:rsidR="00000000" w:rsidDel="00000000" w:rsidP="00000000" w:rsidRDefault="00000000" w:rsidRPr="00000000" w14:paraId="00000026">
            <w:pPr>
              <w:widowControl w:val="0"/>
              <w:spacing w:line="276" w:lineRule="auto"/>
              <w:jc w:val="center"/>
              <w:rPr>
                <w:b w:val="1"/>
                <w:color w:val="ffffff"/>
              </w:rPr>
            </w:pPr>
            <w:r w:rsidDel="00000000" w:rsidR="00000000" w:rsidRPr="00000000">
              <w:rPr>
                <w:b w:val="1"/>
                <w:color w:val="ffffff"/>
                <w:rtl w:val="0"/>
              </w:rPr>
              <w:t xml:space="preserve">DEMOBILIZATION ACTIONS </w:t>
            </w:r>
          </w:p>
        </w:tc>
      </w:tr>
      <w:tr>
        <w:trPr>
          <w:cantSplit w:val="0"/>
          <w:trHeight w:val="1152" w:hRule="atLeast"/>
          <w:tblHeader w:val="0"/>
        </w:trPr>
        <w:tc>
          <w:tcPr>
            <w:gridSpan w:val="2"/>
            <w:tcBorders>
              <w:top w:color="000000" w:space="0" w:sz="6" w:val="single"/>
            </w:tcBorders>
          </w:tcPr>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sz w:val="21"/>
                <w:szCs w:val="21"/>
                <w:u w:val="none"/>
              </w:rPr>
            </w:pPr>
            <w:r w:rsidDel="00000000" w:rsidR="00000000" w:rsidRPr="00000000">
              <w:rPr>
                <w:sz w:val="21"/>
                <w:szCs w:val="21"/>
                <w:rtl w:val="0"/>
              </w:rPr>
              <w:t xml:space="preserve">P</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articipate in Section and HEOC Hotwash</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sz w:val="21"/>
                <w:szCs w:val="21"/>
                <w:u w:val="none"/>
              </w:rPr>
            </w:pPr>
            <w:r w:rsidDel="00000000" w:rsidR="00000000" w:rsidRPr="00000000">
              <w:rPr>
                <w:sz w:val="21"/>
                <w:szCs w:val="21"/>
                <w:rtl w:val="0"/>
              </w:rPr>
              <w:t xml:space="preserve">Send final email, which reminds team members they can still reach out to the HSO bench, acknowledges the work that was done and reiterates the health and safety impact can continue post </w:t>
            </w:r>
            <w:r w:rsidDel="00000000" w:rsidR="00000000" w:rsidRPr="00000000">
              <w:rPr>
                <w:sz w:val="21"/>
                <w:szCs w:val="21"/>
                <w:rtl w:val="0"/>
              </w:rPr>
              <w:t xml:space="preserve">HEOC</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sz w:val="21"/>
                <w:szCs w:val="21"/>
                <w:u w:val="none"/>
              </w:rPr>
            </w:pPr>
            <w:r w:rsidDel="00000000" w:rsidR="00000000" w:rsidRPr="00000000">
              <w:rPr>
                <w:sz w:val="21"/>
                <w:szCs w:val="21"/>
                <w:rtl w:val="0"/>
              </w:rPr>
              <w:t xml:space="preserve">Create special reports/narratives(e.g </w:t>
            </w:r>
            <w:r w:rsidDel="00000000" w:rsidR="00000000" w:rsidRPr="00000000">
              <w:rPr>
                <w:i w:val="1"/>
                <w:sz w:val="21"/>
                <w:szCs w:val="21"/>
                <w:rtl w:val="0"/>
              </w:rPr>
              <w:t xml:space="preserve">Appendix P</w:t>
            </w:r>
            <w:r w:rsidDel="00000000" w:rsidR="00000000" w:rsidRPr="00000000">
              <w:rPr>
                <w:sz w:val="21"/>
                <w:szCs w:val="21"/>
                <w:rtl w:val="0"/>
              </w:rPr>
              <w:t xml:space="preserve">) and lessons learned for After Action Reports or stand alone documentation</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sz w:val="21"/>
                <w:szCs w:val="21"/>
                <w:u w:val="none"/>
              </w:rPr>
            </w:pPr>
            <w:r w:rsidDel="00000000" w:rsidR="00000000" w:rsidRPr="00000000">
              <w:rPr>
                <w:sz w:val="21"/>
                <w:szCs w:val="21"/>
                <w:rtl w:val="0"/>
              </w:rPr>
              <w:t xml:space="preserve">Host a debriefing or send email or slides on safety and wellbeing after demobilization to HEOC participants</w:t>
            </w: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sectPr>
      <w:headerReference r:id="rId6" w:type="default"/>
      <w:footerReference r:id="rId7" w:type="default"/>
      <w:footerReference r:id="rId8" w:type="first"/>
      <w:pgSz w:h="12240" w:w="15840" w:orient="landscape"/>
      <w:pgMar w:bottom="1440" w:top="1440" w:left="1440" w:right="1440" w:header="431.99999999999994"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2960"/>
      </w:tabs>
      <w:spacing w:after="0" w:before="0" w:line="240" w:lineRule="auto"/>
      <w:ind w:left="0" w:right="0" w:firstLine="0"/>
      <w:jc w:val="righ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20" w:line="240" w:lineRule="auto"/>
      <w:jc w:val="center"/>
    </w:pPr>
    <w:rPr>
      <w:rFonts w:ascii="Cambria" w:cs="Cambria" w:eastAsia="Cambria" w:hAnsi="Cambria"/>
      <w:color w:val="5b0204"/>
      <w:sz w:val="40"/>
      <w:szCs w:val="40"/>
    </w:rPr>
  </w:style>
  <w:style w:type="paragraph" w:styleId="Heading2">
    <w:name w:val="heading 2"/>
    <w:basedOn w:val="Normal"/>
    <w:next w:val="Normal"/>
    <w:pPr>
      <w:keepNext w:val="1"/>
      <w:keepLines w:val="1"/>
      <w:spacing w:after="40" w:before="160" w:line="240" w:lineRule="auto"/>
      <w:jc w:val="center"/>
    </w:pPr>
    <w:rPr>
      <w:rFonts w:ascii="Cambria" w:cs="Cambria" w:eastAsia="Cambria" w:hAnsi="Cambria"/>
      <w:sz w:val="32"/>
      <w:szCs w:val="32"/>
    </w:rPr>
  </w:style>
  <w:style w:type="paragraph" w:styleId="Heading3">
    <w:name w:val="heading 3"/>
    <w:basedOn w:val="Normal"/>
    <w:next w:val="Normal"/>
    <w:pPr>
      <w:keepNext w:val="1"/>
      <w:keepLines w:val="1"/>
      <w:spacing w:after="0" w:before="160" w:line="240" w:lineRule="auto"/>
    </w:pPr>
    <w:rPr>
      <w:rFonts w:ascii="Cambria" w:cs="Cambria" w:eastAsia="Cambria" w:hAnsi="Cambria"/>
      <w:color w:val="7a0306"/>
      <w:sz w:val="32"/>
      <w:szCs w:val="32"/>
    </w:rPr>
  </w:style>
  <w:style w:type="paragraph" w:styleId="Heading4">
    <w:name w:val="heading 4"/>
    <w:basedOn w:val="Normal"/>
    <w:next w:val="Normal"/>
    <w:pPr>
      <w:keepNext w:val="1"/>
      <w:keepLines w:val="1"/>
      <w:spacing w:after="0" w:before="80" w:lineRule="auto"/>
    </w:pPr>
    <w:rPr>
      <w:rFonts w:ascii="Cambria" w:cs="Cambria" w:eastAsia="Cambria" w:hAnsi="Cambria"/>
      <w:i w:val="1"/>
      <w:sz w:val="30"/>
      <w:szCs w:val="30"/>
    </w:rPr>
  </w:style>
  <w:style w:type="paragraph" w:styleId="Heading5">
    <w:name w:val="heading 5"/>
    <w:basedOn w:val="Normal"/>
    <w:next w:val="Normal"/>
    <w:pPr>
      <w:keepNext w:val="1"/>
      <w:keepLines w:val="1"/>
      <w:spacing w:after="0" w:before="40" w:lineRule="auto"/>
    </w:pPr>
    <w:rPr>
      <w:rFonts w:ascii="Cambria" w:cs="Cambria" w:eastAsia="Cambria" w:hAnsi="Cambria"/>
      <w:sz w:val="28"/>
      <w:szCs w:val="28"/>
    </w:rPr>
  </w:style>
  <w:style w:type="paragraph" w:styleId="Heading6">
    <w:name w:val="heading 6"/>
    <w:basedOn w:val="Normal"/>
    <w:next w:val="Normal"/>
    <w:pPr>
      <w:keepNext w:val="1"/>
      <w:keepLines w:val="1"/>
      <w:spacing w:after="0" w:before="40" w:lineRule="auto"/>
    </w:pPr>
    <w:rPr>
      <w:rFonts w:ascii="Cambria" w:cs="Cambria" w:eastAsia="Cambria" w:hAnsi="Cambria"/>
      <w:i w:val="1"/>
      <w:sz w:val="26"/>
      <w:szCs w:val="26"/>
    </w:rPr>
  </w:style>
  <w:style w:type="paragraph" w:styleId="Title">
    <w:name w:val="Title"/>
    <w:basedOn w:val="Normal"/>
    <w:next w:val="Normal"/>
    <w:pPr>
      <w:pBdr>
        <w:top w:color="b82927" w:space="8" w:sz="6" w:val="single"/>
        <w:bottom w:color="b82927" w:space="8" w:sz="6" w:val="single"/>
      </w:pBdr>
      <w:spacing w:after="400" w:line="240" w:lineRule="auto"/>
      <w:jc w:val="center"/>
    </w:pPr>
    <w:rPr>
      <w:rFonts w:ascii="Cambria" w:cs="Cambria" w:eastAsia="Cambria" w:hAnsi="Cambria"/>
      <w:smallCaps w:val="1"/>
      <w:color w:val="760000"/>
      <w:sz w:val="72"/>
      <w:szCs w:val="72"/>
    </w:rPr>
  </w:style>
  <w:style w:type="paragraph" w:styleId="Subtitle">
    <w:name w:val="Subtitle"/>
    <w:basedOn w:val="Normal"/>
    <w:next w:val="Normal"/>
    <w:pPr>
      <w:jc w:val="center"/>
    </w:pPr>
    <w:rPr>
      <w:color w:val="760000"/>
      <w:sz w:val="28"/>
      <w:szCs w:val="2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