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9926" w14:textId="391A9E9C" w:rsidR="006B2484" w:rsidRDefault="00DF095C">
      <w:pPr>
        <w:rPr>
          <w:b/>
          <w:bCs/>
          <w:lang w:val="en-US"/>
        </w:rPr>
      </w:pPr>
      <w:r>
        <w:rPr>
          <w:b/>
          <w:bCs/>
          <w:lang w:val="en-US"/>
        </w:rPr>
        <w:t>Supplementary Material</w:t>
      </w:r>
    </w:p>
    <w:p w14:paraId="560221F3" w14:textId="4BE3731F" w:rsidR="00942BC6" w:rsidRDefault="00942BC6" w:rsidP="00FA1B5B">
      <w:pPr>
        <w:pStyle w:val="ListParagraph"/>
        <w:numPr>
          <w:ilvl w:val="0"/>
          <w:numId w:val="23"/>
        </w:numPr>
        <w:rPr>
          <w:b/>
          <w:bCs/>
          <w:lang w:val="en-US"/>
        </w:rPr>
      </w:pPr>
      <w:bookmarkStart w:id="0" w:name="_Ref128551903"/>
      <w:bookmarkStart w:id="1" w:name="_Ref120283772"/>
      <w:bookmarkStart w:id="2" w:name="_Ref121755948"/>
      <w:r>
        <w:rPr>
          <w:b/>
          <w:bCs/>
          <w:lang w:val="en-US"/>
        </w:rPr>
        <w:t>Background on the conceptual model</w:t>
      </w:r>
    </w:p>
    <w:p w14:paraId="11BC92B4" w14:textId="1F527B66" w:rsidR="00942BC6" w:rsidRPr="00942BC6" w:rsidRDefault="00942BC6" w:rsidP="00844680">
      <w:pPr>
        <w:spacing w:line="276" w:lineRule="auto"/>
        <w:rPr>
          <w:lang w:val="en-US"/>
        </w:rPr>
      </w:pPr>
      <w:r w:rsidRPr="00942BC6">
        <w:rPr>
          <w:lang w:val="en-US"/>
        </w:rPr>
        <w:t xml:space="preserve">The uptake dynamics for perennial crops like grapevines are characterized by taking longer between initial planting and first harvest which is followed by an extended period of regular output at an eventually declining rate </w:t>
      </w:r>
      <w:r w:rsidRPr="00942BC6">
        <w:rPr>
          <w:lang w:val="en-US"/>
        </w:rPr>
        <w:fldChar w:fldCharType="begin"/>
      </w:r>
      <w:r w:rsidR="00453ED3">
        <w:rPr>
          <w:lang w:val="en-US"/>
        </w:rPr>
        <w:instrText xml:space="preserve"> ADDIN ZOTERO_ITEM CSL_CITATION {"citationID":"sG4Xeo54","properties":{"formattedCitation":"(French and Matthews 1971)","plainCitation":"(French and Matthews 1971)","noteIndex":0},"citationItems":[{"id":"tLCbn4GR/S1HX7NmC","uris":["http://zotero.org/users/8375139/items/5TIMSHY4"],"uri":["http://zotero.org/users/8375139/items/5TIMSHY4"],"itemData":{"id":"8iGepZQZ/EAev3KNA","type":"article-journal","abstract":"The production of perennial crops involves planting, removal, yield, and time dimensions not similarly encountered in annual crops. A model is developed to provide a structural base for estimating response relationships that encompass these dimensions. The model rests on assumptions of rational producer behavior which takes account of possible actions of other producers and of the aggregate effect of these actions on total production and profits. Because important data series often are not available, modifications of the basic model are suggested to facilitate estimation within a more restricted empirical framework. The model is illustrated by an application to asparagus, a perennial vegetable crop.","container-title":"American Journal of Agricultural Economics","DOI":"10.2307/1238225","ISSN":"0002-9092","issue":"3","note":"publisher: [Agricultural &amp; Applied Economics Association, Oxford University Press]","page":"478-490","source":"JSTOR","title":"A Supply Response Model for Perennial Crops","volume":"53","author":[{"family":"French","given":"Ben C."},{"family":"Matthews","given":"Jim L."}],"issued":{"date-parts":[["1971"]]}}}],"schema":"https://github.com/citation-style-language/schema/raw/master/csl-citation.json"} </w:instrText>
      </w:r>
      <w:r w:rsidRPr="00942BC6">
        <w:rPr>
          <w:lang w:val="en-US"/>
        </w:rPr>
        <w:fldChar w:fldCharType="separate"/>
      </w:r>
      <w:r w:rsidRPr="00942BC6">
        <w:rPr>
          <w:rFonts w:ascii="Calibri" w:hAnsi="Calibri" w:cs="Calibri"/>
          <w:lang w:val="en-US"/>
        </w:rPr>
        <w:t>(French and Matthews 1971)</w:t>
      </w:r>
      <w:r w:rsidRPr="00942BC6">
        <w:rPr>
          <w:lang w:val="en-US"/>
        </w:rPr>
        <w:fldChar w:fldCharType="end"/>
      </w:r>
      <w:r w:rsidRPr="00942BC6">
        <w:rPr>
          <w:lang w:val="en-US"/>
        </w:rPr>
        <w:t>. Modelling perennial crops must thus take long-term time and risk aspects into account (see</w:t>
      </w:r>
      <w:r w:rsidR="00E562D3">
        <w:rPr>
          <w:lang w:val="en-US"/>
        </w:rPr>
        <w:t xml:space="preserve"> Fig</w:t>
      </w:r>
      <w:r w:rsidR="0013020E">
        <w:rPr>
          <w:lang w:val="en-US"/>
        </w:rPr>
        <w:t>ure</w:t>
      </w:r>
      <w:r w:rsidR="00E562D3">
        <w:rPr>
          <w:lang w:val="en-US"/>
        </w:rPr>
        <w:t xml:space="preserve"> C1</w:t>
      </w:r>
      <w:r w:rsidRPr="00942BC6">
        <w:rPr>
          <w:lang w:val="en-US"/>
        </w:rPr>
        <w:t>).</w:t>
      </w:r>
      <w:r w:rsidRPr="00942BC6">
        <w:rPr>
          <w:rStyle w:val="FootnoteReference"/>
        </w:rPr>
        <w:footnoteReference w:id="1"/>
      </w:r>
    </w:p>
    <w:p w14:paraId="0A54C927" w14:textId="49EDD7E8" w:rsidR="00942BC6" w:rsidRPr="00942BC6" w:rsidRDefault="00942BC6" w:rsidP="00844680">
      <w:pPr>
        <w:pStyle w:val="Caption"/>
        <w:keepNext/>
        <w:spacing w:line="276" w:lineRule="auto"/>
        <w:rPr>
          <w:sz w:val="22"/>
          <w:szCs w:val="22"/>
          <w:lang w:val="en-US"/>
        </w:rPr>
      </w:pPr>
      <w:r w:rsidRPr="00844680">
        <w:rPr>
          <w:noProof/>
          <w:sz w:val="22"/>
          <w:szCs w:val="22"/>
          <w:highlight w:val="yellow"/>
          <w:lang w:eastAsia="de-CH"/>
        </w:rPr>
        <w:drawing>
          <wp:anchor distT="0" distB="0" distL="114300" distR="114300" simplePos="0" relativeHeight="251666944" behindDoc="1" locked="0" layoutInCell="1" allowOverlap="1" wp14:anchorId="5DBC5F9E" wp14:editId="1EAD133B">
            <wp:simplePos x="0" y="0"/>
            <wp:positionH relativeFrom="margin">
              <wp:posOffset>0</wp:posOffset>
            </wp:positionH>
            <wp:positionV relativeFrom="paragraph">
              <wp:posOffset>223415</wp:posOffset>
            </wp:positionV>
            <wp:extent cx="5760720" cy="1604010"/>
            <wp:effectExtent l="0" t="0" r="0" b="0"/>
            <wp:wrapTight wrapText="bothSides">
              <wp:wrapPolygon edited="0">
                <wp:start x="0" y="0"/>
                <wp:lineTo x="0" y="21292"/>
                <wp:lineTo x="21500" y="21292"/>
                <wp:lineTo x="215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rotWithShape="1">
                    <a:blip r:embed="rId11">
                      <a:extLst>
                        <a:ext uri="{28A0092B-C50C-407E-A947-70E740481C1C}">
                          <a14:useLocalDpi xmlns:a14="http://schemas.microsoft.com/office/drawing/2010/main" val="0"/>
                        </a:ext>
                      </a:extLst>
                    </a:blip>
                    <a:srcRect l="864" t="4993" r="1893" b="5736"/>
                    <a:stretch/>
                  </pic:blipFill>
                  <pic:spPr bwMode="auto">
                    <a:xfrm>
                      <a:off x="0" y="0"/>
                      <a:ext cx="5760720" cy="1604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42BC6">
        <w:rPr>
          <w:sz w:val="22"/>
          <w:szCs w:val="22"/>
          <w:lang w:val="en-US"/>
        </w:rPr>
        <w:t>Figure C1: Model set-up for plantation dynamics</w:t>
      </w:r>
    </w:p>
    <w:p w14:paraId="71B594C3" w14:textId="77777777" w:rsidR="00942BC6" w:rsidRPr="00942BC6" w:rsidRDefault="00942BC6" w:rsidP="00844680">
      <w:pPr>
        <w:spacing w:line="276" w:lineRule="auto"/>
        <w:rPr>
          <w:rFonts w:ascii="Cambria Math" w:hAnsi="Cambria Math"/>
          <w:i/>
          <w:lang w:val="en-US"/>
        </w:rPr>
      </w:pPr>
      <w:r w:rsidRPr="00942BC6">
        <w:rPr>
          <w:lang w:val="en-US"/>
        </w:rPr>
        <w:t xml:space="preserve">To conceptually model the uptake of fungus-resistant varieties we assume grapevine growers adjust acreage for fungus-resistant varieties by considering changes in (expected) utility over time (now and in the future) and across variety types (traditional and fungus-resistant varieties). We denote fungus-resistant with </w:t>
      </w:r>
      <m:oMath>
        <m:r>
          <w:rPr>
            <w:rFonts w:ascii="Cambria Math" w:hAnsi="Cambria Math"/>
            <w:lang w:val="en-US"/>
          </w:rPr>
          <m:t>FRG</m:t>
        </m:r>
      </m:oMath>
      <w:r w:rsidRPr="00942BC6">
        <w:rPr>
          <w:rFonts w:eastAsiaTheme="minorEastAsia"/>
          <w:lang w:val="en-US"/>
        </w:rPr>
        <w:t xml:space="preserve"> and traditional varieties with </w:t>
      </w:r>
      <m:oMath>
        <m:r>
          <w:rPr>
            <w:rFonts w:ascii="Cambria Math" w:eastAsiaTheme="minorEastAsia" w:hAnsi="Cambria Math"/>
            <w:lang w:val="en-US"/>
          </w:rPr>
          <m:t>TRAD</m:t>
        </m:r>
      </m:oMath>
      <w:r w:rsidRPr="00942BC6">
        <w:rPr>
          <w:lang w:val="en-US"/>
        </w:rPr>
        <w:t>, respectively, which are the only planting alternatives. Current utility (</w:t>
      </w:r>
      <m:oMath>
        <m:r>
          <w:rPr>
            <w:rFonts w:ascii="Cambria Math" w:hAnsi="Cambria Math"/>
            <w:lang w:val="en-US"/>
          </w:rPr>
          <m:t>t=0</m:t>
        </m:r>
      </m:oMath>
      <w:r w:rsidRPr="00942BC6">
        <w:rPr>
          <w:rFonts w:eastAsiaTheme="minorEastAsia"/>
          <w:lang w:val="en-US"/>
        </w:rPr>
        <w:t>)</w:t>
      </w:r>
      <w:r w:rsidRPr="00942BC6">
        <w:rPr>
          <w:lang w:val="en-US"/>
        </w:rPr>
        <w:t xml:space="preserve"> from growing </w:t>
      </w:r>
      <m:oMath>
        <m:r>
          <w:rPr>
            <w:rFonts w:ascii="Cambria Math" w:hAnsi="Cambria Math"/>
            <w:lang w:val="en-US"/>
          </w:rPr>
          <m:t>FRG</m:t>
        </m:r>
      </m:oMath>
      <w:r w:rsidRPr="00942BC6">
        <w:rPr>
          <w:rFonts w:eastAsiaTheme="minorEastAsia"/>
          <w:lang w:val="en-US"/>
        </w:rPr>
        <w:t xml:space="preserve"> is </w:t>
      </w:r>
      <m:oMath>
        <m:sSub>
          <m:sSubPr>
            <m:ctrlPr>
              <w:rPr>
                <w:rFonts w:ascii="Cambria Math" w:eastAsiaTheme="minorEastAsia" w:hAnsi="Cambria Math"/>
                <w:i/>
                <w:lang w:val="en-US"/>
              </w:rPr>
            </m:ctrlPr>
          </m:sSubPr>
          <m:e>
            <m:r>
              <w:rPr>
                <w:rFonts w:ascii="Cambria Math" w:eastAsiaTheme="minorEastAsia" w:hAnsi="Cambria Math"/>
                <w:lang w:val="en-US"/>
              </w:rPr>
              <m:t>U</m:t>
            </m:r>
          </m:e>
          <m:sub>
            <m:r>
              <w:rPr>
                <w:rFonts w:ascii="Cambria Math" w:eastAsiaTheme="minorEastAsia" w:hAnsi="Cambria Math"/>
                <w:lang w:val="en-US"/>
              </w:rPr>
              <m:t>FRG</m:t>
            </m:r>
          </m:sub>
        </m:sSub>
      </m:oMath>
      <w:r w:rsidRPr="00942BC6">
        <w:rPr>
          <w:rFonts w:eastAsiaTheme="minorEastAsia"/>
          <w:lang w:val="en-US"/>
        </w:rPr>
        <w:t xml:space="preserve"> and depends on </w:t>
      </w:r>
      <m:oMath>
        <m:r>
          <w:rPr>
            <w:rFonts w:ascii="Cambria Math" w:hAnsi="Cambria Math"/>
            <w:lang w:val="en-US"/>
          </w:rPr>
          <m:t>FRG</m:t>
        </m:r>
      </m:oMath>
      <w:r w:rsidRPr="00942BC6">
        <w:rPr>
          <w:rFonts w:eastAsiaTheme="minorEastAsia"/>
          <w:lang w:val="en-US"/>
        </w:rPr>
        <w:t xml:space="preserve">’s land share that was planted </w:t>
      </w:r>
      <m:oMath>
        <m:r>
          <w:rPr>
            <w:rFonts w:ascii="Cambria Math" w:hAnsi="Cambria Math"/>
            <w:lang w:val="en-US"/>
          </w:rPr>
          <m:t>τ</m:t>
        </m:r>
      </m:oMath>
      <w:r w:rsidRPr="00942BC6">
        <w:rPr>
          <w:rFonts w:eastAsiaTheme="minorEastAsia"/>
          <w:lang w:val="en-US"/>
        </w:rPr>
        <w:t xml:space="preserve"> periods ago (i.e. </w:t>
      </w:r>
      <m:oMath>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FRG,t-τ</m:t>
            </m:r>
          </m:sub>
        </m:sSub>
      </m:oMath>
      <w:r w:rsidRPr="00942BC6">
        <w:rPr>
          <w:rFonts w:eastAsiaTheme="minorEastAsia"/>
          <w:lang w:val="en-US"/>
        </w:rPr>
        <w:t xml:space="preserve">). Since grapevine planting does not necessarily change from one year to another, we use </w:t>
      </w:r>
      <m:oMath>
        <m:r>
          <w:rPr>
            <w:rFonts w:ascii="Cambria Math" w:hAnsi="Cambria Math"/>
            <w:lang w:val="en-US"/>
          </w:rPr>
          <m:t>τ</m:t>
        </m:r>
        <m:r>
          <w:rPr>
            <w:rFonts w:ascii="Cambria Math" w:eastAsiaTheme="minorEastAsia" w:hAnsi="Cambria Math"/>
            <w:lang w:val="en-US"/>
          </w:rPr>
          <m:t>∈</m:t>
        </m:r>
        <m:sSup>
          <m:sSupPr>
            <m:ctrlPr>
              <w:rPr>
                <w:rFonts w:ascii="Cambria Math" w:eastAsiaTheme="minorEastAsia" w:hAnsi="Cambria Math"/>
                <w:i/>
                <w:lang w:val="en-US"/>
              </w:rPr>
            </m:ctrlPr>
          </m:sSupPr>
          <m:e>
            <m:r>
              <m:rPr>
                <m:scr m:val="double-struck"/>
              </m:rPr>
              <w:rPr>
                <w:rFonts w:ascii="Cambria Math" w:eastAsiaTheme="minorEastAsia" w:hAnsi="Cambria Math"/>
                <w:lang w:val="en-US"/>
              </w:rPr>
              <m:t>Z</m:t>
            </m:r>
          </m:e>
          <m:sup>
            <m:r>
              <w:rPr>
                <w:rFonts w:ascii="Cambria Math" w:eastAsiaTheme="minorEastAsia" w:hAnsi="Cambria Math"/>
                <w:lang w:val="en-US"/>
              </w:rPr>
              <m:t>+</m:t>
            </m:r>
          </m:sup>
        </m:sSup>
      </m:oMath>
      <w:r w:rsidRPr="00942BC6">
        <w:rPr>
          <w:rFonts w:eastAsiaTheme="minorEastAsia"/>
          <w:lang w:val="en-US"/>
        </w:rPr>
        <w:t xml:space="preserve"> as period index. Expected utility from </w:t>
      </w:r>
      <m:oMath>
        <m:r>
          <w:rPr>
            <w:rFonts w:ascii="Cambria Math" w:hAnsi="Cambria Math"/>
            <w:lang w:val="en-US"/>
          </w:rPr>
          <m:t>FRG</m:t>
        </m:r>
      </m:oMath>
      <w:r w:rsidRPr="00942BC6">
        <w:rPr>
          <w:rFonts w:eastAsiaTheme="minorEastAsia"/>
          <w:lang w:val="en-US"/>
        </w:rPr>
        <w:t xml:space="preserve"> in </w:t>
      </w:r>
      <m:oMath>
        <m:r>
          <w:rPr>
            <w:rFonts w:ascii="Cambria Math" w:hAnsi="Cambria Math"/>
            <w:lang w:val="en-US"/>
          </w:rPr>
          <m:t>τ</m:t>
        </m:r>
      </m:oMath>
      <w:r w:rsidRPr="00942BC6">
        <w:rPr>
          <w:rFonts w:eastAsiaTheme="minorEastAsia"/>
          <w:lang w:val="en-US"/>
        </w:rPr>
        <w:t xml:space="preserve"> periods is conditional on the desired land share the grapevine grower wishes to devote to </w:t>
      </w:r>
      <m:oMath>
        <m:r>
          <w:rPr>
            <w:rFonts w:ascii="Cambria Math" w:hAnsi="Cambria Math"/>
            <w:lang w:val="en-US"/>
          </w:rPr>
          <m:t>FRG</m:t>
        </m:r>
      </m:oMath>
      <w:r w:rsidRPr="00942BC6">
        <w:rPr>
          <w:lang w:val="en-US"/>
        </w:rPr>
        <w:t xml:space="preserve"> for the next period, i.e. </w:t>
      </w:r>
      <m:oMath>
        <m:r>
          <w:rPr>
            <w:rFonts w:ascii="Cambria Math" w:eastAsiaTheme="minorEastAsia" w:hAnsi="Cambria Math"/>
            <w:lang w:val="en-US"/>
          </w:rPr>
          <m:t>E(</m:t>
        </m:r>
        <m:sSub>
          <m:sSubPr>
            <m:ctrlPr>
              <w:rPr>
                <w:rFonts w:ascii="Cambria Math" w:eastAsiaTheme="minorEastAsia" w:hAnsi="Cambria Math"/>
                <w:i/>
                <w:lang w:val="en-US"/>
              </w:rPr>
            </m:ctrlPr>
          </m:sSubPr>
          <m:e>
            <m:r>
              <w:rPr>
                <w:rFonts w:ascii="Cambria Math" w:eastAsiaTheme="minorEastAsia" w:hAnsi="Cambria Math"/>
                <w:lang w:val="en-US"/>
              </w:rPr>
              <m:t>U</m:t>
            </m:r>
          </m:e>
          <m:sub>
            <m:r>
              <w:rPr>
                <w:rFonts w:ascii="Cambria Math" w:eastAsiaTheme="minorEastAsia" w:hAnsi="Cambria Math"/>
                <w:lang w:val="en-US"/>
              </w:rPr>
              <m:t>FRG,t+τ</m:t>
            </m:r>
          </m:sub>
        </m:sSub>
        <m:r>
          <w:rPr>
            <w:rFonts w:ascii="Cambria Math" w:eastAsiaTheme="minorEastAsia" w:hAnsi="Cambria Math"/>
            <w:lang w:val="en-US"/>
          </w:rPr>
          <m:t>|</m:t>
        </m:r>
        <m:sSubSup>
          <m:sSubSupPr>
            <m:ctrlPr>
              <w:rPr>
                <w:rFonts w:ascii="Cambria Math" w:eastAsiaTheme="minorEastAsia" w:hAnsi="Cambria Math"/>
                <w:i/>
                <w:lang w:val="en-US"/>
              </w:rPr>
            </m:ctrlPr>
          </m:sSubSupPr>
          <m:e>
            <m:r>
              <w:rPr>
                <w:rFonts w:ascii="Cambria Math" w:eastAsiaTheme="minorEastAsia" w:hAnsi="Cambria Math"/>
                <w:lang w:val="en-US"/>
              </w:rPr>
              <m:t>A</m:t>
            </m:r>
          </m:e>
          <m:sub>
            <m:r>
              <w:rPr>
                <w:rFonts w:ascii="Cambria Math" w:eastAsiaTheme="minorEastAsia" w:hAnsi="Cambria Math"/>
                <w:lang w:val="en-US"/>
              </w:rPr>
              <m:t>FRG,</m:t>
            </m:r>
            <m:r>
              <w:rPr>
                <w:rFonts w:ascii="Cambria Math" w:hAnsi="Cambria Math"/>
              </w:rPr>
              <m:t>t</m:t>
            </m:r>
            <m:r>
              <w:rPr>
                <w:rFonts w:ascii="Cambria Math" w:hAnsi="Cambria Math"/>
                <w:lang w:val="en-US"/>
              </w:rPr>
              <m:t>+</m:t>
            </m:r>
            <m:r>
              <w:rPr>
                <w:rFonts w:ascii="Cambria Math" w:hAnsi="Cambria Math"/>
              </w:rPr>
              <m:t>τ</m:t>
            </m:r>
          </m:sub>
          <m:sup>
            <m:r>
              <w:rPr>
                <w:rFonts w:ascii="Cambria Math" w:eastAsiaTheme="minorEastAsia" w:hAnsi="Cambria Math"/>
                <w:lang w:val="en-US"/>
              </w:rPr>
              <m:t>*</m:t>
            </m:r>
          </m:sup>
        </m:sSubSup>
        <m:r>
          <w:rPr>
            <w:rFonts w:ascii="Cambria Math" w:eastAsiaTheme="minorEastAsia" w:hAnsi="Cambria Math"/>
            <w:lang w:val="en-US"/>
          </w:rPr>
          <m:t>)</m:t>
        </m:r>
      </m:oMath>
      <w:r w:rsidRPr="00942BC6">
        <w:rPr>
          <w:rFonts w:eastAsiaTheme="minorEastAsia"/>
          <w:lang w:val="en-US"/>
        </w:rPr>
        <w:t>.</w:t>
      </w:r>
      <w:r w:rsidRPr="00942BC6">
        <w:rPr>
          <w:lang w:val="en-US"/>
        </w:rPr>
        <w:t xml:space="preserve"> Moreover, </w:t>
      </w:r>
      <m:oMath>
        <m:r>
          <w:rPr>
            <w:rFonts w:ascii="Cambria Math" w:hAnsi="Cambria Math"/>
            <w:lang w:val="en-US"/>
          </w:rPr>
          <m:t>0&lt;β&lt;1</m:t>
        </m:r>
      </m:oMath>
      <w:r w:rsidRPr="00942BC6">
        <w:rPr>
          <w:rFonts w:eastAsiaTheme="minorEastAsia"/>
          <w:lang w:val="en-US"/>
        </w:rPr>
        <w:t xml:space="preserve"> represents the grapevine grower’s time preferences. The change in the share of land devoted to </w:t>
      </w:r>
      <m:oMath>
        <m:r>
          <w:rPr>
            <w:rFonts w:ascii="Cambria Math" w:hAnsi="Cambria Math"/>
            <w:lang w:val="en-US"/>
          </w:rPr>
          <m:t>FRG</m:t>
        </m:r>
      </m:oMath>
      <w:r w:rsidRPr="00942BC6">
        <w:rPr>
          <w:rFonts w:eastAsiaTheme="minorEastAsia"/>
          <w:lang w:val="en-US"/>
        </w:rPr>
        <w:t>, that is the desired minus the current (or last period) land share, is thus given by equation 1:</w:t>
      </w:r>
      <w:r w:rsidRPr="00942BC6">
        <w:rPr>
          <w:rFonts w:ascii="Cambria Math" w:hAnsi="Cambria Math"/>
          <w:i/>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942BC6" w:rsidRPr="00942BC6" w14:paraId="112111D9" w14:textId="77777777" w:rsidTr="00290F52">
        <w:tc>
          <w:tcPr>
            <w:tcW w:w="1413" w:type="dxa"/>
          </w:tcPr>
          <w:p w14:paraId="5E18F480" w14:textId="77777777" w:rsidR="00942BC6" w:rsidRPr="00844680" w:rsidRDefault="00942BC6" w:rsidP="00844680">
            <w:pPr>
              <w:spacing w:line="276" w:lineRule="auto"/>
              <w:rPr>
                <w:lang w:val="en-US"/>
              </w:rPr>
            </w:pPr>
            <w:r w:rsidRPr="00844680">
              <w:rPr>
                <w:rFonts w:eastAsiaTheme="minorEastAsia"/>
                <w:iCs/>
                <w:lang w:val="en-US"/>
              </w:rPr>
              <w:t>(1)</w:t>
            </w:r>
          </w:p>
        </w:tc>
        <w:tc>
          <w:tcPr>
            <w:tcW w:w="7649" w:type="dxa"/>
          </w:tcPr>
          <w:p w14:paraId="7E68AF7C" w14:textId="77777777" w:rsidR="00942BC6" w:rsidRPr="00844680" w:rsidRDefault="00942BC6" w:rsidP="00844680">
            <w:pPr>
              <w:spacing w:line="276" w:lineRule="auto"/>
              <w:rPr>
                <w:lang w:val="en-US"/>
              </w:rPr>
            </w:pPr>
            <m:oMathPara>
              <m:oMath>
                <m:r>
                  <w:rPr>
                    <w:rFonts w:ascii="Cambria Math" w:hAnsi="Cambria Math"/>
                    <w:lang w:val="en-US"/>
                  </w:rPr>
                  <m:t>∆</m:t>
                </m:r>
                <m:sSub>
                  <m:sSubPr>
                    <m:ctrlPr>
                      <w:rPr>
                        <w:rFonts w:ascii="Cambria Math" w:hAnsi="Cambria Math"/>
                        <w:i/>
                        <w:iCs/>
                      </w:rPr>
                    </m:ctrlPr>
                  </m:sSubPr>
                  <m:e>
                    <m:r>
                      <w:rPr>
                        <w:rFonts w:ascii="Cambria Math" w:hAnsi="Cambria Math"/>
                      </w:rPr>
                      <m:t>A</m:t>
                    </m:r>
                  </m:e>
                  <m:sub>
                    <m:r>
                      <w:rPr>
                        <w:rFonts w:ascii="Cambria Math" w:hAnsi="Cambria Math"/>
                      </w:rPr>
                      <m:t>FRG</m:t>
                    </m:r>
                  </m:sub>
                </m:sSub>
                <m:r>
                  <w:rPr>
                    <w:rFonts w:ascii="Cambria Math" w:hAnsi="Cambria Math"/>
                    <w:lang w:val="en-US"/>
                  </w:rPr>
                  <m:t>=</m:t>
                </m:r>
                <m:sSubSup>
                  <m:sSubSupPr>
                    <m:ctrlPr>
                      <w:rPr>
                        <w:rFonts w:ascii="Cambria Math" w:hAnsi="Cambria Math"/>
                        <w:i/>
                        <w:iCs/>
                      </w:rPr>
                    </m:ctrlPr>
                  </m:sSubSupPr>
                  <m:e>
                    <m:r>
                      <w:rPr>
                        <w:rFonts w:ascii="Cambria Math" w:hAnsi="Cambria Math"/>
                      </w:rPr>
                      <m:t>A</m:t>
                    </m:r>
                  </m:e>
                  <m:sub>
                    <m:r>
                      <w:rPr>
                        <w:rFonts w:ascii="Cambria Math" w:hAnsi="Cambria Math"/>
                      </w:rPr>
                      <m:t>FRG</m:t>
                    </m:r>
                    <m:r>
                      <w:rPr>
                        <w:rFonts w:ascii="Cambria Math" w:hAnsi="Cambria Math"/>
                        <w:lang w:val="en-US"/>
                      </w:rPr>
                      <m:t>,</m:t>
                    </m:r>
                    <m:r>
                      <w:rPr>
                        <w:rFonts w:ascii="Cambria Math" w:hAnsi="Cambria Math"/>
                      </w:rPr>
                      <m:t>t</m:t>
                    </m:r>
                    <m:r>
                      <w:rPr>
                        <w:rFonts w:ascii="Cambria Math" w:hAnsi="Cambria Math"/>
                        <w:lang w:val="en-US"/>
                      </w:rPr>
                      <m:t>+</m:t>
                    </m:r>
                    <m:r>
                      <w:rPr>
                        <w:rFonts w:ascii="Cambria Math" w:hAnsi="Cambria Math"/>
                      </w:rPr>
                      <m:t>τ</m:t>
                    </m:r>
                  </m:sub>
                  <m:sup>
                    <m:r>
                      <w:rPr>
                        <w:rFonts w:ascii="Cambria Math" w:hAnsi="Cambria Math"/>
                        <w:lang w:val="en-US"/>
                      </w:rPr>
                      <m:t>*</m:t>
                    </m:r>
                  </m:sup>
                </m:sSubSup>
                <m:r>
                  <w:rPr>
                    <w:rFonts w:ascii="Cambria Math" w:hAnsi="Cambria Math"/>
                    <w:lang w:val="en-US"/>
                  </w:rPr>
                  <m:t>-</m:t>
                </m:r>
                <m:sSub>
                  <m:sSubPr>
                    <m:ctrlPr>
                      <w:rPr>
                        <w:rFonts w:ascii="Cambria Math" w:hAnsi="Cambria Math"/>
                        <w:i/>
                        <w:iCs/>
                      </w:rPr>
                    </m:ctrlPr>
                  </m:sSubPr>
                  <m:e>
                    <m:r>
                      <w:rPr>
                        <w:rFonts w:ascii="Cambria Math" w:hAnsi="Cambria Math"/>
                      </w:rPr>
                      <m:t>A</m:t>
                    </m:r>
                  </m:e>
                  <m:sub>
                    <m:r>
                      <w:rPr>
                        <w:rFonts w:ascii="Cambria Math" w:hAnsi="Cambria Math"/>
                      </w:rPr>
                      <m:t>FRG</m:t>
                    </m:r>
                    <m:r>
                      <w:rPr>
                        <w:rFonts w:ascii="Cambria Math" w:hAnsi="Cambria Math"/>
                        <w:lang w:val="en-US"/>
                      </w:rPr>
                      <m:t>,</m:t>
                    </m:r>
                    <m:r>
                      <w:rPr>
                        <w:rFonts w:ascii="Cambria Math" w:hAnsi="Cambria Math"/>
                      </w:rPr>
                      <m:t>t</m:t>
                    </m:r>
                    <m:r>
                      <w:rPr>
                        <w:rFonts w:ascii="Cambria Math" w:hAnsi="Cambria Math"/>
                        <w:lang w:val="en-US"/>
                      </w:rPr>
                      <m:t>-</m:t>
                    </m:r>
                    <m:r>
                      <w:rPr>
                        <w:rFonts w:ascii="Cambria Math" w:hAnsi="Cambria Math"/>
                      </w:rPr>
                      <m:t>τ</m:t>
                    </m:r>
                  </m:sub>
                </m:sSub>
                <m:r>
                  <w:rPr>
                    <w:rFonts w:ascii="Cambria Math" w:hAnsi="Cambria Math"/>
                    <w:lang w:val="en-US"/>
                  </w:rPr>
                  <m:t>=</m:t>
                </m:r>
                <m:sSup>
                  <m:sSupPr>
                    <m:ctrlPr>
                      <w:rPr>
                        <w:rFonts w:ascii="Cambria Math" w:hAnsi="Cambria Math"/>
                        <w:i/>
                      </w:rPr>
                    </m:ctrlPr>
                  </m:sSupPr>
                  <m:e>
                    <m:r>
                      <w:rPr>
                        <w:rFonts w:ascii="Cambria Math" w:hAnsi="Cambria Math"/>
                      </w:rPr>
                      <m:t>β</m:t>
                    </m:r>
                  </m:e>
                  <m:sup>
                    <m:r>
                      <w:rPr>
                        <w:rFonts w:ascii="Cambria Math" w:hAnsi="Cambria Math"/>
                      </w:rPr>
                      <m:t>τ</m:t>
                    </m:r>
                  </m:sup>
                </m:sSup>
                <m:r>
                  <w:rPr>
                    <w:rFonts w:ascii="Cambria Math" w:hAnsi="Cambria Math"/>
                  </w:rPr>
                  <m:t>E</m:t>
                </m:r>
                <m:r>
                  <w:rPr>
                    <w:rFonts w:ascii="Cambria Math" w:hAnsi="Cambria Math"/>
                    <w:lang w:val="en-US"/>
                  </w:rPr>
                  <m:t>(</m:t>
                </m:r>
                <m:sSub>
                  <m:sSubPr>
                    <m:ctrlPr>
                      <w:rPr>
                        <w:rFonts w:ascii="Cambria Math" w:eastAsiaTheme="minorEastAsia" w:hAnsi="Cambria Math"/>
                        <w:i/>
                        <w:iCs/>
                      </w:rPr>
                    </m:ctrlPr>
                  </m:sSubPr>
                  <m:e>
                    <m:r>
                      <w:rPr>
                        <w:rFonts w:ascii="Cambria Math" w:eastAsiaTheme="minorEastAsia" w:hAnsi="Cambria Math"/>
                      </w:rPr>
                      <m:t>U</m:t>
                    </m:r>
                  </m:e>
                  <m:sub>
                    <m:r>
                      <w:rPr>
                        <w:rFonts w:ascii="Cambria Math" w:eastAsiaTheme="minorEastAsia" w:hAnsi="Cambria Math"/>
                      </w:rPr>
                      <m:t>FRG</m:t>
                    </m:r>
                    <m:r>
                      <w:rPr>
                        <w:rFonts w:ascii="Cambria Math" w:eastAsiaTheme="minorEastAsia" w:hAnsi="Cambria Math"/>
                        <w:lang w:val="en-US"/>
                      </w:rPr>
                      <m:t>,</m:t>
                    </m:r>
                    <m:r>
                      <w:rPr>
                        <w:rFonts w:ascii="Cambria Math" w:eastAsiaTheme="minorEastAsia" w:hAnsi="Cambria Math"/>
                      </w:rPr>
                      <m:t>t</m:t>
                    </m:r>
                    <m:r>
                      <w:rPr>
                        <w:rFonts w:ascii="Cambria Math" w:eastAsiaTheme="minorEastAsia" w:hAnsi="Cambria Math"/>
                        <w:lang w:val="en-US"/>
                      </w:rPr>
                      <m:t>+</m:t>
                    </m:r>
                    <m:r>
                      <w:rPr>
                        <w:rFonts w:ascii="Cambria Math" w:eastAsiaTheme="minorEastAsia" w:hAnsi="Cambria Math"/>
                      </w:rPr>
                      <m:t>τ</m:t>
                    </m:r>
                  </m:sub>
                </m:sSub>
                <m:r>
                  <w:rPr>
                    <w:rFonts w:ascii="Cambria Math" w:hAnsi="Cambria Math"/>
                    <w:lang w:val="en-US"/>
                  </w:rPr>
                  <m:t>)</m:t>
                </m:r>
                <m:r>
                  <w:rPr>
                    <w:rFonts w:ascii="Cambria Math" w:eastAsiaTheme="minorEastAsia" w:hAnsi="Cambria Math"/>
                    <w:lang w:val="en-US"/>
                  </w:rPr>
                  <m:t>-</m:t>
                </m:r>
                <m:sSub>
                  <m:sSubPr>
                    <m:ctrlPr>
                      <w:rPr>
                        <w:rFonts w:ascii="Cambria Math" w:eastAsiaTheme="minorEastAsia" w:hAnsi="Cambria Math"/>
                        <w:i/>
                        <w:iCs/>
                      </w:rPr>
                    </m:ctrlPr>
                  </m:sSubPr>
                  <m:e>
                    <m:r>
                      <w:rPr>
                        <w:rFonts w:ascii="Cambria Math" w:eastAsiaTheme="minorEastAsia" w:hAnsi="Cambria Math"/>
                      </w:rPr>
                      <m:t>U</m:t>
                    </m:r>
                  </m:e>
                  <m:sub>
                    <m:r>
                      <w:rPr>
                        <w:rFonts w:ascii="Cambria Math" w:eastAsiaTheme="minorEastAsia" w:hAnsi="Cambria Math"/>
                      </w:rPr>
                      <m:t>FRG</m:t>
                    </m:r>
                  </m:sub>
                </m:sSub>
              </m:oMath>
            </m:oMathPara>
          </w:p>
        </w:tc>
      </w:tr>
    </w:tbl>
    <w:p w14:paraId="590E06C3" w14:textId="77777777" w:rsidR="00942BC6" w:rsidRPr="00844680" w:rsidRDefault="00942BC6" w:rsidP="00844680">
      <w:pPr>
        <w:spacing w:line="276" w:lineRule="auto"/>
        <w:rPr>
          <w:lang w:val="en-US"/>
        </w:rPr>
      </w:pPr>
    </w:p>
    <w:p w14:paraId="3CB67797" w14:textId="39F0A55E" w:rsidR="00942BC6" w:rsidRPr="00942BC6" w:rsidRDefault="00942BC6" w:rsidP="00844680">
      <w:pPr>
        <w:spacing w:line="276" w:lineRule="auto"/>
        <w:rPr>
          <w:lang w:val="en-US"/>
        </w:rPr>
      </w:pPr>
      <w:r w:rsidRPr="00942BC6">
        <w:rPr>
          <w:lang w:val="en-US"/>
        </w:rPr>
        <w:t>According to equation 1, grapevine growers will thus adjust their land share (</w:t>
      </w:r>
      <m:oMath>
        <m:r>
          <w:rPr>
            <w:rFonts w:ascii="Cambria Math" w:hAnsi="Cambria Math"/>
            <w:lang w:val="en-US"/>
          </w:rPr>
          <m:t>∆</m:t>
        </m:r>
        <m:sSub>
          <m:sSubPr>
            <m:ctrlPr>
              <w:rPr>
                <w:rFonts w:ascii="Cambria Math" w:hAnsi="Cambria Math"/>
                <w:i/>
                <w:iCs/>
              </w:rPr>
            </m:ctrlPr>
          </m:sSubPr>
          <m:e>
            <m:r>
              <w:rPr>
                <w:rFonts w:ascii="Cambria Math" w:hAnsi="Cambria Math"/>
              </w:rPr>
              <m:t>A</m:t>
            </m:r>
          </m:e>
          <m:sub>
            <m:r>
              <w:rPr>
                <w:rFonts w:ascii="Cambria Math" w:hAnsi="Cambria Math"/>
              </w:rPr>
              <m:t>FRG</m:t>
            </m:r>
          </m:sub>
        </m:sSub>
      </m:oMath>
      <w:r w:rsidRPr="00942BC6">
        <w:rPr>
          <w:lang w:val="en-US"/>
        </w:rPr>
        <w:t xml:space="preserve">) for fungus-resistant varieties by comparing (discounted) utility differences of the alternatives over time </w:t>
      </w:r>
      <w:r w:rsidRPr="00942BC6">
        <w:rPr>
          <w:lang w:val="en-US"/>
        </w:rPr>
        <w:fldChar w:fldCharType="begin"/>
      </w:r>
      <w:r w:rsidR="00453ED3">
        <w:rPr>
          <w:lang w:val="en-US"/>
        </w:rPr>
        <w:instrText xml:space="preserve"> ADDIN ZOTERO_ITEM CSL_CITATION {"citationID":"J4vVINPR","properties":{"formattedCitation":"(Fernandez\\uc0\\u8208{}Cornejo 1998)","plainCitation":"(Fernandez‐Cornejo 1998)","noteIndex":0},"citationItems":[{"id":1492,"uris":["http://zotero.org/users/8375139/items/F6RLMZ86"],"uri":["http://zotero.org/users/8375139/items/F6RLMZ86"],"itemData":{"id":1492,"type":"article-journal","container-title":"Agricultural Economics","DOI":"10.1111/j.1574-0862.1998.tb00494.x","ISSN":"0169-5150, 1574-0862","issue":"2","journalAbbreviation":"Agricultural Economics","language":"en","page":"145-155","source":"DOI.org (Crossref)","title":"Environinental and economic consequences of technology adoption: IPM in viticulture","title-short":"Environinental and economic consequences of technology adoption","volume":"18","author":[{"family":"Fernandez‐Cornejo","given":"Jorge"}],"issued":{"date-parts":[["1998",3]]}}}],"schema":"https://github.com/citation-style-language/schema/raw/master/csl-citation.json"} </w:instrText>
      </w:r>
      <w:r w:rsidRPr="00942BC6">
        <w:rPr>
          <w:lang w:val="en-US"/>
        </w:rPr>
        <w:fldChar w:fldCharType="separate"/>
      </w:r>
      <w:r w:rsidRPr="00942BC6">
        <w:rPr>
          <w:rFonts w:ascii="Calibri" w:hAnsi="Calibri" w:cs="Calibri"/>
          <w:lang w:val="en-US"/>
        </w:rPr>
        <w:t>(Fernandez‐Cornejo 1998)</w:t>
      </w:r>
      <w:r w:rsidRPr="00942BC6">
        <w:rPr>
          <w:lang w:val="en-US"/>
        </w:rPr>
        <w:fldChar w:fldCharType="end"/>
      </w:r>
      <w:r w:rsidRPr="00942BC6">
        <w:rPr>
          <w:lang w:val="en-US"/>
        </w:rPr>
        <w:t xml:space="preserve">. Expected utility is a function of expected prices and costs, which define profits, and other features of </w:t>
      </w:r>
      <m:oMath>
        <m:r>
          <w:rPr>
            <w:rFonts w:ascii="Cambria Math" w:hAnsi="Cambria Math"/>
            <w:lang w:val="en-US"/>
          </w:rPr>
          <m:t>FRG</m:t>
        </m:r>
      </m:oMath>
      <w:r w:rsidRPr="00942BC6">
        <w:rPr>
          <w:lang w:val="en-US"/>
        </w:rPr>
        <w:t xml:space="preserve"> that reward (dis)utility to the grower. </w:t>
      </w:r>
      <w:r w:rsidRPr="00942BC6">
        <w:rPr>
          <w:rFonts w:eastAsiaTheme="minorEastAsia"/>
          <w:color w:val="000000"/>
          <w:lang w:val="en-US"/>
        </w:rPr>
        <w:t>Expected utility differentials</w:t>
      </w:r>
      <w:r w:rsidRPr="00942BC6">
        <w:rPr>
          <w:rFonts w:eastAsiaTheme="minorEastAsia"/>
          <w:lang w:val="en-US"/>
        </w:rPr>
        <w:t xml:space="preserve"> and thus decisions across farms are driven </w:t>
      </w:r>
      <w:r w:rsidRPr="00942BC6">
        <w:rPr>
          <w:lang w:val="en-US"/>
        </w:rPr>
        <w:t xml:space="preserve">by farmer- and farm characteristics, regional factors as well as perceptions, preferences, and personality traits of grapevine </w:t>
      </w:r>
      <w:r w:rsidRPr="00942BC6">
        <w:rPr>
          <w:rFonts w:eastAsiaTheme="minorEastAsia"/>
          <w:lang w:val="en-US"/>
        </w:rPr>
        <w:t>growers</w:t>
      </w:r>
      <w:r w:rsidRPr="00942BC6">
        <w:rPr>
          <w:lang w:val="en-US"/>
        </w:rPr>
        <w:t xml:space="preserve"> </w:t>
      </w:r>
      <w:r w:rsidRPr="00942BC6">
        <w:rPr>
          <w:rFonts w:eastAsiaTheme="minorEastAsia"/>
          <w:lang w:val="en-US"/>
        </w:rPr>
        <w:t>(</w:t>
      </w:r>
      <w:r w:rsidR="0013020E">
        <w:rPr>
          <w:rFonts w:eastAsiaTheme="minorEastAsia"/>
          <w:lang w:val="en-US"/>
        </w:rPr>
        <w:t>Figure C1</w:t>
      </w:r>
      <w:r w:rsidRPr="00942BC6">
        <w:rPr>
          <w:rFonts w:eastAsiaTheme="minorEastAsia"/>
          <w:lang w:val="en-US"/>
        </w:rPr>
        <w:t>).</w:t>
      </w:r>
      <w:r w:rsidRPr="00942BC6">
        <w:rPr>
          <w:lang w:val="en-US"/>
        </w:rPr>
        <w:t xml:space="preserve"> </w:t>
      </w:r>
    </w:p>
    <w:p w14:paraId="3F16B9D1" w14:textId="7722C3BB" w:rsidR="00942BC6" w:rsidRPr="00942BC6" w:rsidRDefault="00942BC6" w:rsidP="00844680">
      <w:pPr>
        <w:spacing w:line="276" w:lineRule="auto"/>
        <w:rPr>
          <w:lang w:val="en-US"/>
        </w:rPr>
      </w:pPr>
      <w:r w:rsidRPr="00942BC6">
        <w:rPr>
          <w:lang w:val="en-US"/>
        </w:rPr>
        <w:t xml:space="preserve">Farmer- and farm characteristics such as the degree of specialization, the size of the farm, structural factors such as the share of old grapevines, the production system, marketing channels and labelling as well as grapevine growers’ education and (self-assessed) knowledge about fungus-resistant varieties may all </w:t>
      </w:r>
      <w:r w:rsidR="00216022">
        <w:rPr>
          <w:lang w:val="en-US"/>
        </w:rPr>
        <w:t xml:space="preserve">influence </w:t>
      </w:r>
      <w:r w:rsidRPr="00942BC6">
        <w:rPr>
          <w:lang w:val="en-US"/>
        </w:rPr>
        <w:t xml:space="preserve">profits and costs including switching and adjustment costs </w:t>
      </w:r>
      <w:r w:rsidRPr="00942BC6">
        <w:rPr>
          <w:lang w:val="en-US"/>
        </w:rPr>
        <w:fldChar w:fldCharType="begin"/>
      </w:r>
      <w:r w:rsidR="00453ED3">
        <w:rPr>
          <w:lang w:val="en-US"/>
        </w:rPr>
        <w:instrText xml:space="preserve"> ADDIN ZOTERO_ITEM CSL_CITATION {"citationID":"uNNeMmNE","properties":{"formattedCitation":"(Gardebroek and Oude Lansink 2004)","plainCitation":"(Gardebroek and Oude Lansink 2004)","noteIndex":0},"citationItems":[{"id":1426,"uris":["http://zotero.org/users/8375139/items/D2LUU7JS"],"uri":["http://zotero.org/users/8375139/items/D2LUU7JS"],"itemData":{"id":1426,"type":"article-journal","container-title":"Journal of Agricultural Economics","DOI":"10.1111/j.1477-9552.2004.tb00076.x","ISSN":"0021-857X, 1477-9552","issue":"1","journalAbbreviation":"J Agricultural Economics","language":"en","page":"3-24","source":"DOI.org (Crossref)","title":"Farm-specific Adjustment Costs in Dutch Pig Farming","volume":"55","author":[{"family":"Gardebroek","given":"Cornelis"},{"family":"Oude Lansink","given":"Alfons G.J.M."}],"issued":{"date-parts":[["2004",3]]}}}],"schema":"https://github.com/citation-style-language/schema/raw/master/csl-citation.json"} </w:instrText>
      </w:r>
      <w:r w:rsidRPr="00942BC6">
        <w:rPr>
          <w:lang w:val="en-US"/>
        </w:rPr>
        <w:fldChar w:fldCharType="separate"/>
      </w:r>
      <w:r w:rsidRPr="00942BC6">
        <w:rPr>
          <w:rFonts w:ascii="Calibri" w:hAnsi="Calibri" w:cs="Calibri"/>
          <w:lang w:val="en-US"/>
        </w:rPr>
        <w:t xml:space="preserve">(Gardebroek </w:t>
      </w:r>
      <w:r w:rsidRPr="00942BC6">
        <w:rPr>
          <w:rFonts w:ascii="Calibri" w:hAnsi="Calibri" w:cs="Calibri"/>
          <w:lang w:val="en-US"/>
        </w:rPr>
        <w:lastRenderedPageBreak/>
        <w:t>and Oude Lansink 2004)</w:t>
      </w:r>
      <w:r w:rsidRPr="00942BC6">
        <w:rPr>
          <w:lang w:val="en-US"/>
        </w:rPr>
        <w:fldChar w:fldCharType="end"/>
      </w:r>
      <w:r w:rsidRPr="00942BC6">
        <w:rPr>
          <w:lang w:val="en-US"/>
        </w:rPr>
        <w:t xml:space="preserve">. Grapevine growers’ risk preferences are crucial to explain economic decisions and especially time preferences are relevant to compare long-term utility levels across time </w:t>
      </w:r>
      <w:r w:rsidRPr="00942BC6">
        <w:rPr>
          <w:lang w:val="en-US"/>
        </w:rPr>
        <w:fldChar w:fldCharType="begin"/>
      </w:r>
      <w:r w:rsidR="00453ED3">
        <w:rPr>
          <w:lang w:val="en-US"/>
        </w:rPr>
        <w:instrText xml:space="preserve"> ADDIN ZOTERO_ITEM CSL_CITATION {"citationID":"PUIvES6h","properties":{"formattedCitation":"(Foster and Rosenzweig 2010, Falk {\\i{}et al.} 2018, Iyer {\\i{}et al.} 2020)","plainCitation":"(Foster and Rosenzweig 2010, Falk et al. 2018, Iyer et al. 2020)","noteIndex":0},"citationItems":[{"id":230,"uris":["http://zotero.org/users/8375139/items/PNCKE6RJ"],"uri":["http://zotero.org/users/8375139/items/PNCKE6RJ"],"itemData":{"id":230,"type":"article-journal","container-title":"The Quarterly Journal of Economics","DOI":"10.1093/qje/qjy013","ISSN":"0033-5533, 1531-4650","issue":"4","language":"en","page":"1645-1692","source":"DOI.org (Crossref)","title":"Global Evidence on Economic Preferences","volume":"133","author":[{"family":"Falk","given":"Armin"},{"family":"Becker","given":"Anke"},{"family":"Dohmen","given":"Thomas"},{"family":"Enke","given":"Benjamin"},{"family":"Huffman","given":"David"},{"family":"Sunde","given":"Uwe"}],"issued":{"date-parts":[["2018",11,1]]}}},{"id":1485,"uris":["http://zotero.org/users/8375139/items/HB9FWEAG"],"uri":["http://zotero.org/users/8375139/items/HB9FWEAG"],"itemData":{"id":1485,"type":"article-journal","abstract":"Differences in technology levels across countries account for a large component of the differences in wages and per-capita GDP across countries worldwide. This article reviews micro studies of the adoption of new technologies and the use of inputs complementary with new technologies to shed light on the barriers to technology diffusion in low-income countries. Among the factors examined affecting decisions pertaining to technology choice and input allocations are the financial and nonfinancial returns to adoption, one's own learning and social learning, technological externalities, scale economies, schooling, credit constraints, risk and incomplete insurance, and departures from behavioral rules implied by simple models of rationality.","container-title":"Annual Review of Economics","DOI":"10.1146/annurev.economics.102308.124433","ISSN":"1941-1383, 1941-1391","issue":"1","journalAbbreviation":"Annu. Rev. Econ.","language":"en","page":"395-424","source":"DOI.org (Crossref)","title":"Microeconomics of Technology Adoption","volume":"2","author":[{"family":"Foster","given":"Andrew D."},{"family":"Rosenzweig","given":"Mark R."}],"issued":{"date-parts":[["2010",9,4]]}}},{"id":187,"uris":["http://zotero.org/users/8375139/items/APQJDJYH"],"uri":["http://zotero.org/users/8375139/items/APQJDJYH"],"itemData":{"id":187,"type":"article-journal","container-title":"Journal of Agricultural Economics","DOI":"10.1111/1477-9552.12325","ISSN":"0021-857X, 1477-9552","issue":"1","journalAbbreviation":"J Agric Econ","language":"en","page":"3-26","source":"DOI.org (Crossref)","title":"Measuring Farmer Risk Preferences in Europe: A Systematic Review","title-short":"Measuring Farmer Risk Preferences in Europe","volume":"71","author":[{"family":"Iyer","given":"Poorvi"},{"family":"Bozzola","given":"Martina"},{"family":"Hirsch","given":"Stefan"},{"family":"Meraner","given":"Manuela"},{"family":"Finger","given":"Robert"}],"issued":{"date-parts":[["2020",2]]}}}],"schema":"https://github.com/citation-style-language/schema/raw/master/csl-citation.json"} </w:instrText>
      </w:r>
      <w:r w:rsidRPr="00942BC6">
        <w:rPr>
          <w:lang w:val="en-US"/>
        </w:rPr>
        <w:fldChar w:fldCharType="separate"/>
      </w:r>
      <w:r w:rsidRPr="00942BC6">
        <w:rPr>
          <w:rFonts w:ascii="Calibri" w:hAnsi="Calibri" w:cs="Calibri"/>
          <w:lang w:val="en-US"/>
        </w:rPr>
        <w:t xml:space="preserve">(Foster and Rosenzweig 2010, Falk </w:t>
      </w:r>
      <w:r w:rsidRPr="00942BC6">
        <w:rPr>
          <w:rFonts w:ascii="Calibri" w:hAnsi="Calibri" w:cs="Calibri"/>
          <w:i/>
          <w:iCs/>
          <w:lang w:val="en-US"/>
        </w:rPr>
        <w:t>et al.</w:t>
      </w:r>
      <w:r w:rsidRPr="00942BC6">
        <w:rPr>
          <w:rFonts w:ascii="Calibri" w:hAnsi="Calibri" w:cs="Calibri"/>
          <w:lang w:val="en-US"/>
        </w:rPr>
        <w:t xml:space="preserve"> 2018, Iyer </w:t>
      </w:r>
      <w:r w:rsidRPr="00942BC6">
        <w:rPr>
          <w:rFonts w:ascii="Calibri" w:hAnsi="Calibri" w:cs="Calibri"/>
          <w:i/>
          <w:iCs/>
          <w:lang w:val="en-US"/>
        </w:rPr>
        <w:t>et al.</w:t>
      </w:r>
      <w:r w:rsidRPr="00942BC6">
        <w:rPr>
          <w:rFonts w:ascii="Calibri" w:hAnsi="Calibri" w:cs="Calibri"/>
          <w:lang w:val="en-US"/>
        </w:rPr>
        <w:t xml:space="preserve"> 2020)</w:t>
      </w:r>
      <w:r w:rsidRPr="00942BC6">
        <w:rPr>
          <w:lang w:val="en-US"/>
        </w:rPr>
        <w:fldChar w:fldCharType="end"/>
      </w:r>
      <w:r w:rsidRPr="00942BC6">
        <w:rPr>
          <w:lang w:val="en-US"/>
        </w:rPr>
        <w:t xml:space="preserve">. Moreover, grapevine growers’ perceptions about fungus-resistant varieties such as environmental and health benefits or marketing difficulties as well as the perceived willingness to pay from consumers may reward (dis)utility to grapevine growers </w:t>
      </w:r>
      <w:r w:rsidRPr="00942BC6">
        <w:rPr>
          <w:lang w:val="en-US"/>
        </w:rPr>
        <w:fldChar w:fldCharType="begin"/>
      </w:r>
      <w:r w:rsidR="00453ED3">
        <w:rPr>
          <w:lang w:val="en-US"/>
        </w:rPr>
        <w:instrText xml:space="preserve"> ADDIN ZOTERO_ITEM CSL_CITATION {"citationID":"2OWs1uW3","properties":{"formattedCitation":"(Pi\\uc0\\u241{}eiro {\\i{}et al.} 2020, Weersink and Fulton 2020, Finger and M\\uc0\\u246{}hring 2022)","plainCitation":"(Piñeiro et al. 2020, Weersink and Fulton 2020, Finger and Möhring 2022)","noteIndex":0},"citationItems":[{"id":1054,"uris":["http://zotero.org/users/8375139/items/QFMPTQKY"],"uri":["http://zotero.org/users/8375139/items/QFMPTQKY"],"itemData":{"id":1054,"type":"article-journal","container-title":"Ecological Economics","DOI":"10.1016/j.ecolecon.2022.107463","ISSN":"09218009","journalAbbreviation":"Ecological Economics","language":"en","page":"107463","source":"DOI.org (Crossref)","title":"The adoption of pesticide-free wheat production and farmers' perceptions of its environmental and health effects","volume":"198","author":[{"family":"Finger","given":"Robert"},{"family":"Möhring","given":"Niklas"}],"issued":{"date-parts":[["2022",8]]}}},{"id":1031,"uris":["http://zotero.org/users/8375139/items/EQ4RKEIR"],"uri":["http://zotero.org/users/8375139/items/EQ4RKEIR"],"itemData":{"id":1031,"type":"article-journal","abstract":"Abstract\n            The increasing pressure on agricultural production systems to achieve global food security and prevent environmental degradation necessitates a transition towards more sustainable practices. The purpose of this scoping review is to understand how the incentives offered to farmers motivate the adoption of sustainable agricultural practices and, ultimately, how and whether they result in measurable outcomes. To this end, this scoping review examines the evidence of nearly 18,000 papers on whether incentive-based programmes lead to the adoption of sustainable practices and their effect on environmental, economic and productivity outcomes. We find that independent of the incentive type, programmes linked to short-term economic benefit have a higher adoption rate than those aimed solely at providing an ecological service. In the long run, one of the strongest motivations for farmers to adopt sustainable practices is perceived benefits for either their farms, the environment or both. Beyond this, the importance of technical assistance and extension services in promoting sustainable practices emerges strongly from this scoping review. Finally, we find that policy instruments are more effective if their design considers the characteristics of the target population, and the associated trade-offs between economic, environmental and social outcomes.","container-title":"Nature Sustainability","DOI":"10.1038/s41893-020-00617-y","ISSN":"2398-9629","issue":"10","journalAbbreviation":"Nat Sustain","language":"en","page":"809-820","source":"DOI.org (Crossref)","title":"A scoping review on incentives for adoption of sustainable agricultural practices and their outcomes","volume":"3","author":[{"family":"Piñeiro","given":"Valeria"},{"family":"Arias","given":"Joaquín"},{"family":"Dürr","given":"Jochen"},{"family":"Elverdin","given":"Pablo"},{"family":"Ibáñez","given":"Ana María"},{"family":"Kinengyere","given":"Alison"},{"family":"Opazo","given":"Cristian Morales"},{"family":"Owoo","given":"Nkechi"},{"family":"Page","given":"Jessica R."},{"family":"Prager","given":"Steven D."},{"family":"Torero","given":"Maximo"}],"issued":{"date-parts":[["2020",10]]}}},{"id":716,"uris":["http://zotero.org/users/8375139/items/MVX6YDCI"],"uri":["http://zotero.org/users/8375139/items/MVX6YDCI"],"itemData":{"id":716,"type":"article-journal","container-title":"Applied Economic Perspectives and Policy","DOI":"10.1002/aepp.13004","ISSN":"2040-5790, 2040-5804","issue":"1","journalAbbreviation":"Applied Economic Perspectives and Policy","language":"en","page":"67-79","source":"DOI.org (Crossref)","title":"Limits to Profit Maximization as a Guide to Behavior Change","volume":"42","author":[{"family":"Weersink","given":"Alfons"},{"family":"Fulton","given":"Murray"}],"issued":{"date-parts":[["2020",3]]}}}],"schema":"https://github.com/citation-style-language/schema/raw/master/csl-citation.json"} </w:instrText>
      </w:r>
      <w:r w:rsidRPr="00942BC6">
        <w:rPr>
          <w:lang w:val="en-US"/>
        </w:rPr>
        <w:fldChar w:fldCharType="separate"/>
      </w:r>
      <w:r w:rsidRPr="00942BC6">
        <w:rPr>
          <w:rFonts w:ascii="Calibri" w:hAnsi="Calibri" w:cs="Calibri"/>
          <w:lang w:val="en-US"/>
        </w:rPr>
        <w:t xml:space="preserve">(Piñeiro </w:t>
      </w:r>
      <w:r w:rsidRPr="00942BC6">
        <w:rPr>
          <w:rFonts w:ascii="Calibri" w:hAnsi="Calibri" w:cs="Calibri"/>
          <w:i/>
          <w:iCs/>
          <w:lang w:val="en-US"/>
        </w:rPr>
        <w:t>et al.</w:t>
      </w:r>
      <w:r w:rsidRPr="00942BC6">
        <w:rPr>
          <w:rFonts w:ascii="Calibri" w:hAnsi="Calibri" w:cs="Calibri"/>
          <w:lang w:val="en-US"/>
        </w:rPr>
        <w:t xml:space="preserve"> 2020, Weersink and Fulton 2020, Finger and Möhring 2022)</w:t>
      </w:r>
      <w:r w:rsidRPr="00942BC6">
        <w:rPr>
          <w:lang w:val="en-US"/>
        </w:rPr>
        <w:fldChar w:fldCharType="end"/>
      </w:r>
      <w:r w:rsidRPr="00942BC6">
        <w:rPr>
          <w:lang w:val="en-US"/>
        </w:rPr>
        <w:t xml:space="preserve">. Additionally, personality traits such as grapevine growers’ ambition, locus of control and self-efficacy may matter for the uptake of preventive measures against pests </w:t>
      </w:r>
      <w:r w:rsidRPr="00942BC6">
        <w:rPr>
          <w:lang w:val="en-US"/>
        </w:rPr>
        <w:fldChar w:fldCharType="begin"/>
      </w:r>
      <w:r w:rsidR="00453ED3">
        <w:rPr>
          <w:lang w:val="en-US"/>
        </w:rPr>
        <w:instrText xml:space="preserve"> ADDIN ZOTERO_ITEM CSL_CITATION {"citationID":"v001wJZk","properties":{"formattedCitation":"(Knapp {\\i{}et al.} 2021, Finger {\\i{}et al.} 2022)","plainCitation":"(Knapp et al. 2021, Finger et al. 2022)","noteIndex":0},"citationItems":[{"id":1506,"uris":["http://zotero.org/users/8375139/items/5VV3LQK7"],"uri":["http://zotero.org/users/8375139/items/5VV3LQK7"],"itemData":{"id":1506,"type":"article-journal","container-title":"Applied Economic Perspectives and Policy","DOI":"10.1002/aepp.13337","ISSN":"2040-5790, 2040-5804","journalAbbreviation":"Applied Eco Perspectives Pol","language":"en","page":"aepp.13337","source":"DOI.org (Crossref)","title":"Short supply chains and the adoption of fungus‐resistant grapevine varieties","author":[{"family":"Finger","given":"Robert"},{"family":"Zachmann","given":"Lucca"},{"family":"McCallum","given":"Chloe"}],"issued":{"date-parts":[["2022",12,23]]}}},{"id":226,"uris":["http://zotero.org/users/8375139/items/RGYYI6R8"],"uri":["http://zotero.org/users/8375139/items/RGYYI6R8"],"itemData":{"id":226,"type":"article-journal","container-title":"Agricultural Economics","DOI":"10.1111/agec.12669","ISSN":"0169-5150, 1574-0862","journalAbbreviation":"Agricultural Economics","language":"en","page":"agec.12669","source":"DOI.org (Crossref)","title":"Preferences, personality, aspirations, and farmer behavior","author":[{"family":"Knapp","given":"Ladina"},{"family":"Wuepper","given":"David"},{"family":"Finger","given":"Robert"}],"issued":{"date-parts":[["2021",8,6]]}}}],"schema":"https://github.com/citation-style-language/schema/raw/master/csl-citation.json"} </w:instrText>
      </w:r>
      <w:r w:rsidRPr="00942BC6">
        <w:rPr>
          <w:lang w:val="en-US"/>
        </w:rPr>
        <w:fldChar w:fldCharType="separate"/>
      </w:r>
      <w:r w:rsidRPr="00942BC6">
        <w:rPr>
          <w:rFonts w:ascii="Calibri" w:hAnsi="Calibri" w:cs="Calibri"/>
          <w:lang w:val="en-US"/>
        </w:rPr>
        <w:t xml:space="preserve">(Knapp </w:t>
      </w:r>
      <w:r w:rsidRPr="00942BC6">
        <w:rPr>
          <w:rFonts w:ascii="Calibri" w:hAnsi="Calibri" w:cs="Calibri"/>
          <w:i/>
          <w:iCs/>
          <w:lang w:val="en-US"/>
        </w:rPr>
        <w:t>et al.</w:t>
      </w:r>
      <w:r w:rsidRPr="00942BC6">
        <w:rPr>
          <w:rFonts w:ascii="Calibri" w:hAnsi="Calibri" w:cs="Calibri"/>
          <w:lang w:val="en-US"/>
        </w:rPr>
        <w:t xml:space="preserve"> 2021, Finger </w:t>
      </w:r>
      <w:r w:rsidRPr="00942BC6">
        <w:rPr>
          <w:rFonts w:ascii="Calibri" w:hAnsi="Calibri" w:cs="Calibri"/>
          <w:i/>
          <w:iCs/>
          <w:lang w:val="en-US"/>
        </w:rPr>
        <w:t>et al.</w:t>
      </w:r>
      <w:r w:rsidRPr="00942BC6">
        <w:rPr>
          <w:rFonts w:ascii="Calibri" w:hAnsi="Calibri" w:cs="Calibri"/>
          <w:lang w:val="en-US"/>
        </w:rPr>
        <w:t xml:space="preserve"> 2022)</w:t>
      </w:r>
      <w:r w:rsidRPr="00942BC6">
        <w:rPr>
          <w:lang w:val="en-US"/>
        </w:rPr>
        <w:fldChar w:fldCharType="end"/>
      </w:r>
      <w:r w:rsidRPr="00942BC6">
        <w:rPr>
          <w:lang w:val="en-US"/>
        </w:rPr>
        <w:t>. Last, regional factors such as pest pressure or tradition may explain utility differentials across varieties and time.</w:t>
      </w:r>
      <w:r w:rsidRPr="00942BC6">
        <w:rPr>
          <w:rStyle w:val="FootnoteReference"/>
        </w:rPr>
        <w:footnoteReference w:id="2"/>
      </w:r>
      <w:r w:rsidRPr="00942BC6">
        <w:rPr>
          <w:lang w:val="en-US"/>
        </w:rPr>
        <w:t xml:space="preserve"> </w:t>
      </w:r>
    </w:p>
    <w:p w14:paraId="65E35839" w14:textId="77777777" w:rsidR="00942BC6" w:rsidRPr="00942BC6" w:rsidRDefault="00942BC6" w:rsidP="00844680">
      <w:pPr>
        <w:spacing w:line="276" w:lineRule="auto"/>
        <w:rPr>
          <w:rFonts w:eastAsiaTheme="minorEastAsia"/>
          <w:lang w:val="en-US"/>
        </w:rPr>
      </w:pPr>
      <w:r w:rsidRPr="00942BC6">
        <w:rPr>
          <w:rFonts w:eastAsiaTheme="minorEastAsia"/>
          <w:iCs/>
          <w:lang w:val="en-US"/>
        </w:rPr>
        <w:t xml:space="preserve">Therefore, </w:t>
      </w:r>
      <m:oMath>
        <m:r>
          <w:rPr>
            <w:rFonts w:ascii="Cambria Math" w:hAnsi="Cambria Math"/>
            <w:lang w:val="en-US"/>
          </w:rPr>
          <m:t>∆</m:t>
        </m:r>
        <m:sSub>
          <m:sSubPr>
            <m:ctrlPr>
              <w:rPr>
                <w:rFonts w:ascii="Cambria Math" w:hAnsi="Cambria Math"/>
                <w:i/>
                <w:iCs/>
              </w:rPr>
            </m:ctrlPr>
          </m:sSubPr>
          <m:e>
            <m:r>
              <w:rPr>
                <w:rFonts w:ascii="Cambria Math" w:hAnsi="Cambria Math"/>
              </w:rPr>
              <m:t>A</m:t>
            </m:r>
          </m:e>
          <m:sub>
            <m:r>
              <w:rPr>
                <w:rFonts w:ascii="Cambria Math" w:hAnsi="Cambria Math"/>
              </w:rPr>
              <m:t>FRG</m:t>
            </m:r>
          </m:sub>
        </m:sSub>
        <m:r>
          <w:rPr>
            <w:rFonts w:ascii="Cambria Math" w:hAnsi="Cambria Math"/>
            <w:lang w:val="en-US"/>
          </w:rPr>
          <m:t>&gt;0</m:t>
        </m:r>
      </m:oMath>
      <w:r w:rsidRPr="00942BC6">
        <w:rPr>
          <w:rFonts w:eastAsiaTheme="minorEastAsia"/>
          <w:iCs/>
          <w:lang w:val="en-US"/>
        </w:rPr>
        <w:t xml:space="preserve"> in equation 1 means that the </w:t>
      </w:r>
      <w:r w:rsidRPr="00942BC6">
        <w:rPr>
          <w:lang w:val="en-US"/>
        </w:rPr>
        <w:t xml:space="preserve">grapevine grower draws higher expected and discounted utility </w:t>
      </w:r>
      <w:r w:rsidRPr="00942BC6">
        <w:rPr>
          <w:rFonts w:eastAsiaTheme="minorEastAsia"/>
          <w:lang w:val="en-US"/>
        </w:rPr>
        <w:t>compared to current utility</w:t>
      </w:r>
      <w:r w:rsidRPr="00942BC6">
        <w:rPr>
          <w:lang w:val="en-US"/>
        </w:rPr>
        <w:t xml:space="preserve"> from </w:t>
      </w:r>
      <m:oMath>
        <m:r>
          <w:rPr>
            <w:rFonts w:ascii="Cambria Math" w:hAnsi="Cambria Math"/>
            <w:lang w:val="en-US"/>
          </w:rPr>
          <m:t>FRG</m:t>
        </m:r>
      </m:oMath>
      <w:r w:rsidRPr="00942BC6">
        <w:rPr>
          <w:rFonts w:eastAsiaTheme="minorEastAsia"/>
          <w:lang w:val="en-US"/>
        </w:rPr>
        <w:t xml:space="preserve"> by increasing their land share in the next period. Since </w:t>
      </w:r>
      <w:r w:rsidRPr="00942BC6">
        <w:rPr>
          <w:lang w:val="en-US"/>
        </w:rPr>
        <w:t>fungus-resistant and traditional varieties are the sole planting alternatives,</w:t>
      </w:r>
      <w:r w:rsidRPr="00942BC6">
        <w:rPr>
          <w:rFonts w:eastAsiaTheme="minorEastAsia"/>
          <w:lang w:val="en-US"/>
        </w:rPr>
        <w:t xml:space="preserve"> if expected utility of </w:t>
      </w:r>
      <m:oMath>
        <m:r>
          <w:rPr>
            <w:rFonts w:ascii="Cambria Math" w:hAnsi="Cambria Math"/>
            <w:lang w:val="en-US"/>
          </w:rPr>
          <m:t>FRG</m:t>
        </m:r>
      </m:oMath>
      <w:r w:rsidRPr="00942BC6">
        <w:rPr>
          <w:rFonts w:eastAsiaTheme="minorEastAsia"/>
          <w:lang w:val="en-US"/>
        </w:rPr>
        <w:t xml:space="preserve"> is lower compared to the current utility level, the grapevine grower reduces their land share for fungus-resistant varieties (</w:t>
      </w:r>
      <m:oMath>
        <m:r>
          <w:rPr>
            <w:rFonts w:ascii="Cambria Math" w:hAnsi="Cambria Math"/>
            <w:lang w:val="en-US"/>
          </w:rPr>
          <m:t>∆</m:t>
        </m:r>
        <m:sSub>
          <m:sSubPr>
            <m:ctrlPr>
              <w:rPr>
                <w:rFonts w:ascii="Cambria Math" w:hAnsi="Cambria Math"/>
                <w:i/>
                <w:iCs/>
              </w:rPr>
            </m:ctrlPr>
          </m:sSubPr>
          <m:e>
            <m:r>
              <w:rPr>
                <w:rFonts w:ascii="Cambria Math" w:hAnsi="Cambria Math"/>
              </w:rPr>
              <m:t>A</m:t>
            </m:r>
          </m:e>
          <m:sub>
            <m:r>
              <w:rPr>
                <w:rFonts w:ascii="Cambria Math" w:hAnsi="Cambria Math"/>
              </w:rPr>
              <m:t>FRG</m:t>
            </m:r>
          </m:sub>
        </m:sSub>
        <m:r>
          <w:rPr>
            <w:rFonts w:ascii="Cambria Math" w:hAnsi="Cambria Math"/>
            <w:lang w:val="en-US"/>
          </w:rPr>
          <m:t>&lt;0</m:t>
        </m:r>
      </m:oMath>
      <w:r w:rsidRPr="00942BC6">
        <w:rPr>
          <w:rFonts w:eastAsiaTheme="minorEastAsia"/>
          <w:lang w:val="en-US"/>
        </w:rPr>
        <w:t>), and consequently increases the land share devoted to traditional varieties (</w:t>
      </w:r>
      <m:oMath>
        <m:r>
          <w:rPr>
            <w:rFonts w:ascii="Cambria Math" w:hAnsi="Cambria Math"/>
            <w:lang w:val="en-US"/>
          </w:rPr>
          <m:t>∆</m:t>
        </m:r>
        <m:sSub>
          <m:sSubPr>
            <m:ctrlPr>
              <w:rPr>
                <w:rFonts w:ascii="Cambria Math" w:hAnsi="Cambria Math"/>
                <w:i/>
                <w:iCs/>
              </w:rPr>
            </m:ctrlPr>
          </m:sSubPr>
          <m:e>
            <m:r>
              <w:rPr>
                <w:rFonts w:ascii="Cambria Math" w:hAnsi="Cambria Math"/>
              </w:rPr>
              <m:t>A</m:t>
            </m:r>
          </m:e>
          <m:sub>
            <m:r>
              <w:rPr>
                <w:rFonts w:ascii="Cambria Math" w:hAnsi="Cambria Math"/>
              </w:rPr>
              <m:t>TRAD</m:t>
            </m:r>
          </m:sub>
        </m:sSub>
        <m:r>
          <w:rPr>
            <w:rFonts w:ascii="Cambria Math" w:hAnsi="Cambria Math"/>
            <w:lang w:val="en-US"/>
          </w:rPr>
          <m:t>&gt;0</m:t>
        </m:r>
      </m:oMath>
      <w:r w:rsidRPr="00942BC6">
        <w:rPr>
          <w:rFonts w:eastAsiaTheme="minorEastAsia"/>
          <w:lang w:val="en-US"/>
        </w:rPr>
        <w:t>).</w:t>
      </w:r>
      <w:r w:rsidRPr="00942BC6">
        <w:rPr>
          <w:rStyle w:val="FootnoteReference"/>
        </w:rPr>
        <w:footnoteReference w:id="3"/>
      </w:r>
      <w:r w:rsidRPr="00942BC6">
        <w:rPr>
          <w:rFonts w:eastAsiaTheme="minorEastAsia"/>
          <w:lang w:val="en-US"/>
        </w:rPr>
        <w:t xml:space="preserve"> </w:t>
      </w:r>
    </w:p>
    <w:p w14:paraId="6FC44D4B" w14:textId="77777777" w:rsidR="00942BC6" w:rsidRPr="00942BC6" w:rsidRDefault="00942BC6" w:rsidP="00844680">
      <w:pPr>
        <w:rPr>
          <w:lang w:val="en-US"/>
        </w:rPr>
      </w:pPr>
    </w:p>
    <w:p w14:paraId="6F626673" w14:textId="035B0602" w:rsidR="00FA1B5B" w:rsidRPr="00CB0B93" w:rsidRDefault="00FA1B5B" w:rsidP="00FA1B5B">
      <w:pPr>
        <w:pStyle w:val="ListParagraph"/>
        <w:numPr>
          <w:ilvl w:val="0"/>
          <w:numId w:val="23"/>
        </w:numPr>
        <w:rPr>
          <w:b/>
          <w:bCs/>
          <w:lang w:val="en-US"/>
        </w:rPr>
      </w:pPr>
      <w:r>
        <w:rPr>
          <w:b/>
          <w:bCs/>
          <w:lang w:val="en-US"/>
        </w:rPr>
        <w:t>Derivation of expected effects</w:t>
      </w:r>
      <w:bookmarkEnd w:id="0"/>
    </w:p>
    <w:p w14:paraId="7778AA9B" w14:textId="6C434120" w:rsidR="0017662F" w:rsidRPr="0017662F" w:rsidRDefault="0017662F">
      <w:pPr>
        <w:rPr>
          <w:lang w:val="en-US"/>
        </w:rPr>
      </w:pPr>
      <w:r>
        <w:rPr>
          <w:lang w:val="en-US"/>
        </w:rPr>
        <w:t xml:space="preserve">Here we derive the expected effects, based on the </w:t>
      </w:r>
      <w:r w:rsidR="00F65E3B">
        <w:rPr>
          <w:lang w:val="en-US"/>
        </w:rPr>
        <w:t>limited</w:t>
      </w:r>
      <w:r>
        <w:rPr>
          <w:lang w:val="en-US"/>
        </w:rPr>
        <w:t xml:space="preserve"> knowledge available </w:t>
      </w:r>
      <w:r w:rsidR="00F65E3B">
        <w:rPr>
          <w:lang w:val="en-US"/>
        </w:rPr>
        <w:t xml:space="preserve">in the literature on adoption barriers and determinants of fungus-resistant varieties </w:t>
      </w:r>
      <w:r w:rsidR="00F65E3B">
        <w:rPr>
          <w:lang w:val="en-US"/>
        </w:rPr>
        <w:fldChar w:fldCharType="begin"/>
      </w:r>
      <w:r w:rsidR="00453ED3">
        <w:rPr>
          <w:lang w:val="en-US"/>
        </w:rPr>
        <w:instrText xml:space="preserve"> ADDIN ZOTERO_ITEM CSL_CITATION {"citationID":"sEkcv4MH","properties":{"formattedCitation":"(i.e. Finger {\\i{}et al.} 2022)","plainCitation":"(i.e. Finger et al. 2022)","noteIndex":0},"citationItems":[{"id":1506,"uris":["http://zotero.org/users/8375139/items/5VV3LQK7"],"uri":["http://zotero.org/users/8375139/items/5VV3LQK7"],"itemData":{"id":1506,"type":"article-journal","container-title":"Applied Economic Perspectives and Policy","DOI":"10.1002/aepp.13337","ISSN":"2040-5790, 2040-5804","journalAbbreviation":"Applied Eco Perspectives Pol","language":"en","page":"aepp.13337","source":"DOI.org (Crossref)","title":"Short supply chains and the adoption of fungus‐resistant grapevine varieties","author":[{"family":"Finger","given":"Robert"},{"family":"Zachmann","given":"Lucca"},{"family":"McCallum","given":"Chloe"}],"issued":{"date-parts":[["2022",12,23]]}},"label":"page","prefix":"i.e."}],"schema":"https://github.com/citation-style-language/schema/raw/master/csl-citation.json"} </w:instrText>
      </w:r>
      <w:r w:rsidR="00F65E3B">
        <w:rPr>
          <w:lang w:val="en-US"/>
        </w:rPr>
        <w:fldChar w:fldCharType="separate"/>
      </w:r>
      <w:r w:rsidR="003C4066" w:rsidRPr="003C4066">
        <w:rPr>
          <w:rFonts w:ascii="Calibri" w:hAnsi="Calibri" w:cs="Calibri"/>
          <w:szCs w:val="24"/>
          <w:lang w:val="en-US"/>
        </w:rPr>
        <w:t xml:space="preserve">(i.e. Finger </w:t>
      </w:r>
      <w:r w:rsidR="003C4066" w:rsidRPr="003C4066">
        <w:rPr>
          <w:rFonts w:ascii="Calibri" w:hAnsi="Calibri" w:cs="Calibri"/>
          <w:i/>
          <w:iCs/>
          <w:szCs w:val="24"/>
          <w:lang w:val="en-US"/>
        </w:rPr>
        <w:t>et al.</w:t>
      </w:r>
      <w:r w:rsidR="003C4066" w:rsidRPr="003C4066">
        <w:rPr>
          <w:rFonts w:ascii="Calibri" w:hAnsi="Calibri" w:cs="Calibri"/>
          <w:szCs w:val="24"/>
          <w:lang w:val="en-US"/>
        </w:rPr>
        <w:t xml:space="preserve"> 2022)</w:t>
      </w:r>
      <w:r w:rsidR="00F65E3B">
        <w:rPr>
          <w:lang w:val="en-US"/>
        </w:rPr>
        <w:fldChar w:fldCharType="end"/>
      </w:r>
      <w:r w:rsidR="00F65E3B">
        <w:rPr>
          <w:lang w:val="en-US"/>
        </w:rPr>
        <w:t xml:space="preserve"> and sustainable agricultural technology more general. Note that </w:t>
      </w:r>
      <w:r w:rsidR="00265551">
        <w:rPr>
          <w:lang w:val="en-US"/>
        </w:rPr>
        <w:t>our dependent variable is the expected change of the land devoted to fungus-resistant varieties, thus including two factors i) the current</w:t>
      </w:r>
      <w:r w:rsidR="00E61F11">
        <w:rPr>
          <w:lang w:val="en-US"/>
        </w:rPr>
        <w:t xml:space="preserve"> share </w:t>
      </w:r>
      <w:r w:rsidR="00265551">
        <w:rPr>
          <w:lang w:val="en-US"/>
        </w:rPr>
        <w:t>and ii) the future expected share of land</w:t>
      </w:r>
      <w:r w:rsidR="00E61F11">
        <w:rPr>
          <w:lang w:val="en-US"/>
        </w:rPr>
        <w:t xml:space="preserve"> under fungus-resistant varieties</w:t>
      </w:r>
      <w:r w:rsidR="00265551">
        <w:rPr>
          <w:lang w:val="en-US"/>
        </w:rPr>
        <w:t>.</w:t>
      </w:r>
      <w:r w:rsidR="00F65E3B">
        <w:rPr>
          <w:lang w:val="en-US"/>
        </w:rPr>
        <w:t xml:space="preserve"> </w:t>
      </w:r>
      <w:r w:rsidR="00E61F11">
        <w:rPr>
          <w:lang w:val="en-US"/>
        </w:rPr>
        <w:t xml:space="preserve">Since the current share under fungus-resistant varieties is low, in Switzerland and elsewhere, we develop our argumentation </w:t>
      </w:r>
      <w:r w:rsidR="00BC0980">
        <w:rPr>
          <w:lang w:val="en-US"/>
        </w:rPr>
        <w:t xml:space="preserve">from the view point that farms have not yet adopted these varieties unless stated </w:t>
      </w:r>
      <w:r w:rsidR="00204287">
        <w:rPr>
          <w:lang w:val="en-US"/>
        </w:rPr>
        <w:t xml:space="preserve">in the </w:t>
      </w:r>
      <w:r w:rsidR="0040760A">
        <w:rPr>
          <w:lang w:val="en-US"/>
        </w:rPr>
        <w:t xml:space="preserve">literature on adoption barriers and determinants of fungus-resistant varieties </w:t>
      </w:r>
      <w:r w:rsidR="0040760A">
        <w:rPr>
          <w:lang w:val="en-US"/>
        </w:rPr>
        <w:fldChar w:fldCharType="begin"/>
      </w:r>
      <w:r w:rsidR="00453ED3">
        <w:rPr>
          <w:lang w:val="en-US"/>
        </w:rPr>
        <w:instrText xml:space="preserve"> ADDIN ZOTERO_ITEM CSL_CITATION {"citationID":"gfYC8J4T","properties":{"formattedCitation":"(i.e. Finger {\\i{}et al.} 2022)","plainCitation":"(i.e. Finger et al. 2022)","noteIndex":0},"citationItems":[{"id":1506,"uris":["http://zotero.org/users/8375139/items/5VV3LQK7"],"uri":["http://zotero.org/users/8375139/items/5VV3LQK7"],"itemData":{"id":1506,"type":"article-journal","container-title":"Applied Economic Perspectives and Policy","DOI":"10.1002/aepp.13337","ISSN":"2040-5790, 2040-5804","journalAbbreviation":"Applied Eco Perspectives Pol","language":"en","page":"aepp.13337","source":"DOI.org (Crossref)","title":"Short supply chains and the adoption of fungus‐resistant grapevine varieties","author":[{"family":"Finger","given":"Robert"},{"family":"Zachmann","given":"Lucca"},{"family":"McCallum","given":"Chloe"}],"issued":{"date-parts":[["2022",12,23]]}},"label":"page","prefix":"i.e."}],"schema":"https://github.com/citation-style-language/schema/raw/master/csl-citation.json"} </w:instrText>
      </w:r>
      <w:r w:rsidR="0040760A">
        <w:rPr>
          <w:lang w:val="en-US"/>
        </w:rPr>
        <w:fldChar w:fldCharType="separate"/>
      </w:r>
      <w:r w:rsidR="003C4066" w:rsidRPr="003C4066">
        <w:rPr>
          <w:rFonts w:ascii="Calibri" w:hAnsi="Calibri" w:cs="Calibri"/>
          <w:szCs w:val="24"/>
          <w:lang w:val="en-US"/>
        </w:rPr>
        <w:t xml:space="preserve">(i.e. Finger </w:t>
      </w:r>
      <w:r w:rsidR="003C4066" w:rsidRPr="003C4066">
        <w:rPr>
          <w:rFonts w:ascii="Calibri" w:hAnsi="Calibri" w:cs="Calibri"/>
          <w:i/>
          <w:iCs/>
          <w:szCs w:val="24"/>
          <w:lang w:val="en-US"/>
        </w:rPr>
        <w:t>et al.</w:t>
      </w:r>
      <w:r w:rsidR="003C4066" w:rsidRPr="003C4066">
        <w:rPr>
          <w:rFonts w:ascii="Calibri" w:hAnsi="Calibri" w:cs="Calibri"/>
          <w:szCs w:val="24"/>
          <w:lang w:val="en-US"/>
        </w:rPr>
        <w:t xml:space="preserve"> 2022)</w:t>
      </w:r>
      <w:r w:rsidR="0040760A">
        <w:rPr>
          <w:lang w:val="en-US"/>
        </w:rPr>
        <w:fldChar w:fldCharType="end"/>
      </w:r>
      <w:r w:rsidR="0040760A">
        <w:rPr>
          <w:lang w:val="en-US"/>
        </w:rPr>
        <w:t xml:space="preserve">. </w:t>
      </w:r>
      <w:r w:rsidR="00BC0980">
        <w:rPr>
          <w:lang w:val="en-US"/>
        </w:rPr>
        <w:t>Thus, i</w:t>
      </w:r>
      <w:r w:rsidR="00A44ADA">
        <w:rPr>
          <w:lang w:val="en-US"/>
        </w:rPr>
        <w:t>n the table below, + refers to an expected increase, - to an expected decrease and 0 to no expected change</w:t>
      </w:r>
      <w:r w:rsidR="00F65E3B">
        <w:rPr>
          <w:lang w:val="en-US"/>
        </w:rPr>
        <w:t xml:space="preserve"> </w:t>
      </w:r>
      <w:r w:rsidR="00A44ADA">
        <w:rPr>
          <w:lang w:val="en-US"/>
        </w:rPr>
        <w:t>in the land share devoted to fungus-resistant varieties.</w:t>
      </w:r>
      <w:r>
        <w:rPr>
          <w:lang w:val="en-US"/>
        </w:rPr>
        <w:t xml:space="preserve"> </w:t>
      </w:r>
    </w:p>
    <w:p w14:paraId="7568840A" w14:textId="3E5A1C26" w:rsidR="00F65E3B" w:rsidRPr="00F65E3B" w:rsidRDefault="00F65E3B" w:rsidP="00F65E3B">
      <w:pPr>
        <w:pStyle w:val="Caption"/>
        <w:keepNext/>
        <w:rPr>
          <w:lang w:val="en-US"/>
        </w:rPr>
      </w:pPr>
      <w:r w:rsidRPr="00F65E3B">
        <w:rPr>
          <w:lang w:val="en-US"/>
        </w:rPr>
        <w:t xml:space="preserve">Table </w:t>
      </w:r>
      <w:r w:rsidR="0013020E">
        <w:rPr>
          <w:lang w:val="en-US"/>
        </w:rPr>
        <w:t>D</w:t>
      </w:r>
      <w:r w:rsidRPr="00F65E3B">
        <w:rPr>
          <w:lang w:val="en-US"/>
        </w:rPr>
        <w:t>1: Derivation of e</w:t>
      </w:r>
      <w:r>
        <w:rPr>
          <w:lang w:val="en-US"/>
        </w:rPr>
        <w:t>xpected effects</w:t>
      </w:r>
    </w:p>
    <w:tbl>
      <w:tblPr>
        <w:tblStyle w:val="TableGrid"/>
        <w:tblW w:w="9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559"/>
        <w:gridCol w:w="1985"/>
        <w:gridCol w:w="992"/>
        <w:gridCol w:w="2699"/>
        <w:gridCol w:w="1235"/>
      </w:tblGrid>
      <w:tr w:rsidR="0017662F" w:rsidRPr="00F43C73" w14:paraId="0FE95F3F" w14:textId="77777777" w:rsidTr="00CE75D4">
        <w:trPr>
          <w:trHeight w:val="301"/>
        </w:trPr>
        <w:tc>
          <w:tcPr>
            <w:tcW w:w="709" w:type="dxa"/>
            <w:tcBorders>
              <w:top w:val="single" w:sz="18" w:space="0" w:color="auto"/>
              <w:bottom w:val="single" w:sz="8" w:space="0" w:color="auto"/>
            </w:tcBorders>
          </w:tcPr>
          <w:p w14:paraId="6B35E6B4" w14:textId="77777777" w:rsidR="0017662F" w:rsidRPr="00812B6A" w:rsidRDefault="0017662F" w:rsidP="00B7706B">
            <w:pPr>
              <w:spacing w:before="40" w:after="40"/>
              <w:rPr>
                <w:b/>
                <w:bCs/>
                <w:sz w:val="20"/>
                <w:szCs w:val="20"/>
                <w:lang w:val="en-US"/>
              </w:rPr>
            </w:pPr>
          </w:p>
        </w:tc>
        <w:tc>
          <w:tcPr>
            <w:tcW w:w="1559" w:type="dxa"/>
            <w:tcBorders>
              <w:top w:val="single" w:sz="18" w:space="0" w:color="auto"/>
              <w:bottom w:val="single" w:sz="8" w:space="0" w:color="auto"/>
            </w:tcBorders>
            <w:vAlign w:val="center"/>
          </w:tcPr>
          <w:p w14:paraId="0DE084E6" w14:textId="77777777" w:rsidR="0017662F" w:rsidRPr="00812B6A" w:rsidRDefault="0017662F" w:rsidP="00B7706B">
            <w:pPr>
              <w:spacing w:before="40" w:after="40"/>
              <w:rPr>
                <w:b/>
                <w:bCs/>
                <w:sz w:val="20"/>
                <w:szCs w:val="20"/>
                <w:lang w:val="en-US"/>
              </w:rPr>
            </w:pPr>
            <w:r w:rsidRPr="00812B6A">
              <w:rPr>
                <w:b/>
                <w:bCs/>
                <w:sz w:val="20"/>
                <w:szCs w:val="20"/>
                <w:lang w:val="en-US"/>
              </w:rPr>
              <w:t>Variable name</w:t>
            </w:r>
          </w:p>
        </w:tc>
        <w:tc>
          <w:tcPr>
            <w:tcW w:w="1985" w:type="dxa"/>
            <w:tcBorders>
              <w:top w:val="single" w:sz="18" w:space="0" w:color="auto"/>
              <w:bottom w:val="single" w:sz="8" w:space="0" w:color="auto"/>
            </w:tcBorders>
            <w:vAlign w:val="center"/>
          </w:tcPr>
          <w:p w14:paraId="7957289E" w14:textId="77777777" w:rsidR="0017662F" w:rsidRPr="00812B6A" w:rsidRDefault="0017662F" w:rsidP="00B7706B">
            <w:pPr>
              <w:spacing w:before="40" w:after="40"/>
              <w:rPr>
                <w:b/>
                <w:bCs/>
                <w:sz w:val="20"/>
                <w:szCs w:val="20"/>
                <w:lang w:val="en-US"/>
              </w:rPr>
            </w:pPr>
            <w:r w:rsidRPr="00812B6A">
              <w:rPr>
                <w:b/>
                <w:bCs/>
                <w:sz w:val="20"/>
                <w:szCs w:val="20"/>
                <w:lang w:val="en-US"/>
              </w:rPr>
              <w:t xml:space="preserve">Description </w:t>
            </w:r>
          </w:p>
        </w:tc>
        <w:tc>
          <w:tcPr>
            <w:tcW w:w="992" w:type="dxa"/>
            <w:tcBorders>
              <w:top w:val="single" w:sz="18" w:space="0" w:color="auto"/>
              <w:bottom w:val="single" w:sz="8" w:space="0" w:color="auto"/>
            </w:tcBorders>
            <w:vAlign w:val="center"/>
          </w:tcPr>
          <w:p w14:paraId="1FBE3707" w14:textId="7C3F09BB" w:rsidR="0017662F" w:rsidRPr="00812B6A" w:rsidRDefault="00F65E3B" w:rsidP="00CE75D4">
            <w:pPr>
              <w:spacing w:before="40" w:after="40"/>
              <w:jc w:val="center"/>
              <w:rPr>
                <w:b/>
                <w:bCs/>
                <w:sz w:val="20"/>
                <w:szCs w:val="20"/>
                <w:lang w:val="en-US"/>
              </w:rPr>
            </w:pPr>
            <w:r w:rsidRPr="00812B6A">
              <w:rPr>
                <w:b/>
                <w:bCs/>
                <w:sz w:val="20"/>
                <w:szCs w:val="20"/>
                <w:lang w:val="en-US"/>
              </w:rPr>
              <w:t>Expected</w:t>
            </w:r>
            <w:r w:rsidRPr="00812B6A">
              <w:rPr>
                <w:b/>
                <w:bCs/>
                <w:sz w:val="20"/>
                <w:szCs w:val="20"/>
                <w:lang w:val="en-US"/>
              </w:rPr>
              <w:br/>
              <w:t>effect</w:t>
            </w:r>
          </w:p>
        </w:tc>
        <w:tc>
          <w:tcPr>
            <w:tcW w:w="2699" w:type="dxa"/>
            <w:tcBorders>
              <w:top w:val="single" w:sz="18" w:space="0" w:color="auto"/>
              <w:bottom w:val="single" w:sz="8" w:space="0" w:color="auto"/>
            </w:tcBorders>
            <w:vAlign w:val="center"/>
          </w:tcPr>
          <w:p w14:paraId="5F51C44F" w14:textId="68BC65E1" w:rsidR="0017662F" w:rsidRPr="00812B6A" w:rsidRDefault="00CE75D4" w:rsidP="00B7706B">
            <w:pPr>
              <w:spacing w:before="40" w:after="40"/>
              <w:rPr>
                <w:b/>
                <w:bCs/>
                <w:sz w:val="20"/>
                <w:szCs w:val="20"/>
                <w:lang w:val="en-US"/>
              </w:rPr>
            </w:pPr>
            <w:r w:rsidRPr="00812B6A">
              <w:rPr>
                <w:b/>
                <w:bCs/>
                <w:sz w:val="20"/>
                <w:szCs w:val="20"/>
                <w:lang w:val="en-US"/>
              </w:rPr>
              <w:t>Hypotheses</w:t>
            </w:r>
          </w:p>
        </w:tc>
        <w:tc>
          <w:tcPr>
            <w:tcW w:w="1235" w:type="dxa"/>
            <w:tcBorders>
              <w:top w:val="single" w:sz="18" w:space="0" w:color="auto"/>
              <w:bottom w:val="single" w:sz="8" w:space="0" w:color="auto"/>
            </w:tcBorders>
            <w:vAlign w:val="center"/>
          </w:tcPr>
          <w:p w14:paraId="5EE4F073" w14:textId="77777777" w:rsidR="0017662F" w:rsidRPr="00812B6A" w:rsidRDefault="0017662F" w:rsidP="00B7706B">
            <w:pPr>
              <w:spacing w:before="40" w:after="40"/>
              <w:rPr>
                <w:b/>
                <w:bCs/>
                <w:sz w:val="20"/>
                <w:szCs w:val="20"/>
                <w:lang w:val="en-US"/>
              </w:rPr>
            </w:pPr>
            <w:r w:rsidRPr="00812B6A">
              <w:rPr>
                <w:b/>
                <w:bCs/>
                <w:sz w:val="20"/>
                <w:szCs w:val="20"/>
                <w:lang w:val="en-US"/>
              </w:rPr>
              <w:t>Sources</w:t>
            </w:r>
          </w:p>
        </w:tc>
      </w:tr>
      <w:tr w:rsidR="0017662F" w:rsidRPr="00F43C73" w14:paraId="087FA912" w14:textId="77777777" w:rsidTr="00CE75D4">
        <w:trPr>
          <w:trHeight w:val="273"/>
        </w:trPr>
        <w:tc>
          <w:tcPr>
            <w:tcW w:w="709" w:type="dxa"/>
            <w:vMerge w:val="restart"/>
            <w:tcBorders>
              <w:top w:val="single" w:sz="8" w:space="0" w:color="auto"/>
            </w:tcBorders>
            <w:textDirection w:val="btLr"/>
            <w:vAlign w:val="center"/>
          </w:tcPr>
          <w:p w14:paraId="06F7A3D8" w14:textId="77777777" w:rsidR="0017662F" w:rsidRPr="00812B6A" w:rsidRDefault="0017662F" w:rsidP="00F65E3B">
            <w:pPr>
              <w:spacing w:before="40" w:after="40"/>
              <w:ind w:left="113" w:right="113"/>
              <w:jc w:val="center"/>
              <w:rPr>
                <w:b/>
                <w:bCs/>
                <w:sz w:val="20"/>
                <w:szCs w:val="20"/>
                <w:lang w:val="en-US"/>
              </w:rPr>
            </w:pPr>
            <w:r w:rsidRPr="00812B6A">
              <w:rPr>
                <w:b/>
                <w:bCs/>
                <w:sz w:val="20"/>
                <w:szCs w:val="20"/>
                <w:lang w:val="en-US"/>
              </w:rPr>
              <w:t>Farmer- and farm characteristics</w:t>
            </w:r>
          </w:p>
        </w:tc>
        <w:tc>
          <w:tcPr>
            <w:tcW w:w="1559" w:type="dxa"/>
            <w:tcBorders>
              <w:top w:val="single" w:sz="8" w:space="0" w:color="auto"/>
            </w:tcBorders>
          </w:tcPr>
          <w:p w14:paraId="65555289" w14:textId="77777777" w:rsidR="0017662F" w:rsidRPr="00812B6A" w:rsidRDefault="0017662F" w:rsidP="00B7706B">
            <w:pPr>
              <w:spacing w:before="40" w:after="40"/>
              <w:rPr>
                <w:sz w:val="20"/>
                <w:szCs w:val="20"/>
                <w:lang w:val="en-US"/>
              </w:rPr>
            </w:pPr>
            <w:r w:rsidRPr="00812B6A">
              <w:rPr>
                <w:sz w:val="20"/>
                <w:szCs w:val="20"/>
                <w:lang w:val="en-US"/>
              </w:rPr>
              <w:t>Labour</w:t>
            </w:r>
          </w:p>
        </w:tc>
        <w:tc>
          <w:tcPr>
            <w:tcW w:w="1985" w:type="dxa"/>
            <w:tcBorders>
              <w:top w:val="single" w:sz="8" w:space="0" w:color="auto"/>
            </w:tcBorders>
          </w:tcPr>
          <w:p w14:paraId="154C2D09" w14:textId="77777777" w:rsidR="0017662F" w:rsidRPr="00812B6A" w:rsidRDefault="0017662F" w:rsidP="00B7706B">
            <w:pPr>
              <w:spacing w:before="40" w:after="40"/>
              <w:rPr>
                <w:sz w:val="20"/>
                <w:szCs w:val="20"/>
                <w:lang w:val="en-US"/>
              </w:rPr>
            </w:pPr>
            <w:r w:rsidRPr="00812B6A">
              <w:rPr>
                <w:sz w:val="20"/>
                <w:szCs w:val="20"/>
                <w:lang w:val="en-US"/>
              </w:rPr>
              <w:t xml:space="preserve">Standardized labour requirements for vineyard </w:t>
            </w:r>
          </w:p>
        </w:tc>
        <w:tc>
          <w:tcPr>
            <w:tcW w:w="992" w:type="dxa"/>
            <w:tcBorders>
              <w:top w:val="single" w:sz="8" w:space="0" w:color="auto"/>
            </w:tcBorders>
          </w:tcPr>
          <w:p w14:paraId="26686EE3" w14:textId="13104B4C" w:rsidR="0017662F" w:rsidRPr="00812B6A" w:rsidRDefault="00CE6334" w:rsidP="00CE75D4">
            <w:pPr>
              <w:spacing w:before="40" w:after="40"/>
              <w:jc w:val="center"/>
              <w:rPr>
                <w:sz w:val="20"/>
                <w:szCs w:val="20"/>
                <w:lang w:val="en-US"/>
              </w:rPr>
            </w:pPr>
            <w:r w:rsidRPr="00812B6A">
              <w:rPr>
                <w:sz w:val="20"/>
                <w:szCs w:val="20"/>
                <w:lang w:val="en-US"/>
              </w:rPr>
              <w:t>+</w:t>
            </w:r>
          </w:p>
        </w:tc>
        <w:tc>
          <w:tcPr>
            <w:tcW w:w="2699" w:type="dxa"/>
            <w:tcBorders>
              <w:top w:val="single" w:sz="8" w:space="0" w:color="auto"/>
            </w:tcBorders>
          </w:tcPr>
          <w:p w14:paraId="0F72D249" w14:textId="2FF8E5CD" w:rsidR="0017662F" w:rsidRPr="00812B6A" w:rsidRDefault="00CE6334" w:rsidP="00B7706B">
            <w:pPr>
              <w:spacing w:before="40" w:after="40"/>
              <w:rPr>
                <w:sz w:val="20"/>
                <w:szCs w:val="20"/>
                <w:lang w:val="en-US"/>
              </w:rPr>
            </w:pPr>
            <w:r w:rsidRPr="00812B6A">
              <w:rPr>
                <w:sz w:val="20"/>
                <w:szCs w:val="20"/>
                <w:lang w:val="en-US"/>
              </w:rPr>
              <w:t xml:space="preserve">We expect labour-intensively managed farms to increase their land share under fungus-resistant varieties because </w:t>
            </w:r>
            <w:r w:rsidR="000529FC" w:rsidRPr="00812B6A">
              <w:rPr>
                <w:sz w:val="20"/>
                <w:szCs w:val="20"/>
                <w:lang w:val="en-US"/>
              </w:rPr>
              <w:t xml:space="preserve">the amount of </w:t>
            </w:r>
            <w:r w:rsidRPr="00812B6A">
              <w:rPr>
                <w:sz w:val="20"/>
                <w:szCs w:val="20"/>
                <w:lang w:val="en-US"/>
              </w:rPr>
              <w:t>labour can be reduced with fungus-resistant varieties.</w:t>
            </w:r>
          </w:p>
        </w:tc>
        <w:tc>
          <w:tcPr>
            <w:tcW w:w="1235" w:type="dxa"/>
            <w:tcBorders>
              <w:top w:val="single" w:sz="8" w:space="0" w:color="auto"/>
            </w:tcBorders>
          </w:tcPr>
          <w:p w14:paraId="42F9E980" w14:textId="658F07ED" w:rsidR="0017662F" w:rsidRPr="00812B6A" w:rsidRDefault="0017662F" w:rsidP="00B7706B">
            <w:pPr>
              <w:spacing w:before="40" w:after="40"/>
              <w:rPr>
                <w:sz w:val="20"/>
                <w:szCs w:val="20"/>
                <w:lang w:val="en-US"/>
              </w:rPr>
            </w:pPr>
            <w:r w:rsidRPr="00812B6A">
              <w:rPr>
                <w:sz w:val="20"/>
                <w:szCs w:val="20"/>
                <w:lang w:val="en-US"/>
              </w:rPr>
              <w:t xml:space="preserve">Fernandez-Cornejo </w:t>
            </w:r>
            <w:r w:rsidRPr="00812B6A">
              <w:rPr>
                <w:sz w:val="20"/>
                <w:szCs w:val="20"/>
                <w:lang w:val="en-US"/>
              </w:rPr>
              <w:fldChar w:fldCharType="begin"/>
            </w:r>
            <w:r w:rsidR="00453ED3">
              <w:rPr>
                <w:sz w:val="20"/>
                <w:szCs w:val="20"/>
                <w:lang w:val="en-US"/>
              </w:rPr>
              <w:instrText xml:space="preserve"> ADDIN ZOTERO_ITEM CSL_CITATION {"citationID":"S0IdH7fD","properties":{"formattedCitation":"(1998)","plainCitation":"(1998)","noteIndex":0},"citationItems":[{"id":1492,"uris":["http://zotero.org/users/8375139/items/F6RLMZ86"],"uri":["http://zotero.org/users/8375139/items/F6RLMZ86"],"itemData":{"id":1492,"type":"article-journal","container-title":"Agricultural Economics","DOI":"10.1111/j.1574-0862.1998.tb00494.x","ISSN":"0169-5150, 1574-0862","issue":"2","journalAbbreviation":"Agricultural Economics","language":"en","page":"145-155","source":"DOI.org (Crossref)","title":"Environinental and economic consequences of technology adoption: IPM in viticulture","title-short":"Environinental and economic consequences of technology adoption","volume":"18","author":[{"family":"Fernandez‐Cornejo","given":"Jorge"}],"issued":{"date-parts":[["1998",3]]}},"label":"page","suppress-author":true}],"schema":"https://github.com/citation-style-language/schema/raw/master/csl-citation.json"}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rPr>
              <w:t>(1998)</w:t>
            </w:r>
            <w:r w:rsidRPr="00812B6A">
              <w:rPr>
                <w:sz w:val="20"/>
                <w:szCs w:val="20"/>
                <w:lang w:val="en-US"/>
              </w:rPr>
              <w:fldChar w:fldCharType="end"/>
            </w:r>
          </w:p>
        </w:tc>
      </w:tr>
      <w:tr w:rsidR="0017662F" w:rsidRPr="00F43C73" w14:paraId="33797194" w14:textId="77777777" w:rsidTr="00CE75D4">
        <w:trPr>
          <w:trHeight w:val="283"/>
        </w:trPr>
        <w:tc>
          <w:tcPr>
            <w:tcW w:w="709" w:type="dxa"/>
            <w:vMerge/>
            <w:vAlign w:val="center"/>
          </w:tcPr>
          <w:p w14:paraId="2485DBA7" w14:textId="77777777" w:rsidR="0017662F" w:rsidRPr="00812B6A" w:rsidRDefault="0017662F" w:rsidP="00B7706B">
            <w:pPr>
              <w:spacing w:before="40" w:after="40"/>
              <w:rPr>
                <w:b/>
                <w:bCs/>
                <w:sz w:val="20"/>
                <w:szCs w:val="20"/>
                <w:lang w:val="en-US"/>
              </w:rPr>
            </w:pPr>
          </w:p>
        </w:tc>
        <w:tc>
          <w:tcPr>
            <w:tcW w:w="1559" w:type="dxa"/>
          </w:tcPr>
          <w:p w14:paraId="3E484D6A" w14:textId="77777777" w:rsidR="0017662F" w:rsidRPr="00812B6A" w:rsidRDefault="0017662F" w:rsidP="00B7706B">
            <w:pPr>
              <w:spacing w:before="40" w:after="40"/>
              <w:rPr>
                <w:sz w:val="20"/>
                <w:szCs w:val="20"/>
                <w:lang w:val="en-US"/>
              </w:rPr>
            </w:pPr>
            <w:r w:rsidRPr="00812B6A">
              <w:rPr>
                <w:sz w:val="20"/>
                <w:szCs w:val="20"/>
                <w:lang w:val="en-US"/>
              </w:rPr>
              <w:t xml:space="preserve">Age </w:t>
            </w:r>
          </w:p>
        </w:tc>
        <w:tc>
          <w:tcPr>
            <w:tcW w:w="1985" w:type="dxa"/>
          </w:tcPr>
          <w:p w14:paraId="76CEBABD" w14:textId="77777777" w:rsidR="0017662F" w:rsidRPr="00812B6A" w:rsidRDefault="0017662F" w:rsidP="00B7706B">
            <w:pPr>
              <w:spacing w:before="40" w:after="40"/>
              <w:rPr>
                <w:sz w:val="20"/>
                <w:szCs w:val="20"/>
                <w:lang w:val="en-US"/>
              </w:rPr>
            </w:pPr>
            <w:r w:rsidRPr="00812B6A">
              <w:rPr>
                <w:sz w:val="20"/>
                <w:szCs w:val="20"/>
                <w:lang w:val="en-US"/>
              </w:rPr>
              <w:t>Age (in years)</w:t>
            </w:r>
          </w:p>
        </w:tc>
        <w:tc>
          <w:tcPr>
            <w:tcW w:w="992" w:type="dxa"/>
          </w:tcPr>
          <w:p w14:paraId="73DEDFB1" w14:textId="64FDD9DB" w:rsidR="0017662F" w:rsidRPr="00812B6A" w:rsidRDefault="00250F40" w:rsidP="00CE75D4">
            <w:pPr>
              <w:spacing w:before="40" w:after="40"/>
              <w:jc w:val="center"/>
              <w:rPr>
                <w:sz w:val="20"/>
                <w:szCs w:val="20"/>
                <w:lang w:val="en-US"/>
              </w:rPr>
            </w:pPr>
            <w:r w:rsidRPr="00812B6A">
              <w:rPr>
                <w:sz w:val="20"/>
                <w:szCs w:val="20"/>
                <w:lang w:val="en-US"/>
              </w:rPr>
              <w:t>+/0/-</w:t>
            </w:r>
          </w:p>
        </w:tc>
        <w:tc>
          <w:tcPr>
            <w:tcW w:w="2699" w:type="dxa"/>
          </w:tcPr>
          <w:p w14:paraId="48386D08" w14:textId="6F3CA81C" w:rsidR="0017662F" w:rsidRPr="00812B6A" w:rsidRDefault="007365FB" w:rsidP="00B7706B">
            <w:pPr>
              <w:spacing w:before="40" w:after="40"/>
              <w:rPr>
                <w:sz w:val="20"/>
                <w:szCs w:val="20"/>
                <w:lang w:val="en-US"/>
              </w:rPr>
            </w:pPr>
            <w:r w:rsidRPr="00812B6A">
              <w:rPr>
                <w:sz w:val="20"/>
                <w:szCs w:val="20"/>
                <w:lang w:val="en-US"/>
              </w:rPr>
              <w:t>Younger grapevine growers devote currently more land to fungus-resistant varieties</w:t>
            </w:r>
            <w:r w:rsidR="00250F40" w:rsidRPr="00812B6A">
              <w:rPr>
                <w:sz w:val="20"/>
                <w:szCs w:val="20"/>
                <w:lang w:val="en-US"/>
              </w:rPr>
              <w:t xml:space="preserve">, older grapevine growers are </w:t>
            </w:r>
            <w:r w:rsidR="00250F40" w:rsidRPr="00812B6A">
              <w:rPr>
                <w:sz w:val="20"/>
                <w:szCs w:val="20"/>
                <w:lang w:val="en-US"/>
              </w:rPr>
              <w:lastRenderedPageBreak/>
              <w:t>less likely to replant and are more familiar with traditional varieties</w:t>
            </w:r>
            <w:r w:rsidR="00E971FA" w:rsidRPr="00812B6A">
              <w:rPr>
                <w:sz w:val="20"/>
                <w:szCs w:val="20"/>
                <w:lang w:val="en-US"/>
              </w:rPr>
              <w:t xml:space="preserve">, resulting in an unclear </w:t>
            </w:r>
            <w:r w:rsidR="00250F40" w:rsidRPr="00812B6A">
              <w:rPr>
                <w:sz w:val="20"/>
                <w:szCs w:val="20"/>
                <w:lang w:val="en-US"/>
              </w:rPr>
              <w:t xml:space="preserve">expected effect. </w:t>
            </w:r>
            <w:r w:rsidR="006125FC" w:rsidRPr="00812B6A">
              <w:rPr>
                <w:sz w:val="20"/>
                <w:szCs w:val="20"/>
                <w:lang w:val="en-US"/>
              </w:rPr>
              <w:t xml:space="preserve">   </w:t>
            </w:r>
          </w:p>
        </w:tc>
        <w:tc>
          <w:tcPr>
            <w:tcW w:w="1235" w:type="dxa"/>
          </w:tcPr>
          <w:p w14:paraId="37BB9CC1" w14:textId="446D6D9A" w:rsidR="0017662F" w:rsidRPr="00812B6A" w:rsidRDefault="0017662F" w:rsidP="00B7706B">
            <w:pPr>
              <w:spacing w:before="40" w:after="40"/>
              <w:rPr>
                <w:sz w:val="20"/>
                <w:szCs w:val="20"/>
                <w:lang w:val="en-US"/>
              </w:rPr>
            </w:pPr>
            <w:r w:rsidRPr="00812B6A">
              <w:rPr>
                <w:sz w:val="20"/>
                <w:szCs w:val="20"/>
                <w:lang w:val="en-US"/>
              </w:rPr>
              <w:lastRenderedPageBreak/>
              <w:t xml:space="preserve">Polson and Spencer </w:t>
            </w:r>
            <w:r w:rsidRPr="00812B6A">
              <w:rPr>
                <w:sz w:val="20"/>
                <w:szCs w:val="20"/>
                <w:lang w:val="en-US"/>
              </w:rPr>
              <w:fldChar w:fldCharType="begin"/>
            </w:r>
            <w:r w:rsidR="00453ED3">
              <w:rPr>
                <w:sz w:val="20"/>
                <w:szCs w:val="20"/>
                <w:lang w:val="en-US"/>
              </w:rPr>
              <w:instrText xml:space="preserve"> ADDIN ZOTERO_ITEM CSL_CITATION {"citationID":"aXQROfuP","properties":{"formattedCitation":"(1991)","plainCitation":"(1991)","noteIndex":0},"citationItems":[{"id":1478,"uris":["http://zotero.org/users/8375139/items/J969VU6W"],"uri":["http://zotero.org/users/8375139/items/J969VU6W"],"itemData":{"id":1478,"type":"article-journal","container-title":"Agricultural Systems","DOI":"10.1016/0308-521X(91)90108-M","ISSN":"0308521X","issue":"1","journalAbbreviation":"Agricultural Systems","language":"en","page":"65-78","source":"DOI.org (Crossref)","title":"The technology adoption process in subsistence agriculture: The case of cassava in Southwestern Nigeria","title-short":"The technology adoption process in subsistence agriculture","volume":"36","author":[{"family":"Polson","given":"Rudulph A."},{"family":"Spencer","given":"Dunstan S.C."}],"issued":{"date-parts":[["1991",1]]}},"label":"page","suppress-author":true}],"schema":"https://github.com/citation-style-language/schema/raw/master/csl-citation.json"}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rPr>
              <w:t>(1991)</w:t>
            </w:r>
            <w:r w:rsidRPr="00812B6A">
              <w:rPr>
                <w:sz w:val="20"/>
                <w:szCs w:val="20"/>
                <w:lang w:val="en-US"/>
              </w:rPr>
              <w:fldChar w:fldCharType="end"/>
            </w:r>
          </w:p>
        </w:tc>
      </w:tr>
      <w:tr w:rsidR="006125FC" w:rsidRPr="00F43C73" w14:paraId="23C551AE" w14:textId="77777777" w:rsidTr="00CE75D4">
        <w:trPr>
          <w:trHeight w:val="273"/>
        </w:trPr>
        <w:tc>
          <w:tcPr>
            <w:tcW w:w="709" w:type="dxa"/>
            <w:vMerge/>
            <w:vAlign w:val="center"/>
          </w:tcPr>
          <w:p w14:paraId="55070FF5" w14:textId="77777777" w:rsidR="006125FC" w:rsidRPr="00812B6A" w:rsidRDefault="006125FC" w:rsidP="006125FC">
            <w:pPr>
              <w:spacing w:before="40" w:after="40"/>
              <w:rPr>
                <w:b/>
                <w:bCs/>
                <w:sz w:val="20"/>
                <w:szCs w:val="20"/>
                <w:lang w:val="en-US"/>
              </w:rPr>
            </w:pPr>
          </w:p>
        </w:tc>
        <w:tc>
          <w:tcPr>
            <w:tcW w:w="1559" w:type="dxa"/>
          </w:tcPr>
          <w:p w14:paraId="0AFC1801" w14:textId="089A5368" w:rsidR="006125FC" w:rsidRPr="00812B6A" w:rsidRDefault="006125FC" w:rsidP="006125FC">
            <w:pPr>
              <w:spacing w:before="40" w:after="40"/>
              <w:rPr>
                <w:sz w:val="20"/>
                <w:szCs w:val="20"/>
                <w:lang w:val="en-US"/>
              </w:rPr>
            </w:pPr>
            <w:r w:rsidRPr="00812B6A">
              <w:rPr>
                <w:sz w:val="20"/>
                <w:szCs w:val="20"/>
                <w:lang w:val="en-US"/>
              </w:rPr>
              <w:t>Female</w:t>
            </w:r>
          </w:p>
        </w:tc>
        <w:tc>
          <w:tcPr>
            <w:tcW w:w="1985" w:type="dxa"/>
          </w:tcPr>
          <w:p w14:paraId="0431845B" w14:textId="77777777" w:rsidR="006125FC" w:rsidRPr="00812B6A" w:rsidRDefault="006125FC" w:rsidP="006125FC">
            <w:pPr>
              <w:spacing w:before="40" w:after="40"/>
              <w:rPr>
                <w:sz w:val="20"/>
                <w:szCs w:val="20"/>
                <w:lang w:val="en-US"/>
              </w:rPr>
            </w:pPr>
            <w:r w:rsidRPr="00812B6A">
              <w:rPr>
                <w:sz w:val="20"/>
                <w:szCs w:val="20"/>
                <w:lang w:val="en-US"/>
              </w:rPr>
              <w:t>Gender</w:t>
            </w:r>
          </w:p>
        </w:tc>
        <w:tc>
          <w:tcPr>
            <w:tcW w:w="992" w:type="dxa"/>
          </w:tcPr>
          <w:p w14:paraId="7AAF4E0D" w14:textId="0D580129" w:rsidR="006125FC" w:rsidRPr="00812B6A" w:rsidRDefault="006125FC" w:rsidP="00CE75D4">
            <w:pPr>
              <w:spacing w:before="40" w:after="40"/>
              <w:jc w:val="center"/>
              <w:rPr>
                <w:sz w:val="20"/>
                <w:szCs w:val="20"/>
                <w:lang w:val="en-US"/>
              </w:rPr>
            </w:pPr>
            <w:r w:rsidRPr="00812B6A">
              <w:rPr>
                <w:sz w:val="20"/>
                <w:szCs w:val="20"/>
                <w:lang w:val="en-US"/>
              </w:rPr>
              <w:t>+/0/-</w:t>
            </w:r>
          </w:p>
        </w:tc>
        <w:tc>
          <w:tcPr>
            <w:tcW w:w="2699" w:type="dxa"/>
          </w:tcPr>
          <w:p w14:paraId="3252555D" w14:textId="47CF5041" w:rsidR="006125FC" w:rsidRPr="00812B6A" w:rsidRDefault="006125FC" w:rsidP="006125FC">
            <w:pPr>
              <w:spacing w:before="40" w:after="40"/>
              <w:rPr>
                <w:sz w:val="20"/>
                <w:szCs w:val="20"/>
                <w:lang w:val="en-US"/>
              </w:rPr>
            </w:pPr>
            <w:r w:rsidRPr="00812B6A">
              <w:rPr>
                <w:sz w:val="20"/>
                <w:szCs w:val="20"/>
                <w:lang w:val="en-US"/>
              </w:rPr>
              <w:t>It is unclear how gender wi</w:t>
            </w:r>
            <w:r w:rsidR="00B31898" w:rsidRPr="00812B6A">
              <w:rPr>
                <w:sz w:val="20"/>
                <w:szCs w:val="20"/>
                <w:lang w:val="en-US"/>
              </w:rPr>
              <w:t>ll affect the future development of fungus-resistant varieties</w:t>
            </w:r>
            <w:r w:rsidR="00EF5A6A" w:rsidRPr="00812B6A">
              <w:rPr>
                <w:sz w:val="20"/>
                <w:szCs w:val="20"/>
                <w:lang w:val="en-US"/>
              </w:rPr>
              <w:t>.</w:t>
            </w:r>
          </w:p>
        </w:tc>
        <w:tc>
          <w:tcPr>
            <w:tcW w:w="1235" w:type="dxa"/>
          </w:tcPr>
          <w:p w14:paraId="1BA1A861" w14:textId="09C0201A" w:rsidR="006125FC" w:rsidRPr="00812B6A" w:rsidRDefault="006125FC" w:rsidP="006125FC">
            <w:pPr>
              <w:spacing w:before="40" w:after="40"/>
              <w:rPr>
                <w:sz w:val="20"/>
                <w:szCs w:val="20"/>
                <w:lang w:val="en-US"/>
              </w:rPr>
            </w:pPr>
            <w:r w:rsidRPr="00812B6A">
              <w:rPr>
                <w:sz w:val="20"/>
                <w:szCs w:val="20"/>
                <w:lang w:val="en-US"/>
              </w:rPr>
              <w:t xml:space="preserve">Rola‐Rubzen et al. </w:t>
            </w:r>
            <w:r w:rsidRPr="00812B6A">
              <w:rPr>
                <w:sz w:val="20"/>
                <w:szCs w:val="20"/>
                <w:lang w:val="en-US"/>
              </w:rPr>
              <w:fldChar w:fldCharType="begin"/>
            </w:r>
            <w:r w:rsidR="00453ED3">
              <w:rPr>
                <w:sz w:val="20"/>
                <w:szCs w:val="20"/>
                <w:lang w:val="en-US"/>
              </w:rPr>
              <w:instrText xml:space="preserve"> ADDIN ZOTERO_ITEM CSL_CITATION {"citationID":"E78GvrxR","properties":{"formattedCitation":"(2020)","plainCitation":"(2020)","noteIndex":0},"citationItems":[{"id":1480,"uris":["http://zotero.org/users/8375139/items/X4S64JK5"],"uri":["http://zotero.org/users/8375139/items/X4S64JK5"],"itemData":{"id":1480,"type":"article-journal","container-title":"Applied Economic Perspectives and Policy","DOI":"10.1002/aepp.13011","ISSN":"2040-5790, 2040-5804","issue":"1","journalAbbreviation":"Applied Economic Perspectives and Policy","language":"en","page":"113-125","source":"DOI.org (Crossref)","title":"Improving Gender Participation in Agricultural Technology Adoption in Asia: From Rhetoric to Practical Action","title-short":"Improving Gender Participation in Agricultural Technology Adoption in Asia","volume":"42","author":[{"family":"Rola‐Rubzen","given":"Maria Fay"},{"family":"Paris","given":"Thelma"},{"family":"Hawkins","given":"Jacob"},{"family":"Sapkota","given":"Bibek"}],"issued":{"date-parts":[["2020",3]]}},"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rPr>
              <w:t>(2020)</w:t>
            </w:r>
            <w:r w:rsidRPr="00812B6A">
              <w:rPr>
                <w:sz w:val="20"/>
                <w:szCs w:val="20"/>
                <w:lang w:val="en-US"/>
              </w:rPr>
              <w:fldChar w:fldCharType="end"/>
            </w:r>
          </w:p>
        </w:tc>
      </w:tr>
      <w:tr w:rsidR="006125FC" w:rsidRPr="0052218D" w14:paraId="10B77565" w14:textId="77777777" w:rsidTr="00CE75D4">
        <w:trPr>
          <w:trHeight w:val="283"/>
        </w:trPr>
        <w:tc>
          <w:tcPr>
            <w:tcW w:w="709" w:type="dxa"/>
            <w:vMerge/>
            <w:vAlign w:val="center"/>
          </w:tcPr>
          <w:p w14:paraId="63DB3BC7" w14:textId="77777777" w:rsidR="006125FC" w:rsidRPr="00812B6A" w:rsidRDefault="006125FC" w:rsidP="006125FC">
            <w:pPr>
              <w:spacing w:before="40" w:after="40"/>
              <w:rPr>
                <w:b/>
                <w:bCs/>
                <w:sz w:val="20"/>
                <w:szCs w:val="20"/>
                <w:lang w:val="en-US"/>
              </w:rPr>
            </w:pPr>
          </w:p>
        </w:tc>
        <w:tc>
          <w:tcPr>
            <w:tcW w:w="1559" w:type="dxa"/>
            <w:tcBorders>
              <w:bottom w:val="single" w:sz="4" w:space="0" w:color="BFBFBF" w:themeColor="background1" w:themeShade="BF"/>
            </w:tcBorders>
          </w:tcPr>
          <w:p w14:paraId="6C912AA4" w14:textId="77777777" w:rsidR="006125FC" w:rsidRPr="00812B6A" w:rsidRDefault="006125FC" w:rsidP="006125FC">
            <w:pPr>
              <w:spacing w:before="40" w:after="40"/>
              <w:rPr>
                <w:sz w:val="20"/>
                <w:szCs w:val="20"/>
                <w:lang w:val="en-US"/>
              </w:rPr>
            </w:pPr>
            <w:r w:rsidRPr="00812B6A">
              <w:rPr>
                <w:sz w:val="20"/>
                <w:szCs w:val="20"/>
                <w:lang w:val="en-US"/>
              </w:rPr>
              <w:t>Farm size</w:t>
            </w:r>
          </w:p>
        </w:tc>
        <w:tc>
          <w:tcPr>
            <w:tcW w:w="1985" w:type="dxa"/>
            <w:tcBorders>
              <w:bottom w:val="single" w:sz="4" w:space="0" w:color="BFBFBF" w:themeColor="background1" w:themeShade="BF"/>
            </w:tcBorders>
          </w:tcPr>
          <w:p w14:paraId="181DBE41" w14:textId="77777777" w:rsidR="006125FC" w:rsidRPr="00812B6A" w:rsidRDefault="006125FC" w:rsidP="006125FC">
            <w:pPr>
              <w:spacing w:before="40" w:after="40"/>
              <w:rPr>
                <w:sz w:val="20"/>
                <w:szCs w:val="20"/>
                <w:lang w:val="en-US"/>
              </w:rPr>
            </w:pPr>
            <w:r w:rsidRPr="00812B6A">
              <w:rPr>
                <w:sz w:val="20"/>
                <w:szCs w:val="20"/>
                <w:lang w:val="en-US"/>
              </w:rPr>
              <w:t>The size of the farm (in are)</w:t>
            </w:r>
          </w:p>
        </w:tc>
        <w:tc>
          <w:tcPr>
            <w:tcW w:w="992" w:type="dxa"/>
            <w:tcBorders>
              <w:bottom w:val="single" w:sz="4" w:space="0" w:color="BFBFBF" w:themeColor="background1" w:themeShade="BF"/>
            </w:tcBorders>
          </w:tcPr>
          <w:p w14:paraId="48189403" w14:textId="2B939EE8" w:rsidR="006125FC" w:rsidRPr="00812B6A" w:rsidRDefault="006125FC" w:rsidP="00CE75D4">
            <w:pPr>
              <w:spacing w:before="40" w:after="40"/>
              <w:jc w:val="center"/>
              <w:rPr>
                <w:sz w:val="20"/>
                <w:szCs w:val="20"/>
                <w:lang w:val="en-US"/>
              </w:rPr>
            </w:pPr>
            <w:r w:rsidRPr="00812B6A">
              <w:rPr>
                <w:sz w:val="20"/>
                <w:szCs w:val="20"/>
                <w:lang w:val="en-US"/>
              </w:rPr>
              <w:t>+</w:t>
            </w:r>
          </w:p>
        </w:tc>
        <w:tc>
          <w:tcPr>
            <w:tcW w:w="2699" w:type="dxa"/>
            <w:tcBorders>
              <w:bottom w:val="single" w:sz="4" w:space="0" w:color="BFBFBF" w:themeColor="background1" w:themeShade="BF"/>
            </w:tcBorders>
          </w:tcPr>
          <w:p w14:paraId="71F30D1B" w14:textId="53FF7D82" w:rsidR="006125FC" w:rsidRPr="00812B6A" w:rsidRDefault="006125FC" w:rsidP="006125FC">
            <w:pPr>
              <w:spacing w:before="40" w:after="40"/>
              <w:rPr>
                <w:sz w:val="20"/>
                <w:szCs w:val="20"/>
                <w:lang w:val="en-US"/>
              </w:rPr>
            </w:pPr>
            <w:r w:rsidRPr="00812B6A">
              <w:rPr>
                <w:sz w:val="20"/>
                <w:szCs w:val="20"/>
                <w:lang w:val="en-US"/>
              </w:rPr>
              <w:t xml:space="preserve">Large farms are currently devoting a small share of land to fungus-resistant varieties (‘trying out’), we thus expect the land share to increase in the future. </w:t>
            </w:r>
          </w:p>
        </w:tc>
        <w:tc>
          <w:tcPr>
            <w:tcW w:w="1235" w:type="dxa"/>
            <w:tcBorders>
              <w:bottom w:val="single" w:sz="4" w:space="0" w:color="BFBFBF" w:themeColor="background1" w:themeShade="BF"/>
            </w:tcBorders>
          </w:tcPr>
          <w:p w14:paraId="144AB2BB" w14:textId="5FC1E634" w:rsidR="006125FC" w:rsidRPr="00812B6A" w:rsidRDefault="006125FC" w:rsidP="006125FC">
            <w:pPr>
              <w:spacing w:before="40" w:after="40"/>
              <w:rPr>
                <w:sz w:val="20"/>
                <w:szCs w:val="20"/>
                <w:lang w:val="en-US"/>
              </w:rPr>
            </w:pPr>
            <w:r w:rsidRPr="00812B6A">
              <w:rPr>
                <w:sz w:val="20"/>
                <w:szCs w:val="20"/>
                <w:lang w:val="en-US"/>
              </w:rPr>
              <w:t xml:space="preserve">Fernandez-Cornejo </w:t>
            </w:r>
            <w:r w:rsidRPr="00812B6A">
              <w:rPr>
                <w:sz w:val="20"/>
                <w:szCs w:val="20"/>
                <w:lang w:val="en-US"/>
              </w:rPr>
              <w:fldChar w:fldCharType="begin"/>
            </w:r>
            <w:r w:rsidR="00453ED3">
              <w:rPr>
                <w:sz w:val="20"/>
                <w:szCs w:val="20"/>
                <w:lang w:val="en-US"/>
              </w:rPr>
              <w:instrText xml:space="preserve"> ADDIN ZOTERO_ITEM CSL_CITATION {"citationID":"lW1IpHd2","properties":{"formattedCitation":"(1998)","plainCitation":"(1998)","noteIndex":0},"citationItems":[{"id":1492,"uris":["http://zotero.org/users/8375139/items/F6RLMZ86"],"uri":["http://zotero.org/users/8375139/items/F6RLMZ86"],"itemData":{"id":1492,"type":"article-journal","container-title":"Agricultural Economics","DOI":"10.1111/j.1574-0862.1998.tb00494.x","ISSN":"0169-5150, 1574-0862","issue":"2","journalAbbreviation":"Agricultural Economics","language":"en","page":"145-155","source":"DOI.org (Crossref)","title":"Environinental and economic consequences of technology adoption: IPM in viticulture","title-short":"Environinental and economic consequences of technology adoption","volume":"18","author":[{"family":"Fernandez‐Cornejo","given":"Jorge"}],"issued":{"date-parts":[["1998",3]]}},"label":"page","suppress-author":true}],"schema":"https://github.com/citation-style-language/schema/raw/master/csl-citation.json"}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rPr>
              <w:t>(1998)</w:t>
            </w:r>
            <w:r w:rsidRPr="00812B6A">
              <w:rPr>
                <w:sz w:val="20"/>
                <w:szCs w:val="20"/>
                <w:lang w:val="en-US"/>
              </w:rPr>
              <w:fldChar w:fldCharType="end"/>
            </w:r>
          </w:p>
        </w:tc>
      </w:tr>
      <w:tr w:rsidR="006125FC" w:rsidRPr="00F43C73" w14:paraId="34DAD991" w14:textId="77777777" w:rsidTr="00CE75D4">
        <w:trPr>
          <w:trHeight w:val="283"/>
        </w:trPr>
        <w:tc>
          <w:tcPr>
            <w:tcW w:w="709" w:type="dxa"/>
            <w:vMerge/>
            <w:vAlign w:val="center"/>
          </w:tcPr>
          <w:p w14:paraId="691F65C7" w14:textId="77777777" w:rsidR="006125FC" w:rsidRPr="00812B6A" w:rsidRDefault="006125FC" w:rsidP="006125FC">
            <w:pPr>
              <w:spacing w:before="40" w:after="40"/>
              <w:rPr>
                <w:b/>
                <w:bCs/>
                <w:sz w:val="20"/>
                <w:szCs w:val="20"/>
                <w:lang w:val="en-US"/>
              </w:rPr>
            </w:pPr>
          </w:p>
        </w:tc>
        <w:tc>
          <w:tcPr>
            <w:tcW w:w="1559" w:type="dxa"/>
            <w:tcBorders>
              <w:top w:val="single" w:sz="4" w:space="0" w:color="BFBFBF" w:themeColor="background1" w:themeShade="BF"/>
            </w:tcBorders>
          </w:tcPr>
          <w:p w14:paraId="74906512" w14:textId="77777777" w:rsidR="006125FC" w:rsidRPr="00812B6A" w:rsidRDefault="006125FC" w:rsidP="006125FC">
            <w:pPr>
              <w:spacing w:before="40" w:after="40"/>
              <w:rPr>
                <w:sz w:val="20"/>
                <w:szCs w:val="20"/>
                <w:lang w:val="en-US"/>
              </w:rPr>
            </w:pPr>
            <w:r w:rsidRPr="00812B6A">
              <w:rPr>
                <w:sz w:val="20"/>
                <w:szCs w:val="20"/>
                <w:lang w:val="en-US"/>
              </w:rPr>
              <w:t>Farming specialization</w:t>
            </w:r>
          </w:p>
        </w:tc>
        <w:tc>
          <w:tcPr>
            <w:tcW w:w="1985" w:type="dxa"/>
            <w:tcBorders>
              <w:top w:val="single" w:sz="4" w:space="0" w:color="BFBFBF" w:themeColor="background1" w:themeShade="BF"/>
            </w:tcBorders>
          </w:tcPr>
          <w:p w14:paraId="62826550" w14:textId="77777777" w:rsidR="006125FC" w:rsidRPr="00812B6A" w:rsidRDefault="006125FC" w:rsidP="006125FC">
            <w:pPr>
              <w:spacing w:before="40" w:after="40"/>
              <w:rPr>
                <w:sz w:val="20"/>
                <w:szCs w:val="20"/>
                <w:lang w:val="en-US"/>
              </w:rPr>
            </w:pPr>
            <w:r w:rsidRPr="00812B6A">
              <w:rPr>
                <w:sz w:val="20"/>
                <w:szCs w:val="20"/>
                <w:lang w:val="en-US"/>
              </w:rPr>
              <w:t>Majority of income is from farming (&gt;51%)</w:t>
            </w:r>
          </w:p>
        </w:tc>
        <w:tc>
          <w:tcPr>
            <w:tcW w:w="992" w:type="dxa"/>
            <w:tcBorders>
              <w:top w:val="single" w:sz="4" w:space="0" w:color="BFBFBF" w:themeColor="background1" w:themeShade="BF"/>
            </w:tcBorders>
          </w:tcPr>
          <w:p w14:paraId="3F759EFB" w14:textId="0B7EC004" w:rsidR="006125FC" w:rsidRPr="00812B6A" w:rsidRDefault="006125FC" w:rsidP="00CE75D4">
            <w:pPr>
              <w:spacing w:before="40" w:after="40"/>
              <w:jc w:val="center"/>
              <w:rPr>
                <w:sz w:val="20"/>
                <w:szCs w:val="20"/>
                <w:lang w:val="en-US"/>
              </w:rPr>
            </w:pPr>
            <w:r w:rsidRPr="00812B6A">
              <w:rPr>
                <w:sz w:val="20"/>
                <w:szCs w:val="20"/>
                <w:lang w:val="en-US"/>
              </w:rPr>
              <w:t>+</w:t>
            </w:r>
          </w:p>
        </w:tc>
        <w:tc>
          <w:tcPr>
            <w:tcW w:w="2699" w:type="dxa"/>
            <w:tcBorders>
              <w:top w:val="single" w:sz="4" w:space="0" w:color="BFBFBF" w:themeColor="background1" w:themeShade="BF"/>
            </w:tcBorders>
          </w:tcPr>
          <w:p w14:paraId="1E60D2C3" w14:textId="0E15161E" w:rsidR="006125FC" w:rsidRPr="00812B6A" w:rsidRDefault="006125FC" w:rsidP="006125FC">
            <w:pPr>
              <w:spacing w:before="40" w:after="40"/>
              <w:rPr>
                <w:sz w:val="20"/>
                <w:szCs w:val="20"/>
                <w:lang w:val="en-US"/>
              </w:rPr>
            </w:pPr>
            <w:r w:rsidRPr="00812B6A">
              <w:rPr>
                <w:sz w:val="20"/>
                <w:szCs w:val="20"/>
                <w:lang w:val="en-US"/>
              </w:rPr>
              <w:t>Similar as above</w:t>
            </w:r>
            <w:r w:rsidR="00E95579" w:rsidRPr="00812B6A">
              <w:rPr>
                <w:sz w:val="20"/>
                <w:szCs w:val="20"/>
                <w:lang w:val="en-US"/>
              </w:rPr>
              <w:t>.</w:t>
            </w:r>
          </w:p>
        </w:tc>
        <w:tc>
          <w:tcPr>
            <w:tcW w:w="1235" w:type="dxa"/>
            <w:vMerge w:val="restart"/>
            <w:tcBorders>
              <w:top w:val="single" w:sz="4" w:space="0" w:color="BFBFBF" w:themeColor="background1" w:themeShade="BF"/>
            </w:tcBorders>
            <w:vAlign w:val="center"/>
          </w:tcPr>
          <w:p w14:paraId="03823293" w14:textId="4253FAFA" w:rsidR="006125FC" w:rsidRPr="00812B6A" w:rsidRDefault="006125FC" w:rsidP="006125FC">
            <w:pPr>
              <w:spacing w:before="40" w:after="40"/>
              <w:rPr>
                <w:sz w:val="20"/>
                <w:szCs w:val="20"/>
                <w:lang w:val="en-US"/>
              </w:rPr>
            </w:pPr>
            <w:r w:rsidRPr="00812B6A">
              <w:rPr>
                <w:sz w:val="20"/>
                <w:szCs w:val="20"/>
                <w:lang w:val="en-US"/>
              </w:rPr>
              <w:t xml:space="preserve">Frick and Sauer </w:t>
            </w:r>
            <w:r w:rsidRPr="00812B6A">
              <w:rPr>
                <w:sz w:val="20"/>
                <w:szCs w:val="20"/>
                <w:lang w:val="en-US"/>
              </w:rPr>
              <w:fldChar w:fldCharType="begin"/>
            </w:r>
            <w:r w:rsidR="00453ED3">
              <w:rPr>
                <w:sz w:val="20"/>
                <w:szCs w:val="20"/>
                <w:lang w:val="en-US"/>
              </w:rPr>
              <w:instrText xml:space="preserve"> ADDIN ZOTERO_ITEM CSL_CITATION {"citationID":"ATZaVP6p","properties":{"formattedCitation":"(2021)","plainCitation":"(2021)","noteIndex":0},"citationItems":[{"id":1486,"uris":["http://zotero.org/users/8375139/items/87TZBG4D"],"uri":["http://zotero.org/users/8375139/items/87TZBG4D"],"itemData":{"id":1486,"type":"article-journal","container-title":"Journal of Agricultural Economics","DOI":"10.1111/1477-9552.12417","ISSN":"0021-857X, 1477-9552","issue":"2","journalAbbreviation":"J Agric Econ","language":"en","page":"564-588","source":"DOI.org (Crossref)","title":"Technological Change in Dairy Farming with Increased Price Volatility","volume":"72","author":[{"family":"Frick","given":"Fabian"},{"family":"Sauer","given":"Johannes"}],"issued":{"date-parts":[["2021",6]]}},"label":"page","suppress-author":true}],"schema":"https://github.com/citation-style-language/schema/raw/master/csl-citation.json"}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rPr>
              <w:t>(2021)</w:t>
            </w:r>
            <w:r w:rsidRPr="00812B6A">
              <w:rPr>
                <w:sz w:val="20"/>
                <w:szCs w:val="20"/>
                <w:lang w:val="en-US"/>
              </w:rPr>
              <w:fldChar w:fldCharType="end"/>
            </w:r>
          </w:p>
        </w:tc>
      </w:tr>
      <w:tr w:rsidR="006125FC" w:rsidRPr="00222AC6" w14:paraId="6FC76379" w14:textId="77777777" w:rsidTr="00CE75D4">
        <w:trPr>
          <w:trHeight w:val="481"/>
        </w:trPr>
        <w:tc>
          <w:tcPr>
            <w:tcW w:w="709" w:type="dxa"/>
            <w:vMerge/>
            <w:vAlign w:val="center"/>
          </w:tcPr>
          <w:p w14:paraId="4AD950F0" w14:textId="77777777" w:rsidR="006125FC" w:rsidRPr="00812B6A" w:rsidRDefault="006125FC" w:rsidP="006125FC">
            <w:pPr>
              <w:spacing w:before="40" w:after="40"/>
              <w:rPr>
                <w:b/>
                <w:bCs/>
                <w:sz w:val="20"/>
                <w:szCs w:val="20"/>
                <w:lang w:val="en-US"/>
              </w:rPr>
            </w:pPr>
          </w:p>
        </w:tc>
        <w:tc>
          <w:tcPr>
            <w:tcW w:w="1559" w:type="dxa"/>
          </w:tcPr>
          <w:p w14:paraId="0E02E90C" w14:textId="77777777" w:rsidR="006125FC" w:rsidRPr="00812B6A" w:rsidRDefault="006125FC" w:rsidP="006125FC">
            <w:pPr>
              <w:spacing w:before="40" w:after="40"/>
              <w:rPr>
                <w:sz w:val="20"/>
                <w:szCs w:val="20"/>
                <w:lang w:val="en-US"/>
              </w:rPr>
            </w:pPr>
            <w:r w:rsidRPr="00812B6A">
              <w:rPr>
                <w:sz w:val="20"/>
                <w:szCs w:val="20"/>
                <w:lang w:val="en-US"/>
              </w:rPr>
              <w:t>Viticulture specialization</w:t>
            </w:r>
          </w:p>
        </w:tc>
        <w:tc>
          <w:tcPr>
            <w:tcW w:w="1985" w:type="dxa"/>
          </w:tcPr>
          <w:p w14:paraId="20B32D61" w14:textId="77777777" w:rsidR="006125FC" w:rsidRPr="00812B6A" w:rsidRDefault="006125FC" w:rsidP="006125FC">
            <w:pPr>
              <w:spacing w:before="40" w:after="40"/>
              <w:rPr>
                <w:sz w:val="20"/>
                <w:szCs w:val="20"/>
                <w:lang w:val="en-US"/>
              </w:rPr>
            </w:pPr>
            <w:r w:rsidRPr="00812B6A">
              <w:rPr>
                <w:sz w:val="20"/>
                <w:szCs w:val="20"/>
                <w:lang w:val="en-US"/>
              </w:rPr>
              <w:t>Majority of income is from viticulture (&gt;51%)</w:t>
            </w:r>
          </w:p>
        </w:tc>
        <w:tc>
          <w:tcPr>
            <w:tcW w:w="992" w:type="dxa"/>
          </w:tcPr>
          <w:p w14:paraId="14E0A8AD" w14:textId="634F7267" w:rsidR="006125FC" w:rsidRPr="00812B6A" w:rsidRDefault="006125FC" w:rsidP="00CE75D4">
            <w:pPr>
              <w:spacing w:before="40" w:after="40"/>
              <w:jc w:val="center"/>
              <w:rPr>
                <w:sz w:val="20"/>
                <w:szCs w:val="20"/>
                <w:lang w:val="en-US"/>
              </w:rPr>
            </w:pPr>
            <w:r w:rsidRPr="00812B6A">
              <w:rPr>
                <w:sz w:val="20"/>
                <w:szCs w:val="20"/>
                <w:lang w:val="en-US"/>
              </w:rPr>
              <w:t>+</w:t>
            </w:r>
          </w:p>
        </w:tc>
        <w:tc>
          <w:tcPr>
            <w:tcW w:w="2699" w:type="dxa"/>
          </w:tcPr>
          <w:p w14:paraId="09B39E70" w14:textId="6DE53AFE" w:rsidR="006125FC" w:rsidRPr="00812B6A" w:rsidRDefault="006125FC" w:rsidP="006125FC">
            <w:pPr>
              <w:spacing w:before="40" w:after="40"/>
              <w:rPr>
                <w:sz w:val="20"/>
                <w:szCs w:val="20"/>
                <w:lang w:val="en-US"/>
              </w:rPr>
            </w:pPr>
            <w:r w:rsidRPr="00812B6A">
              <w:rPr>
                <w:sz w:val="20"/>
                <w:szCs w:val="20"/>
                <w:lang w:val="en-US"/>
              </w:rPr>
              <w:t>Similar as above</w:t>
            </w:r>
            <w:r w:rsidR="00E95579" w:rsidRPr="00812B6A">
              <w:rPr>
                <w:sz w:val="20"/>
                <w:szCs w:val="20"/>
                <w:lang w:val="en-US"/>
              </w:rPr>
              <w:t>.</w:t>
            </w:r>
          </w:p>
        </w:tc>
        <w:tc>
          <w:tcPr>
            <w:tcW w:w="1235" w:type="dxa"/>
            <w:vMerge/>
          </w:tcPr>
          <w:p w14:paraId="4AD1DAE5" w14:textId="77777777" w:rsidR="006125FC" w:rsidRPr="00812B6A" w:rsidRDefault="006125FC" w:rsidP="006125FC">
            <w:pPr>
              <w:spacing w:before="40" w:after="40"/>
              <w:rPr>
                <w:sz w:val="20"/>
                <w:szCs w:val="20"/>
                <w:lang w:val="en-US"/>
              </w:rPr>
            </w:pPr>
          </w:p>
        </w:tc>
      </w:tr>
      <w:tr w:rsidR="006125FC" w:rsidRPr="00B746B0" w14:paraId="7C8AC856" w14:textId="77777777" w:rsidTr="00CE75D4">
        <w:trPr>
          <w:trHeight w:val="471"/>
        </w:trPr>
        <w:tc>
          <w:tcPr>
            <w:tcW w:w="709" w:type="dxa"/>
            <w:vMerge/>
            <w:vAlign w:val="center"/>
          </w:tcPr>
          <w:p w14:paraId="4F400275" w14:textId="77777777" w:rsidR="006125FC" w:rsidRPr="00812B6A" w:rsidRDefault="006125FC" w:rsidP="006125FC">
            <w:pPr>
              <w:spacing w:before="40" w:after="40"/>
              <w:rPr>
                <w:b/>
                <w:bCs/>
                <w:sz w:val="20"/>
                <w:szCs w:val="20"/>
                <w:lang w:val="en-US"/>
              </w:rPr>
            </w:pPr>
          </w:p>
        </w:tc>
        <w:tc>
          <w:tcPr>
            <w:tcW w:w="1559" w:type="dxa"/>
          </w:tcPr>
          <w:p w14:paraId="65AB12C0" w14:textId="77777777" w:rsidR="006125FC" w:rsidRPr="00812B6A" w:rsidRDefault="006125FC" w:rsidP="006125FC">
            <w:pPr>
              <w:spacing w:before="40" w:after="40"/>
              <w:rPr>
                <w:sz w:val="20"/>
                <w:szCs w:val="20"/>
                <w:lang w:val="en-US"/>
              </w:rPr>
            </w:pPr>
            <w:r w:rsidRPr="00812B6A">
              <w:rPr>
                <w:sz w:val="20"/>
                <w:szCs w:val="20"/>
                <w:lang w:val="en-US"/>
              </w:rPr>
              <w:t>Geographical denomination label</w:t>
            </w:r>
          </w:p>
        </w:tc>
        <w:tc>
          <w:tcPr>
            <w:tcW w:w="1985" w:type="dxa"/>
          </w:tcPr>
          <w:p w14:paraId="6EFB3E31" w14:textId="77777777" w:rsidR="006125FC" w:rsidRPr="00812B6A" w:rsidRDefault="006125FC" w:rsidP="006125FC">
            <w:pPr>
              <w:spacing w:before="40" w:after="40"/>
              <w:rPr>
                <w:sz w:val="20"/>
                <w:szCs w:val="20"/>
                <w:lang w:val="en-US"/>
              </w:rPr>
            </w:pPr>
            <w:r w:rsidRPr="00812B6A">
              <w:rPr>
                <w:sz w:val="20"/>
                <w:szCs w:val="20"/>
                <w:lang w:val="en-US"/>
              </w:rPr>
              <w:t>Farmer produces and markets their wine under AOC/DOC geographical denomination</w:t>
            </w:r>
          </w:p>
        </w:tc>
        <w:tc>
          <w:tcPr>
            <w:tcW w:w="992" w:type="dxa"/>
          </w:tcPr>
          <w:p w14:paraId="378DD3F7" w14:textId="20992E13" w:rsidR="006125FC" w:rsidRPr="00812B6A" w:rsidRDefault="006125FC" w:rsidP="00CE75D4">
            <w:pPr>
              <w:spacing w:before="40" w:after="40"/>
              <w:jc w:val="center"/>
              <w:rPr>
                <w:sz w:val="20"/>
                <w:szCs w:val="20"/>
                <w:lang w:val="en-US"/>
              </w:rPr>
            </w:pPr>
            <w:r w:rsidRPr="00812B6A">
              <w:rPr>
                <w:sz w:val="20"/>
                <w:szCs w:val="20"/>
                <w:lang w:val="en-US"/>
              </w:rPr>
              <w:t>+</w:t>
            </w:r>
          </w:p>
        </w:tc>
        <w:tc>
          <w:tcPr>
            <w:tcW w:w="2699" w:type="dxa"/>
          </w:tcPr>
          <w:p w14:paraId="57096F70" w14:textId="797228C9" w:rsidR="006125FC" w:rsidRPr="00812B6A" w:rsidRDefault="006125FC" w:rsidP="006125FC">
            <w:pPr>
              <w:spacing w:before="40" w:after="40"/>
              <w:rPr>
                <w:sz w:val="20"/>
                <w:szCs w:val="20"/>
                <w:lang w:val="en-US"/>
              </w:rPr>
            </w:pPr>
            <w:r w:rsidRPr="00812B6A">
              <w:rPr>
                <w:sz w:val="20"/>
                <w:szCs w:val="20"/>
                <w:lang w:val="en-US"/>
              </w:rPr>
              <w:t>Fungus-resistant varieties are less prominent in geographical denomination catalogues, this will likely change in the future thus increasing the land share.</w:t>
            </w:r>
          </w:p>
        </w:tc>
        <w:tc>
          <w:tcPr>
            <w:tcW w:w="1235" w:type="dxa"/>
          </w:tcPr>
          <w:p w14:paraId="20050B2F" w14:textId="7BA64C67" w:rsidR="006125FC" w:rsidRPr="00812B6A" w:rsidRDefault="006125FC" w:rsidP="006125FC">
            <w:pPr>
              <w:spacing w:before="40" w:after="40"/>
              <w:rPr>
                <w:sz w:val="20"/>
                <w:szCs w:val="20"/>
                <w:lang w:val="en-US"/>
              </w:rPr>
            </w:pPr>
            <w:r w:rsidRPr="00812B6A">
              <w:rPr>
                <w:sz w:val="20"/>
                <w:szCs w:val="20"/>
                <w:lang w:val="en-US"/>
              </w:rPr>
              <w:t xml:space="preserve">Zachmann et al. </w:t>
            </w:r>
            <w:r w:rsidRPr="00812B6A">
              <w:rPr>
                <w:sz w:val="20"/>
                <w:szCs w:val="20"/>
                <w:lang w:val="en-US"/>
              </w:rPr>
              <w:fldChar w:fldCharType="begin"/>
            </w:r>
            <w:r w:rsidR="00453ED3">
              <w:rPr>
                <w:sz w:val="20"/>
                <w:szCs w:val="20"/>
                <w:lang w:val="en-US"/>
              </w:rPr>
              <w:instrText xml:space="preserve"> ADDIN ZOTERO_ITEM CSL_CITATION {"citationID":"FD9T5BJQ","properties":{"formattedCitation":"(2022)","plainCitation":"(2022)","noteIndex":0},"citationItems":[{"id":1361,"uris":["http://zotero.org/users/8375139/items/LQGQ5C9C"],"uri":["http://zotero.org/users/8375139/items/LQGQ5C9C"],"itemData":{"id":1361,"type":"article-journal","container-title":"prepared","title":"The Effect of Geographical Denomination on the Uptake of Fungus-resistant Grapevines","author":[{"family":"Zachmann","given":"Lucca"},{"family":"McCallum","given":"Chloe"},{"family":"Finger","given":"Robert"}],"issued":{"date-parts":[["2022"]]}},"label":"page","suppress-author":true}],"schema":"https://github.com/citation-style-language/schema/raw/master/csl-citation.json"} </w:instrText>
            </w:r>
            <w:r w:rsidRPr="00812B6A">
              <w:rPr>
                <w:sz w:val="20"/>
                <w:szCs w:val="20"/>
                <w:lang w:val="en-US"/>
              </w:rPr>
              <w:fldChar w:fldCharType="separate"/>
            </w:r>
            <w:r w:rsidR="00453ED3" w:rsidRPr="00453ED3">
              <w:rPr>
                <w:rFonts w:ascii="Calibri" w:hAnsi="Calibri" w:cs="Calibri"/>
                <w:sz w:val="20"/>
              </w:rPr>
              <w:t>(2022)</w:t>
            </w:r>
            <w:r w:rsidRPr="00812B6A">
              <w:rPr>
                <w:sz w:val="20"/>
                <w:szCs w:val="20"/>
                <w:lang w:val="en-US"/>
              </w:rPr>
              <w:fldChar w:fldCharType="end"/>
            </w:r>
          </w:p>
        </w:tc>
      </w:tr>
      <w:tr w:rsidR="006125FC" w:rsidRPr="00B746B0" w14:paraId="0D8EDF16" w14:textId="77777777" w:rsidTr="00CE75D4">
        <w:trPr>
          <w:trHeight w:val="273"/>
        </w:trPr>
        <w:tc>
          <w:tcPr>
            <w:tcW w:w="709" w:type="dxa"/>
            <w:vMerge/>
            <w:vAlign w:val="center"/>
          </w:tcPr>
          <w:p w14:paraId="73348945" w14:textId="77777777" w:rsidR="006125FC" w:rsidRPr="00812B6A" w:rsidRDefault="006125FC" w:rsidP="006125FC">
            <w:pPr>
              <w:spacing w:before="40" w:after="40"/>
              <w:rPr>
                <w:b/>
                <w:bCs/>
                <w:sz w:val="20"/>
                <w:szCs w:val="20"/>
                <w:lang w:val="en-US"/>
              </w:rPr>
            </w:pPr>
          </w:p>
        </w:tc>
        <w:tc>
          <w:tcPr>
            <w:tcW w:w="1559" w:type="dxa"/>
          </w:tcPr>
          <w:p w14:paraId="418309FD" w14:textId="77777777" w:rsidR="006125FC" w:rsidRPr="00812B6A" w:rsidRDefault="006125FC" w:rsidP="006125FC">
            <w:pPr>
              <w:spacing w:before="40" w:after="40"/>
              <w:rPr>
                <w:sz w:val="20"/>
                <w:szCs w:val="20"/>
                <w:lang w:val="en-US"/>
              </w:rPr>
            </w:pPr>
            <w:r w:rsidRPr="00812B6A">
              <w:rPr>
                <w:sz w:val="20"/>
                <w:szCs w:val="20"/>
                <w:lang w:val="en-US"/>
              </w:rPr>
              <w:t xml:space="preserve">Organic label </w:t>
            </w:r>
          </w:p>
        </w:tc>
        <w:tc>
          <w:tcPr>
            <w:tcW w:w="1985" w:type="dxa"/>
          </w:tcPr>
          <w:p w14:paraId="5B22F45E" w14:textId="77777777" w:rsidR="006125FC" w:rsidRPr="00812B6A" w:rsidRDefault="006125FC" w:rsidP="006125FC">
            <w:pPr>
              <w:spacing w:before="40" w:after="40"/>
              <w:rPr>
                <w:sz w:val="20"/>
                <w:szCs w:val="20"/>
                <w:lang w:val="en-US"/>
              </w:rPr>
            </w:pPr>
            <w:r w:rsidRPr="00812B6A">
              <w:rPr>
                <w:sz w:val="20"/>
                <w:szCs w:val="20"/>
                <w:lang w:val="en-US"/>
              </w:rPr>
              <w:t>Farmer sells wine under organic label</w:t>
            </w:r>
          </w:p>
        </w:tc>
        <w:tc>
          <w:tcPr>
            <w:tcW w:w="992" w:type="dxa"/>
          </w:tcPr>
          <w:p w14:paraId="6705A299" w14:textId="0BB24D09" w:rsidR="006125FC" w:rsidRPr="00812B6A" w:rsidRDefault="006125FC" w:rsidP="00CE75D4">
            <w:pPr>
              <w:spacing w:before="40" w:after="40"/>
              <w:jc w:val="center"/>
              <w:rPr>
                <w:sz w:val="20"/>
                <w:szCs w:val="20"/>
                <w:lang w:val="en-US"/>
              </w:rPr>
            </w:pPr>
            <w:r w:rsidRPr="00812B6A">
              <w:rPr>
                <w:sz w:val="20"/>
                <w:szCs w:val="20"/>
                <w:lang w:val="en-US"/>
              </w:rPr>
              <w:t>+/0/-</w:t>
            </w:r>
          </w:p>
        </w:tc>
        <w:tc>
          <w:tcPr>
            <w:tcW w:w="2699" w:type="dxa"/>
          </w:tcPr>
          <w:p w14:paraId="5E3BA95D" w14:textId="74DDD1A5" w:rsidR="006125FC" w:rsidRPr="00812B6A" w:rsidRDefault="006125FC" w:rsidP="006125FC">
            <w:pPr>
              <w:spacing w:before="40" w:after="40"/>
              <w:rPr>
                <w:sz w:val="20"/>
                <w:szCs w:val="20"/>
                <w:lang w:val="en-US"/>
              </w:rPr>
            </w:pPr>
            <w:r w:rsidRPr="00812B6A">
              <w:rPr>
                <w:sz w:val="20"/>
                <w:szCs w:val="20"/>
                <w:lang w:val="en-US"/>
              </w:rPr>
              <w:t xml:space="preserve">Since particularly organic farms have currently adopted fungus-resistant varieties, it is </w:t>
            </w:r>
            <w:r w:rsidR="00416040" w:rsidRPr="00812B6A">
              <w:rPr>
                <w:sz w:val="20"/>
                <w:szCs w:val="20"/>
                <w:lang w:val="en-US"/>
              </w:rPr>
              <w:t>unclear</w:t>
            </w:r>
            <w:r w:rsidRPr="00812B6A">
              <w:rPr>
                <w:sz w:val="20"/>
                <w:szCs w:val="20"/>
                <w:lang w:val="en-US"/>
              </w:rPr>
              <w:t xml:space="preserve"> how they develop in the future.</w:t>
            </w:r>
          </w:p>
        </w:tc>
        <w:tc>
          <w:tcPr>
            <w:tcW w:w="1235" w:type="dxa"/>
            <w:vMerge w:val="restart"/>
            <w:vAlign w:val="center"/>
          </w:tcPr>
          <w:p w14:paraId="31DD3033" w14:textId="0752D123" w:rsidR="006125FC" w:rsidRPr="00812B6A" w:rsidRDefault="006125FC" w:rsidP="006125FC">
            <w:pPr>
              <w:spacing w:before="40" w:after="40"/>
              <w:rPr>
                <w:sz w:val="20"/>
                <w:szCs w:val="20"/>
                <w:lang w:val="en-US"/>
              </w:rPr>
            </w:pPr>
            <w:r w:rsidRPr="00812B6A">
              <w:rPr>
                <w:sz w:val="20"/>
                <w:szCs w:val="20"/>
                <w:lang w:val="en-US"/>
              </w:rPr>
              <w:t xml:space="preserve">Pedneault and Provost </w:t>
            </w:r>
            <w:r w:rsidRPr="00812B6A">
              <w:rPr>
                <w:sz w:val="20"/>
                <w:szCs w:val="20"/>
                <w:lang w:val="en-US"/>
              </w:rPr>
              <w:fldChar w:fldCharType="begin"/>
            </w:r>
            <w:r w:rsidR="00453ED3">
              <w:rPr>
                <w:sz w:val="20"/>
                <w:szCs w:val="20"/>
                <w:lang w:val="en-US"/>
              </w:rPr>
              <w:instrText xml:space="preserve"> ADDIN ZOTERO_ITEM CSL_CITATION {"citationID":"9lAq4zkV","properties":{"formattedCitation":"(2016)","plainCitation":"(2016)","noteIndex":0},"citationItems":[{"id":241,"uris":["http://zotero.org/users/8375139/items/JSGEM2LX"],"uri":["http://zotero.org/users/8375139/items/JSGEM2LX"],"itemData":{"id":241,"type":"article-journal","container-title":"Scientia Horticulturae","DOI":"10.1016/j.scienta.2016.03.016","ISSN":"03044238","journalAbbreviation":"Scientia Horticulturae","language":"en","page":"57-77","source":"DOI.org (Crossref)","title":"Fungus resistant grape varieties as a suitable alternative for organic wine production: Benefits, limits, and challenges","title-short":"Fungus resistant grape varieties as a suitable alternative for organic wine production","volume":"208","author":[{"family":"Pedneault","given":"Karine"},{"family":"Provost","given":"Caroline"}],"issued":{"date-parts":[["2016",8]]}},"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rPr>
              <w:t>(2016)</w:t>
            </w:r>
            <w:r w:rsidRPr="00812B6A">
              <w:rPr>
                <w:sz w:val="20"/>
                <w:szCs w:val="20"/>
                <w:lang w:val="en-US"/>
              </w:rPr>
              <w:fldChar w:fldCharType="end"/>
            </w:r>
          </w:p>
        </w:tc>
      </w:tr>
      <w:tr w:rsidR="006125FC" w:rsidRPr="00F43C73" w14:paraId="022D691B" w14:textId="77777777" w:rsidTr="00CE75D4">
        <w:trPr>
          <w:trHeight w:val="283"/>
        </w:trPr>
        <w:tc>
          <w:tcPr>
            <w:tcW w:w="709" w:type="dxa"/>
            <w:vMerge/>
            <w:vAlign w:val="center"/>
          </w:tcPr>
          <w:p w14:paraId="3D10F834" w14:textId="77777777" w:rsidR="006125FC" w:rsidRPr="00812B6A" w:rsidRDefault="006125FC" w:rsidP="006125FC">
            <w:pPr>
              <w:spacing w:before="40" w:after="40"/>
              <w:rPr>
                <w:b/>
                <w:bCs/>
                <w:sz w:val="20"/>
                <w:szCs w:val="20"/>
                <w:lang w:val="en-US"/>
              </w:rPr>
            </w:pPr>
          </w:p>
        </w:tc>
        <w:tc>
          <w:tcPr>
            <w:tcW w:w="1559" w:type="dxa"/>
          </w:tcPr>
          <w:p w14:paraId="4F0EB8FC" w14:textId="77777777" w:rsidR="006125FC" w:rsidRPr="00812B6A" w:rsidRDefault="006125FC" w:rsidP="006125FC">
            <w:pPr>
              <w:spacing w:before="40" w:after="40"/>
              <w:rPr>
                <w:sz w:val="20"/>
                <w:szCs w:val="20"/>
                <w:lang w:val="en-US"/>
              </w:rPr>
            </w:pPr>
            <w:r w:rsidRPr="00812B6A">
              <w:rPr>
                <w:sz w:val="20"/>
                <w:szCs w:val="20"/>
                <w:lang w:val="en-US"/>
              </w:rPr>
              <w:t xml:space="preserve">Bio-dynamic label </w:t>
            </w:r>
          </w:p>
        </w:tc>
        <w:tc>
          <w:tcPr>
            <w:tcW w:w="1985" w:type="dxa"/>
          </w:tcPr>
          <w:p w14:paraId="02DB6A13" w14:textId="77777777" w:rsidR="006125FC" w:rsidRPr="00812B6A" w:rsidRDefault="006125FC" w:rsidP="006125FC">
            <w:pPr>
              <w:spacing w:before="40" w:after="40"/>
              <w:rPr>
                <w:sz w:val="20"/>
                <w:szCs w:val="20"/>
                <w:lang w:val="en-US"/>
              </w:rPr>
            </w:pPr>
            <w:r w:rsidRPr="00812B6A">
              <w:rPr>
                <w:sz w:val="20"/>
                <w:szCs w:val="20"/>
                <w:lang w:val="en-US"/>
              </w:rPr>
              <w:t>Farmer sells wine under bio-dynamic label</w:t>
            </w:r>
          </w:p>
        </w:tc>
        <w:tc>
          <w:tcPr>
            <w:tcW w:w="992" w:type="dxa"/>
          </w:tcPr>
          <w:p w14:paraId="36811C2A" w14:textId="6D8628D2" w:rsidR="006125FC" w:rsidRPr="00812B6A" w:rsidRDefault="006125FC" w:rsidP="00CE75D4">
            <w:pPr>
              <w:spacing w:before="40" w:after="40"/>
              <w:jc w:val="center"/>
              <w:rPr>
                <w:sz w:val="20"/>
                <w:szCs w:val="20"/>
                <w:lang w:val="en-US"/>
              </w:rPr>
            </w:pPr>
            <w:r w:rsidRPr="00812B6A">
              <w:rPr>
                <w:sz w:val="20"/>
                <w:szCs w:val="20"/>
                <w:lang w:val="en-US"/>
              </w:rPr>
              <w:t>+/0/-</w:t>
            </w:r>
          </w:p>
        </w:tc>
        <w:tc>
          <w:tcPr>
            <w:tcW w:w="2699" w:type="dxa"/>
          </w:tcPr>
          <w:p w14:paraId="1222591F" w14:textId="0C5D8F52" w:rsidR="006125FC" w:rsidRPr="00812B6A" w:rsidRDefault="006125FC" w:rsidP="006125FC">
            <w:pPr>
              <w:spacing w:before="40" w:after="40"/>
              <w:rPr>
                <w:sz w:val="20"/>
                <w:szCs w:val="20"/>
                <w:lang w:val="en-US"/>
              </w:rPr>
            </w:pPr>
            <w:r w:rsidRPr="00812B6A">
              <w:rPr>
                <w:sz w:val="20"/>
                <w:szCs w:val="20"/>
                <w:lang w:val="en-US"/>
              </w:rPr>
              <w:t>Similar as above</w:t>
            </w:r>
          </w:p>
        </w:tc>
        <w:tc>
          <w:tcPr>
            <w:tcW w:w="1235" w:type="dxa"/>
            <w:vMerge/>
          </w:tcPr>
          <w:p w14:paraId="4AC1A6EB" w14:textId="77777777" w:rsidR="006125FC" w:rsidRPr="00812B6A" w:rsidRDefault="006125FC" w:rsidP="006125FC">
            <w:pPr>
              <w:spacing w:before="40" w:after="40"/>
              <w:rPr>
                <w:sz w:val="20"/>
                <w:szCs w:val="20"/>
                <w:lang w:val="en-US"/>
              </w:rPr>
            </w:pPr>
          </w:p>
        </w:tc>
      </w:tr>
      <w:tr w:rsidR="006125FC" w:rsidRPr="00B5658B" w14:paraId="734E672B" w14:textId="77777777" w:rsidTr="00CE75D4">
        <w:trPr>
          <w:trHeight w:val="471"/>
        </w:trPr>
        <w:tc>
          <w:tcPr>
            <w:tcW w:w="709" w:type="dxa"/>
            <w:vMerge/>
            <w:vAlign w:val="center"/>
          </w:tcPr>
          <w:p w14:paraId="2325DB38" w14:textId="77777777" w:rsidR="006125FC" w:rsidRPr="00812B6A" w:rsidRDefault="006125FC" w:rsidP="006125FC">
            <w:pPr>
              <w:spacing w:before="40" w:after="40"/>
              <w:rPr>
                <w:b/>
                <w:bCs/>
                <w:sz w:val="20"/>
                <w:szCs w:val="20"/>
                <w:lang w:val="en-US"/>
              </w:rPr>
            </w:pPr>
          </w:p>
        </w:tc>
        <w:tc>
          <w:tcPr>
            <w:tcW w:w="1559" w:type="dxa"/>
          </w:tcPr>
          <w:p w14:paraId="7E57C5D7" w14:textId="77777777" w:rsidR="006125FC" w:rsidRPr="00812B6A" w:rsidRDefault="006125FC" w:rsidP="006125FC">
            <w:pPr>
              <w:spacing w:before="40" w:after="40"/>
              <w:rPr>
                <w:sz w:val="20"/>
                <w:szCs w:val="20"/>
                <w:lang w:val="en-US"/>
              </w:rPr>
            </w:pPr>
            <w:r w:rsidRPr="00812B6A">
              <w:rPr>
                <w:sz w:val="20"/>
                <w:szCs w:val="20"/>
                <w:lang w:val="en-US"/>
              </w:rPr>
              <w:t xml:space="preserve">Integrated production label </w:t>
            </w:r>
          </w:p>
        </w:tc>
        <w:tc>
          <w:tcPr>
            <w:tcW w:w="1985" w:type="dxa"/>
          </w:tcPr>
          <w:p w14:paraId="084DB96D" w14:textId="77777777" w:rsidR="006125FC" w:rsidRPr="00812B6A" w:rsidRDefault="006125FC" w:rsidP="006125FC">
            <w:pPr>
              <w:spacing w:before="40" w:after="40"/>
              <w:rPr>
                <w:sz w:val="20"/>
                <w:szCs w:val="20"/>
                <w:lang w:val="en-US"/>
              </w:rPr>
            </w:pPr>
            <w:r w:rsidRPr="00812B6A">
              <w:rPr>
                <w:sz w:val="20"/>
                <w:szCs w:val="20"/>
                <w:lang w:val="en-US"/>
              </w:rPr>
              <w:t>Farmer sells wine under integrated production label</w:t>
            </w:r>
          </w:p>
        </w:tc>
        <w:tc>
          <w:tcPr>
            <w:tcW w:w="992" w:type="dxa"/>
          </w:tcPr>
          <w:p w14:paraId="28CF48DD" w14:textId="7C4FE88C" w:rsidR="006125FC" w:rsidRPr="00812B6A" w:rsidRDefault="006125FC" w:rsidP="00CE75D4">
            <w:pPr>
              <w:spacing w:before="40" w:after="40"/>
              <w:jc w:val="center"/>
              <w:rPr>
                <w:sz w:val="20"/>
                <w:szCs w:val="20"/>
                <w:lang w:val="en-US"/>
              </w:rPr>
            </w:pPr>
            <w:r w:rsidRPr="00812B6A">
              <w:rPr>
                <w:sz w:val="20"/>
                <w:szCs w:val="20"/>
                <w:lang w:val="en-US"/>
              </w:rPr>
              <w:t>+</w:t>
            </w:r>
          </w:p>
        </w:tc>
        <w:tc>
          <w:tcPr>
            <w:tcW w:w="2699" w:type="dxa"/>
          </w:tcPr>
          <w:p w14:paraId="332B1DF4" w14:textId="76AB860F" w:rsidR="006125FC" w:rsidRPr="00812B6A" w:rsidRDefault="00662DC4" w:rsidP="006125FC">
            <w:pPr>
              <w:spacing w:before="40" w:after="40"/>
              <w:rPr>
                <w:sz w:val="20"/>
                <w:szCs w:val="20"/>
                <w:lang w:val="en-US"/>
              </w:rPr>
            </w:pPr>
            <w:r w:rsidRPr="00812B6A">
              <w:rPr>
                <w:sz w:val="20"/>
                <w:szCs w:val="20"/>
                <w:lang w:val="en-US"/>
              </w:rPr>
              <w:t xml:space="preserve">Conventional growers have currently adopted less fungus-resistant varieties, thus we expect an increase in the land share. </w:t>
            </w:r>
          </w:p>
        </w:tc>
        <w:tc>
          <w:tcPr>
            <w:tcW w:w="1235" w:type="dxa"/>
            <w:vMerge/>
          </w:tcPr>
          <w:p w14:paraId="1828E10D" w14:textId="77777777" w:rsidR="006125FC" w:rsidRPr="00812B6A" w:rsidRDefault="006125FC" w:rsidP="006125FC">
            <w:pPr>
              <w:spacing w:before="40" w:after="40"/>
              <w:rPr>
                <w:sz w:val="20"/>
                <w:szCs w:val="20"/>
                <w:lang w:val="en-US"/>
              </w:rPr>
            </w:pPr>
          </w:p>
        </w:tc>
      </w:tr>
      <w:tr w:rsidR="006125FC" w:rsidRPr="00B746B0" w14:paraId="17201D6C" w14:textId="77777777" w:rsidTr="00CE75D4">
        <w:trPr>
          <w:trHeight w:val="669"/>
        </w:trPr>
        <w:tc>
          <w:tcPr>
            <w:tcW w:w="709" w:type="dxa"/>
            <w:vMerge/>
            <w:vAlign w:val="center"/>
          </w:tcPr>
          <w:p w14:paraId="21D8C659" w14:textId="77777777" w:rsidR="006125FC" w:rsidRPr="00812B6A" w:rsidRDefault="006125FC" w:rsidP="006125FC">
            <w:pPr>
              <w:spacing w:before="40" w:after="40"/>
              <w:rPr>
                <w:b/>
                <w:bCs/>
                <w:sz w:val="20"/>
                <w:szCs w:val="20"/>
                <w:lang w:val="en-US"/>
              </w:rPr>
            </w:pPr>
          </w:p>
        </w:tc>
        <w:tc>
          <w:tcPr>
            <w:tcW w:w="1559" w:type="dxa"/>
          </w:tcPr>
          <w:p w14:paraId="143E0333" w14:textId="77777777" w:rsidR="006125FC" w:rsidRPr="00812B6A" w:rsidRDefault="006125FC" w:rsidP="006125FC">
            <w:pPr>
              <w:spacing w:before="40" w:after="40"/>
              <w:rPr>
                <w:sz w:val="20"/>
                <w:szCs w:val="20"/>
                <w:lang w:val="en-US"/>
              </w:rPr>
            </w:pPr>
            <w:r w:rsidRPr="00812B6A">
              <w:rPr>
                <w:sz w:val="20"/>
                <w:szCs w:val="20"/>
                <w:lang w:val="en-US"/>
              </w:rPr>
              <w:t xml:space="preserve">Direct marketing </w:t>
            </w:r>
          </w:p>
        </w:tc>
        <w:tc>
          <w:tcPr>
            <w:tcW w:w="1985" w:type="dxa"/>
          </w:tcPr>
          <w:p w14:paraId="2A0D7E37" w14:textId="77777777" w:rsidR="006125FC" w:rsidRPr="00812B6A" w:rsidRDefault="006125FC" w:rsidP="006125FC">
            <w:pPr>
              <w:spacing w:before="40" w:after="40"/>
              <w:rPr>
                <w:sz w:val="20"/>
                <w:szCs w:val="20"/>
                <w:lang w:val="en-US"/>
              </w:rPr>
            </w:pPr>
            <w:r w:rsidRPr="00812B6A">
              <w:rPr>
                <w:sz w:val="20"/>
                <w:szCs w:val="20"/>
                <w:lang w:val="en-US"/>
              </w:rPr>
              <w:t>Farmer is specialized in direct marketing (share of sales that go directly to consumers is larger than 50%)</w:t>
            </w:r>
          </w:p>
        </w:tc>
        <w:tc>
          <w:tcPr>
            <w:tcW w:w="992" w:type="dxa"/>
          </w:tcPr>
          <w:p w14:paraId="62AFD0C8" w14:textId="25678C33" w:rsidR="006125FC" w:rsidRPr="00812B6A" w:rsidRDefault="006125FC" w:rsidP="00CE75D4">
            <w:pPr>
              <w:spacing w:before="40" w:after="40"/>
              <w:jc w:val="center"/>
              <w:rPr>
                <w:sz w:val="20"/>
                <w:szCs w:val="20"/>
                <w:lang w:val="en-US"/>
              </w:rPr>
            </w:pPr>
            <w:r w:rsidRPr="00812B6A">
              <w:rPr>
                <w:sz w:val="20"/>
                <w:szCs w:val="20"/>
                <w:lang w:val="en-US"/>
              </w:rPr>
              <w:t>+/0/-</w:t>
            </w:r>
          </w:p>
        </w:tc>
        <w:tc>
          <w:tcPr>
            <w:tcW w:w="2699" w:type="dxa"/>
          </w:tcPr>
          <w:p w14:paraId="0DE96978" w14:textId="777F1308" w:rsidR="006125FC" w:rsidRPr="00812B6A" w:rsidRDefault="006125FC" w:rsidP="006125FC">
            <w:pPr>
              <w:spacing w:before="40" w:after="40"/>
              <w:rPr>
                <w:sz w:val="20"/>
                <w:szCs w:val="20"/>
                <w:lang w:val="en-US"/>
              </w:rPr>
            </w:pPr>
            <w:r w:rsidRPr="00812B6A">
              <w:rPr>
                <w:sz w:val="20"/>
                <w:szCs w:val="20"/>
                <w:lang w:val="en-US"/>
              </w:rPr>
              <w:t>Current adopter are farms that mainly market directly to consumers, it is unclear how these will develop in the next 10 years</w:t>
            </w:r>
          </w:p>
        </w:tc>
        <w:tc>
          <w:tcPr>
            <w:tcW w:w="1235" w:type="dxa"/>
          </w:tcPr>
          <w:p w14:paraId="4E7FC7C8" w14:textId="5916898B" w:rsidR="006125FC" w:rsidRPr="00812B6A" w:rsidRDefault="006125FC" w:rsidP="006125FC">
            <w:pPr>
              <w:spacing w:before="40" w:after="40"/>
              <w:rPr>
                <w:sz w:val="20"/>
                <w:szCs w:val="20"/>
                <w:lang w:val="en-US"/>
              </w:rPr>
            </w:pPr>
            <w:r w:rsidRPr="00812B6A">
              <w:rPr>
                <w:sz w:val="20"/>
                <w:szCs w:val="20"/>
                <w:lang w:val="en-US"/>
              </w:rPr>
              <w:t xml:space="preserve">Finger et al. </w:t>
            </w:r>
            <w:r w:rsidRPr="00812B6A">
              <w:rPr>
                <w:sz w:val="20"/>
                <w:szCs w:val="20"/>
                <w:lang w:val="en-US"/>
              </w:rPr>
              <w:fldChar w:fldCharType="begin"/>
            </w:r>
            <w:r w:rsidR="00453ED3">
              <w:rPr>
                <w:sz w:val="20"/>
                <w:szCs w:val="20"/>
                <w:lang w:val="en-US"/>
              </w:rPr>
              <w:instrText xml:space="preserve"> ADDIN ZOTERO_ITEM CSL_CITATION {"citationID":"xmipgIHy","properties":{"formattedCitation":"(2022)","plainCitation":"(2022)","noteIndex":0},"citationItems":[{"id":1506,"uris":["http://zotero.org/users/8375139/items/5VV3LQK7"],"uri":["http://zotero.org/users/8375139/items/5VV3LQK7"],"itemData":{"id":1506,"type":"article-journal","container-title":"Applied Economic Perspectives and Policy","DOI":"10.1002/aepp.13337","ISSN":"2040-5790, 2040-5804","journalAbbreviation":"Applied Eco Perspectives Pol","language":"en","page":"aepp.13337","source":"DOI.org (Crossref)","title":"Short supply chains and the adoption of fungus‐resistant grapevine varieties","author":[{"family":"Finger","given":"Robert"},{"family":"Zachmann","given":"Lucca"},{"family":"McCallum","given":"Chloe"}],"issued":{"date-parts":[["2022",12,23]]}},"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rPr>
              <w:t>(2022)</w:t>
            </w:r>
            <w:r w:rsidRPr="00812B6A">
              <w:rPr>
                <w:sz w:val="20"/>
                <w:szCs w:val="20"/>
                <w:lang w:val="en-US"/>
              </w:rPr>
              <w:fldChar w:fldCharType="end"/>
            </w:r>
          </w:p>
        </w:tc>
      </w:tr>
      <w:tr w:rsidR="006125FC" w:rsidRPr="00F319B4" w14:paraId="741D1CE6" w14:textId="77777777" w:rsidTr="00CE75D4">
        <w:trPr>
          <w:trHeight w:val="283"/>
        </w:trPr>
        <w:tc>
          <w:tcPr>
            <w:tcW w:w="709" w:type="dxa"/>
            <w:vMerge/>
            <w:vAlign w:val="center"/>
          </w:tcPr>
          <w:p w14:paraId="461582F0" w14:textId="77777777" w:rsidR="006125FC" w:rsidRPr="00812B6A" w:rsidRDefault="006125FC" w:rsidP="006125FC">
            <w:pPr>
              <w:spacing w:before="40" w:after="40"/>
              <w:rPr>
                <w:b/>
                <w:bCs/>
                <w:sz w:val="20"/>
                <w:szCs w:val="20"/>
                <w:lang w:val="en-US"/>
              </w:rPr>
            </w:pPr>
          </w:p>
        </w:tc>
        <w:tc>
          <w:tcPr>
            <w:tcW w:w="1559" w:type="dxa"/>
            <w:tcBorders>
              <w:bottom w:val="single" w:sz="4" w:space="0" w:color="BFBFBF" w:themeColor="background1" w:themeShade="BF"/>
            </w:tcBorders>
          </w:tcPr>
          <w:p w14:paraId="424D0EB3" w14:textId="77777777" w:rsidR="006125FC" w:rsidRPr="00812B6A" w:rsidRDefault="006125FC" w:rsidP="006125FC">
            <w:pPr>
              <w:spacing w:before="40" w:after="40"/>
              <w:rPr>
                <w:sz w:val="20"/>
                <w:szCs w:val="20"/>
                <w:lang w:val="en-US"/>
              </w:rPr>
            </w:pPr>
            <w:r w:rsidRPr="00812B6A">
              <w:rPr>
                <w:sz w:val="20"/>
                <w:szCs w:val="20"/>
                <w:lang w:val="en-US"/>
              </w:rPr>
              <w:t xml:space="preserve">Further education </w:t>
            </w:r>
          </w:p>
        </w:tc>
        <w:tc>
          <w:tcPr>
            <w:tcW w:w="1985" w:type="dxa"/>
            <w:tcBorders>
              <w:bottom w:val="single" w:sz="4" w:space="0" w:color="BFBFBF" w:themeColor="background1" w:themeShade="BF"/>
            </w:tcBorders>
          </w:tcPr>
          <w:p w14:paraId="2139B6E1" w14:textId="77777777" w:rsidR="006125FC" w:rsidRPr="00812B6A" w:rsidRDefault="006125FC" w:rsidP="006125FC">
            <w:pPr>
              <w:spacing w:before="40" w:after="40"/>
              <w:rPr>
                <w:sz w:val="20"/>
                <w:szCs w:val="20"/>
                <w:lang w:val="en-US"/>
              </w:rPr>
            </w:pPr>
            <w:r w:rsidRPr="00812B6A">
              <w:rPr>
                <w:sz w:val="20"/>
                <w:szCs w:val="20"/>
                <w:lang w:val="en-US"/>
              </w:rPr>
              <w:t>Farmer has further education in plant protection</w:t>
            </w:r>
          </w:p>
        </w:tc>
        <w:tc>
          <w:tcPr>
            <w:tcW w:w="992" w:type="dxa"/>
            <w:tcBorders>
              <w:bottom w:val="single" w:sz="4" w:space="0" w:color="BFBFBF" w:themeColor="background1" w:themeShade="BF"/>
            </w:tcBorders>
          </w:tcPr>
          <w:p w14:paraId="3E29A503" w14:textId="482DCB45" w:rsidR="006125FC" w:rsidRPr="00812B6A" w:rsidRDefault="00B56516" w:rsidP="00CE75D4">
            <w:pPr>
              <w:spacing w:before="40" w:after="40"/>
              <w:jc w:val="center"/>
              <w:rPr>
                <w:sz w:val="20"/>
                <w:szCs w:val="20"/>
                <w:lang w:val="en-US"/>
              </w:rPr>
            </w:pPr>
            <w:r w:rsidRPr="00812B6A">
              <w:rPr>
                <w:sz w:val="20"/>
                <w:szCs w:val="20"/>
                <w:lang w:val="en-US"/>
              </w:rPr>
              <w:t>+/0/-</w:t>
            </w:r>
          </w:p>
        </w:tc>
        <w:tc>
          <w:tcPr>
            <w:tcW w:w="2699" w:type="dxa"/>
            <w:tcBorders>
              <w:bottom w:val="single" w:sz="4" w:space="0" w:color="BFBFBF" w:themeColor="background1" w:themeShade="BF"/>
            </w:tcBorders>
          </w:tcPr>
          <w:p w14:paraId="5EAC44AC" w14:textId="05E347AE" w:rsidR="006125FC" w:rsidRPr="00812B6A" w:rsidRDefault="00B56516" w:rsidP="006125FC">
            <w:pPr>
              <w:spacing w:before="40" w:after="40"/>
              <w:rPr>
                <w:sz w:val="20"/>
                <w:szCs w:val="20"/>
                <w:lang w:val="en-US"/>
              </w:rPr>
            </w:pPr>
            <w:r w:rsidRPr="00812B6A">
              <w:rPr>
                <w:sz w:val="20"/>
                <w:szCs w:val="20"/>
                <w:lang w:val="en-US"/>
              </w:rPr>
              <w:t xml:space="preserve">Further education in plant protection can increase sensitivity to the negative effects of pesticide use or strengthen the conviction that pesticide use under best practice does not cause negative effects. </w:t>
            </w:r>
          </w:p>
        </w:tc>
        <w:tc>
          <w:tcPr>
            <w:tcW w:w="1235" w:type="dxa"/>
            <w:tcBorders>
              <w:bottom w:val="single" w:sz="4" w:space="0" w:color="BFBFBF" w:themeColor="background1" w:themeShade="BF"/>
            </w:tcBorders>
          </w:tcPr>
          <w:p w14:paraId="11D3597F" w14:textId="277A03F7" w:rsidR="006125FC" w:rsidRPr="00812B6A" w:rsidRDefault="006125FC" w:rsidP="006125FC">
            <w:pPr>
              <w:spacing w:before="40" w:after="40"/>
              <w:rPr>
                <w:sz w:val="20"/>
                <w:szCs w:val="20"/>
                <w:lang w:val="en-US"/>
              </w:rPr>
            </w:pPr>
            <w:r w:rsidRPr="00812B6A">
              <w:rPr>
                <w:sz w:val="20"/>
                <w:szCs w:val="20"/>
                <w:lang w:val="en-US"/>
              </w:rPr>
              <w:t xml:space="preserve">Foster and Rosenzweig </w:t>
            </w:r>
            <w:r w:rsidRPr="00812B6A">
              <w:rPr>
                <w:sz w:val="20"/>
                <w:szCs w:val="20"/>
                <w:lang w:val="en-US"/>
              </w:rPr>
              <w:fldChar w:fldCharType="begin"/>
            </w:r>
            <w:r w:rsidR="00453ED3">
              <w:rPr>
                <w:sz w:val="20"/>
                <w:szCs w:val="20"/>
                <w:lang w:val="en-US"/>
              </w:rPr>
              <w:instrText xml:space="preserve"> ADDIN ZOTERO_ITEM CSL_CITATION {"citationID":"nnfB0gIP","properties":{"formattedCitation":"(2010)","plainCitation":"(2010)","noteIndex":0},"citationItems":[{"id":1485,"uris":["http://zotero.org/users/8375139/items/HB9FWEAG"],"uri":["http://zotero.org/users/8375139/items/HB9FWEAG"],"itemData":{"id":1485,"type":"article-journal","abstract":"Differences in technology levels across countries account for a large component of the differences in wages and per-capita GDP across countries worldwide. This article reviews micro studies of the adoption of new technologies and the use of inputs complementary with new technologies to shed light on the barriers to technology diffusion in low-income countries. Among the factors examined affecting decisions pertaining to technology choice and input allocations are the financial and nonfinancial returns to adoption, one's own learning and social learning, technological externalities, scale economies, schooling, credit constraints, risk and incomplete insurance, and departures from behavioral rules implied by simple models of rationality.","container-title":"Annual Review of Economics","DOI":"10.1146/annurev.economics.102308.124433","ISSN":"1941-1383, 1941-1391","issue":"1","journalAbbreviation":"Annu. Rev. Econ.","language":"en","page":"395-424","source":"DOI.org (Crossref)","title":"Microeconomics of Technology Adoption","volume":"2","author":[{"family":"Foster","given":"Andrew D."},{"family":"Rosenzweig","given":"Mark R."}],"issued":{"date-parts":[["2010",9,4]]}},"label":"page","suppress-author":true}],"schema":"https://github.com/citation-style-language/schema/raw/master/csl-citation.json"}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rPr>
              <w:t>(2010)</w:t>
            </w:r>
            <w:r w:rsidRPr="00812B6A">
              <w:rPr>
                <w:sz w:val="20"/>
                <w:szCs w:val="20"/>
                <w:lang w:val="en-US"/>
              </w:rPr>
              <w:fldChar w:fldCharType="end"/>
            </w:r>
          </w:p>
        </w:tc>
      </w:tr>
      <w:tr w:rsidR="006125FC" w:rsidRPr="005C71CB" w14:paraId="6110B460" w14:textId="77777777" w:rsidTr="00CE75D4">
        <w:trPr>
          <w:trHeight w:val="678"/>
        </w:trPr>
        <w:tc>
          <w:tcPr>
            <w:tcW w:w="709" w:type="dxa"/>
            <w:vMerge/>
            <w:vAlign w:val="center"/>
          </w:tcPr>
          <w:p w14:paraId="1BEA9380" w14:textId="77777777" w:rsidR="006125FC" w:rsidRPr="00812B6A" w:rsidRDefault="006125FC" w:rsidP="006125FC">
            <w:pPr>
              <w:spacing w:before="40" w:after="40"/>
              <w:rPr>
                <w:b/>
                <w:bCs/>
                <w:sz w:val="20"/>
                <w:szCs w:val="20"/>
                <w:lang w:val="en-US"/>
              </w:rPr>
            </w:pPr>
          </w:p>
        </w:tc>
        <w:tc>
          <w:tcPr>
            <w:tcW w:w="1559" w:type="dxa"/>
            <w:tcBorders>
              <w:top w:val="single" w:sz="4" w:space="0" w:color="BFBFBF" w:themeColor="background1" w:themeShade="BF"/>
            </w:tcBorders>
          </w:tcPr>
          <w:p w14:paraId="1129575D" w14:textId="77777777" w:rsidR="006125FC" w:rsidRPr="00812B6A" w:rsidRDefault="006125FC" w:rsidP="006125FC">
            <w:pPr>
              <w:spacing w:before="40" w:after="40"/>
              <w:rPr>
                <w:sz w:val="20"/>
                <w:szCs w:val="20"/>
                <w:lang w:val="en-US"/>
              </w:rPr>
            </w:pPr>
            <w:r w:rsidRPr="00812B6A">
              <w:rPr>
                <w:sz w:val="20"/>
                <w:szCs w:val="20"/>
                <w:lang w:val="en-US"/>
              </w:rPr>
              <w:t>Knowledge about fungus-</w:t>
            </w:r>
            <w:r w:rsidRPr="00812B6A">
              <w:rPr>
                <w:sz w:val="20"/>
                <w:szCs w:val="20"/>
                <w:lang w:val="en-US"/>
              </w:rPr>
              <w:lastRenderedPageBreak/>
              <w:t>resistant grapevines</w:t>
            </w:r>
          </w:p>
        </w:tc>
        <w:tc>
          <w:tcPr>
            <w:tcW w:w="1985" w:type="dxa"/>
            <w:tcBorders>
              <w:top w:val="single" w:sz="4" w:space="0" w:color="BFBFBF" w:themeColor="background1" w:themeShade="BF"/>
            </w:tcBorders>
          </w:tcPr>
          <w:p w14:paraId="7A0957A9" w14:textId="77777777" w:rsidR="006125FC" w:rsidRPr="00812B6A" w:rsidRDefault="006125FC" w:rsidP="006125FC">
            <w:pPr>
              <w:spacing w:before="40" w:after="40"/>
              <w:rPr>
                <w:sz w:val="20"/>
                <w:szCs w:val="20"/>
                <w:lang w:val="en-US"/>
              </w:rPr>
            </w:pPr>
            <w:r w:rsidRPr="00812B6A">
              <w:rPr>
                <w:sz w:val="20"/>
                <w:szCs w:val="20"/>
                <w:lang w:val="en-US"/>
              </w:rPr>
              <w:lastRenderedPageBreak/>
              <w:t xml:space="preserve">Self-assessed knowledge about </w:t>
            </w:r>
            <w:r w:rsidRPr="00812B6A">
              <w:rPr>
                <w:sz w:val="20"/>
                <w:szCs w:val="20"/>
                <w:lang w:val="en-US"/>
              </w:rPr>
              <w:lastRenderedPageBreak/>
              <w:t>fungus-resistant grapevines (FRG)</w:t>
            </w:r>
          </w:p>
        </w:tc>
        <w:tc>
          <w:tcPr>
            <w:tcW w:w="992" w:type="dxa"/>
            <w:tcBorders>
              <w:top w:val="single" w:sz="4" w:space="0" w:color="BFBFBF" w:themeColor="background1" w:themeShade="BF"/>
            </w:tcBorders>
          </w:tcPr>
          <w:p w14:paraId="5374D62B" w14:textId="51159D55" w:rsidR="006125FC" w:rsidRPr="00812B6A" w:rsidRDefault="00D55F77" w:rsidP="00CE75D4">
            <w:pPr>
              <w:spacing w:before="40" w:after="40"/>
              <w:jc w:val="center"/>
              <w:rPr>
                <w:sz w:val="20"/>
                <w:szCs w:val="20"/>
                <w:lang w:val="en-US"/>
              </w:rPr>
            </w:pPr>
            <w:r w:rsidRPr="00812B6A">
              <w:rPr>
                <w:sz w:val="20"/>
                <w:szCs w:val="20"/>
                <w:lang w:val="en-US"/>
              </w:rPr>
              <w:lastRenderedPageBreak/>
              <w:t>+/0/-</w:t>
            </w:r>
          </w:p>
        </w:tc>
        <w:tc>
          <w:tcPr>
            <w:tcW w:w="2699" w:type="dxa"/>
            <w:tcBorders>
              <w:top w:val="single" w:sz="4" w:space="0" w:color="BFBFBF" w:themeColor="background1" w:themeShade="BF"/>
            </w:tcBorders>
          </w:tcPr>
          <w:p w14:paraId="44491F7D" w14:textId="68D44BC5" w:rsidR="006125FC" w:rsidRPr="00812B6A" w:rsidRDefault="00D55F77" w:rsidP="006125FC">
            <w:pPr>
              <w:spacing w:before="40" w:after="40"/>
              <w:rPr>
                <w:sz w:val="20"/>
                <w:szCs w:val="20"/>
                <w:lang w:val="en-US"/>
              </w:rPr>
            </w:pPr>
            <w:r w:rsidRPr="00812B6A">
              <w:rPr>
                <w:sz w:val="20"/>
                <w:szCs w:val="20"/>
                <w:lang w:val="en-US"/>
              </w:rPr>
              <w:t xml:space="preserve">It is unclear whether (self-assessed) knowledgeable growers will increase their </w:t>
            </w:r>
            <w:r w:rsidRPr="00812B6A">
              <w:rPr>
                <w:sz w:val="20"/>
                <w:szCs w:val="20"/>
                <w:lang w:val="en-US"/>
              </w:rPr>
              <w:lastRenderedPageBreak/>
              <w:t xml:space="preserve">land share under fungus-resistant varieties. </w:t>
            </w:r>
          </w:p>
        </w:tc>
        <w:tc>
          <w:tcPr>
            <w:tcW w:w="1235" w:type="dxa"/>
            <w:tcBorders>
              <w:top w:val="single" w:sz="4" w:space="0" w:color="BFBFBF" w:themeColor="background1" w:themeShade="BF"/>
            </w:tcBorders>
          </w:tcPr>
          <w:p w14:paraId="4449DF84" w14:textId="39995C50" w:rsidR="006125FC" w:rsidRPr="00812B6A" w:rsidRDefault="006125FC" w:rsidP="006125FC">
            <w:pPr>
              <w:spacing w:before="40" w:after="40"/>
              <w:rPr>
                <w:sz w:val="20"/>
                <w:szCs w:val="20"/>
                <w:lang w:val="en-US"/>
              </w:rPr>
            </w:pPr>
            <w:r w:rsidRPr="00812B6A">
              <w:rPr>
                <w:sz w:val="20"/>
                <w:szCs w:val="20"/>
                <w:lang w:val="fr-CH"/>
              </w:rPr>
              <w:lastRenderedPageBreak/>
              <w:t xml:space="preserve">Morris et al. </w:t>
            </w:r>
            <w:r w:rsidRPr="00812B6A">
              <w:rPr>
                <w:sz w:val="20"/>
                <w:szCs w:val="20"/>
                <w:lang w:val="en-US"/>
              </w:rPr>
              <w:fldChar w:fldCharType="begin"/>
            </w:r>
            <w:r w:rsidR="00453ED3">
              <w:rPr>
                <w:sz w:val="20"/>
                <w:szCs w:val="20"/>
                <w:lang w:val="fr-CH"/>
              </w:rPr>
              <w:instrText xml:space="preserve"> ADDIN ZOTERO_ITEM CSL_CITATION {"citationID":"cVEKJTkr","properties":{"formattedCitation":"(2017)","plainCitation":"(2017)","noteIndex":0},"citationItems":[{"id":1483,"uris":["http://zotero.org/users/8375139/items/4IBWGV5G"],"uri":["http://zotero.org/users/8375139/items/4IBWGV5G"],"itemData":{"id":1483,"type":"article-journal","container-title":"Journal of Rural Studies","DOI":"10.1016/j.jrurstud.2017.05.014","ISSN":"07430167","journalAbbreviation":"Journal of Rural Studies","language":"en","page":"132-143","source":"DOI.org (Crossref)","title":"Farm diversification, entrepreneurship and technology adoption: Analysis of upland farmers in Wales","title-short":"Farm diversification, entrepreneurship and technology adoption","volume":"53","author":[{"family":"Morris","given":"Wyn"},{"family":"Henley","given":"Andrew"},{"family":"Dowell","given":"David"}],"issued":{"date-parts":[["2017",7]]}},"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lang w:val="fr-FR"/>
              </w:rPr>
              <w:t>(2017)</w:t>
            </w:r>
            <w:r w:rsidRPr="00812B6A">
              <w:rPr>
                <w:sz w:val="20"/>
                <w:szCs w:val="20"/>
                <w:lang w:val="en-US"/>
              </w:rPr>
              <w:fldChar w:fldCharType="end"/>
            </w:r>
            <w:r w:rsidRPr="00812B6A">
              <w:rPr>
                <w:sz w:val="20"/>
                <w:szCs w:val="20"/>
                <w:lang w:val="fr-CH"/>
              </w:rPr>
              <w:t>; Fernandez-</w:t>
            </w:r>
            <w:r w:rsidRPr="00812B6A">
              <w:rPr>
                <w:sz w:val="20"/>
                <w:szCs w:val="20"/>
                <w:lang w:val="fr-CH"/>
              </w:rPr>
              <w:lastRenderedPageBreak/>
              <w:t xml:space="preserve">Cornejo et al. </w:t>
            </w:r>
            <w:r w:rsidRPr="00812B6A">
              <w:rPr>
                <w:sz w:val="20"/>
                <w:szCs w:val="20"/>
                <w:lang w:val="en-US"/>
              </w:rPr>
              <w:fldChar w:fldCharType="begin"/>
            </w:r>
            <w:r w:rsidR="00453ED3">
              <w:rPr>
                <w:sz w:val="20"/>
                <w:szCs w:val="20"/>
                <w:lang w:val="fr-CH"/>
              </w:rPr>
              <w:instrText xml:space="preserve"> ADDIN ZOTERO_ITEM CSL_CITATION {"citationID":"LST65JZY","properties":{"formattedCitation":"(2007)","plainCitation":"(2007)","noteIndex":0},"citationItems":[{"id":1481,"uris":["http://zotero.org/users/8375139/items/WQST4J93"],"uri":["http://zotero.org/users/8375139/items/WQST4J93"],"itemData":{"id":1481,"type":"report","number":"1477-2016-121070","title":"Off-farm income, technology adoption, and farm economic performance","URL":"https://www.ers.usda.gov/webdocs/publications/45734/11796_err36_1_.pdf?v=481.3","author":[{"family":"Fernandez-Cornejo","given":"Jorge"},{"family":"Mishra","given":"Ashok K."},{"family":"Nehring","given":"Richard F."},{"family":"Hendricks","given":"Chad"},{"family":"Southern","given":"Malaya"},{"family":"Gregory","given":"Alexandra"}],"issued":{"date-parts":[["2007"]]}},"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rPr>
              <w:t>(2007)</w:t>
            </w:r>
            <w:r w:rsidRPr="00812B6A">
              <w:rPr>
                <w:sz w:val="20"/>
                <w:szCs w:val="20"/>
                <w:lang w:val="en-US"/>
              </w:rPr>
              <w:fldChar w:fldCharType="end"/>
            </w:r>
          </w:p>
        </w:tc>
      </w:tr>
      <w:tr w:rsidR="006125FC" w:rsidRPr="00F43C73" w14:paraId="586A96CE" w14:textId="77777777" w:rsidTr="00CE75D4">
        <w:trPr>
          <w:trHeight w:val="283"/>
        </w:trPr>
        <w:tc>
          <w:tcPr>
            <w:tcW w:w="709" w:type="dxa"/>
            <w:vMerge/>
            <w:vAlign w:val="center"/>
          </w:tcPr>
          <w:p w14:paraId="58E4B684" w14:textId="77777777" w:rsidR="006125FC" w:rsidRPr="00812B6A" w:rsidRDefault="006125FC" w:rsidP="006125FC">
            <w:pPr>
              <w:spacing w:before="40" w:after="40"/>
              <w:rPr>
                <w:b/>
                <w:bCs/>
                <w:sz w:val="20"/>
                <w:szCs w:val="20"/>
                <w:lang w:val="en-US"/>
              </w:rPr>
            </w:pPr>
          </w:p>
        </w:tc>
        <w:tc>
          <w:tcPr>
            <w:tcW w:w="1559" w:type="dxa"/>
          </w:tcPr>
          <w:p w14:paraId="593AD884" w14:textId="77777777" w:rsidR="006125FC" w:rsidRPr="00812B6A" w:rsidRDefault="006125FC" w:rsidP="006125FC">
            <w:pPr>
              <w:spacing w:before="40" w:after="40"/>
              <w:rPr>
                <w:sz w:val="20"/>
                <w:szCs w:val="20"/>
                <w:lang w:val="en-US"/>
              </w:rPr>
            </w:pPr>
            <w:r w:rsidRPr="00812B6A">
              <w:rPr>
                <w:sz w:val="20"/>
                <w:szCs w:val="20"/>
                <w:lang w:val="en-US"/>
              </w:rPr>
              <w:t>Replantation rate</w:t>
            </w:r>
          </w:p>
        </w:tc>
        <w:tc>
          <w:tcPr>
            <w:tcW w:w="1985" w:type="dxa"/>
          </w:tcPr>
          <w:p w14:paraId="419135BE" w14:textId="77777777" w:rsidR="006125FC" w:rsidRPr="00812B6A" w:rsidRDefault="006125FC" w:rsidP="006125FC">
            <w:pPr>
              <w:spacing w:before="40" w:after="40"/>
              <w:rPr>
                <w:sz w:val="20"/>
                <w:szCs w:val="20"/>
                <w:lang w:val="en-US"/>
              </w:rPr>
            </w:pPr>
            <w:r w:rsidRPr="00812B6A">
              <w:rPr>
                <w:sz w:val="20"/>
                <w:szCs w:val="20"/>
                <w:lang w:val="en-US"/>
              </w:rPr>
              <w:t>Replantation rate in next 10 years</w:t>
            </w:r>
          </w:p>
        </w:tc>
        <w:tc>
          <w:tcPr>
            <w:tcW w:w="992" w:type="dxa"/>
          </w:tcPr>
          <w:p w14:paraId="7AC7822D" w14:textId="059ABCF8" w:rsidR="006125FC" w:rsidRPr="00812B6A" w:rsidRDefault="0048789A" w:rsidP="00CE75D4">
            <w:pPr>
              <w:spacing w:before="40" w:after="40"/>
              <w:jc w:val="center"/>
              <w:rPr>
                <w:sz w:val="20"/>
                <w:szCs w:val="20"/>
                <w:lang w:val="en-US"/>
              </w:rPr>
            </w:pPr>
            <w:r w:rsidRPr="00812B6A">
              <w:rPr>
                <w:sz w:val="20"/>
                <w:szCs w:val="20"/>
                <w:lang w:val="en-US"/>
              </w:rPr>
              <w:t>+</w:t>
            </w:r>
          </w:p>
        </w:tc>
        <w:tc>
          <w:tcPr>
            <w:tcW w:w="2699" w:type="dxa"/>
          </w:tcPr>
          <w:p w14:paraId="52D9F57A" w14:textId="05EAB272" w:rsidR="006125FC" w:rsidRPr="00812B6A" w:rsidRDefault="0048789A" w:rsidP="006125FC">
            <w:pPr>
              <w:spacing w:before="40" w:after="40"/>
              <w:rPr>
                <w:sz w:val="20"/>
                <w:szCs w:val="20"/>
                <w:lang w:val="en-US"/>
              </w:rPr>
            </w:pPr>
            <w:r w:rsidRPr="00812B6A">
              <w:rPr>
                <w:sz w:val="20"/>
                <w:szCs w:val="20"/>
                <w:lang w:val="en-US"/>
              </w:rPr>
              <w:t xml:space="preserve">Growers who will replant </w:t>
            </w:r>
            <w:r w:rsidR="00DD1D5C" w:rsidRPr="00812B6A">
              <w:rPr>
                <w:sz w:val="20"/>
                <w:szCs w:val="20"/>
                <w:lang w:val="en-US"/>
              </w:rPr>
              <w:t xml:space="preserve">(a large) </w:t>
            </w:r>
            <w:r w:rsidRPr="00812B6A">
              <w:rPr>
                <w:sz w:val="20"/>
                <w:szCs w:val="20"/>
                <w:lang w:val="en-US"/>
              </w:rPr>
              <w:t>part of the vineyard in the next 10 years will increase the land share under fungus-resistant varieties</w:t>
            </w:r>
            <w:r w:rsidR="00DD58F6" w:rsidRPr="00812B6A">
              <w:rPr>
                <w:sz w:val="20"/>
                <w:szCs w:val="20"/>
                <w:lang w:val="en-US"/>
              </w:rPr>
              <w:t xml:space="preserve"> (more)</w:t>
            </w:r>
            <w:r w:rsidRPr="00812B6A">
              <w:rPr>
                <w:sz w:val="20"/>
                <w:szCs w:val="20"/>
                <w:lang w:val="en-US"/>
              </w:rPr>
              <w:t>.</w:t>
            </w:r>
          </w:p>
        </w:tc>
        <w:tc>
          <w:tcPr>
            <w:tcW w:w="1235" w:type="dxa"/>
          </w:tcPr>
          <w:p w14:paraId="0EAB305A" w14:textId="0DF4E1D0" w:rsidR="006125FC" w:rsidRPr="00812B6A" w:rsidRDefault="006125FC" w:rsidP="006125FC">
            <w:pPr>
              <w:spacing w:before="40" w:after="40"/>
              <w:rPr>
                <w:sz w:val="20"/>
                <w:szCs w:val="20"/>
                <w:lang w:val="en-US"/>
              </w:rPr>
            </w:pPr>
            <w:r w:rsidRPr="00812B6A">
              <w:rPr>
                <w:sz w:val="20"/>
                <w:szCs w:val="20"/>
                <w:lang w:val="en-US"/>
              </w:rPr>
              <w:t xml:space="preserve">Carbone et al. </w:t>
            </w:r>
            <w:r w:rsidRPr="00812B6A">
              <w:rPr>
                <w:sz w:val="20"/>
                <w:szCs w:val="20"/>
                <w:lang w:val="en-US"/>
              </w:rPr>
              <w:fldChar w:fldCharType="begin"/>
            </w:r>
            <w:r w:rsidR="00453ED3">
              <w:rPr>
                <w:sz w:val="20"/>
                <w:szCs w:val="20"/>
                <w:lang w:val="en-US"/>
              </w:rPr>
              <w:instrText xml:space="preserve"> ADDIN ZOTERO_ITEM CSL_CITATION {"citationID":"tS5nGDiV","properties":{"formattedCitation":"(2019)","plainCitation":"(2019)","noteIndex":0},"citationItems":[{"id":198,"uris":["http://zotero.org/users/8375139/items/P7YPE3EV"],"uri":["http://zotero.org/users/8375139/items/P7YPE3EV"],"itemData":{"id":198,"type":"article-journal","container-title":"Wine Economics and Policy","DOI":"10.1016/j.wep.2019.02.004","ISSN":"22129774","issue":"1","journalAbbreviation":"Wine Economics and Policy","language":"en","page":"38-48","source":"DOI.org (Crossref)","title":"The age dynamics of vineyards: Past trends affecting the future","title-short":"The age dynamics of vineyards","volume":"8","author":[{"family":"Carbone","given":"Anna"},{"family":"Quici","given":"Luisangela"},{"family":"Pica","given":"Giovanni"}],"issued":{"date-parts":[["2019",6]]}},"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rPr>
              <w:t>(2019)</w:t>
            </w:r>
            <w:r w:rsidRPr="00812B6A">
              <w:rPr>
                <w:sz w:val="20"/>
                <w:szCs w:val="20"/>
                <w:lang w:val="en-US"/>
              </w:rPr>
              <w:fldChar w:fldCharType="end"/>
            </w:r>
          </w:p>
        </w:tc>
      </w:tr>
      <w:tr w:rsidR="006125FC" w:rsidRPr="00F319B4" w14:paraId="00C1C5D6" w14:textId="77777777" w:rsidTr="00CE75D4">
        <w:trPr>
          <w:trHeight w:val="273"/>
        </w:trPr>
        <w:tc>
          <w:tcPr>
            <w:tcW w:w="709" w:type="dxa"/>
            <w:vMerge/>
            <w:tcBorders>
              <w:bottom w:val="single" w:sz="8" w:space="0" w:color="auto"/>
            </w:tcBorders>
            <w:vAlign w:val="center"/>
          </w:tcPr>
          <w:p w14:paraId="0C2839D3" w14:textId="77777777" w:rsidR="006125FC" w:rsidRPr="00812B6A" w:rsidRDefault="006125FC" w:rsidP="006125FC">
            <w:pPr>
              <w:spacing w:before="40" w:after="40"/>
              <w:rPr>
                <w:b/>
                <w:bCs/>
                <w:sz w:val="20"/>
                <w:szCs w:val="20"/>
                <w:lang w:val="en-US"/>
              </w:rPr>
            </w:pPr>
          </w:p>
        </w:tc>
        <w:tc>
          <w:tcPr>
            <w:tcW w:w="1559" w:type="dxa"/>
            <w:tcBorders>
              <w:bottom w:val="single" w:sz="8" w:space="0" w:color="auto"/>
            </w:tcBorders>
          </w:tcPr>
          <w:p w14:paraId="7E3F1716" w14:textId="77777777" w:rsidR="006125FC" w:rsidRPr="00812B6A" w:rsidRDefault="006125FC" w:rsidP="006125FC">
            <w:pPr>
              <w:spacing w:before="40" w:after="40"/>
              <w:rPr>
                <w:sz w:val="20"/>
                <w:szCs w:val="20"/>
                <w:lang w:val="en-US"/>
              </w:rPr>
            </w:pPr>
            <w:r w:rsidRPr="00812B6A">
              <w:rPr>
                <w:sz w:val="20"/>
                <w:szCs w:val="20"/>
                <w:lang w:val="en-US"/>
              </w:rPr>
              <w:t>Farm successor</w:t>
            </w:r>
          </w:p>
        </w:tc>
        <w:tc>
          <w:tcPr>
            <w:tcW w:w="1985" w:type="dxa"/>
            <w:tcBorders>
              <w:bottom w:val="single" w:sz="8" w:space="0" w:color="auto"/>
            </w:tcBorders>
          </w:tcPr>
          <w:p w14:paraId="5565931D" w14:textId="77777777" w:rsidR="006125FC" w:rsidRPr="00812B6A" w:rsidRDefault="006125FC" w:rsidP="006125FC">
            <w:pPr>
              <w:spacing w:before="40" w:after="40"/>
              <w:rPr>
                <w:sz w:val="20"/>
                <w:szCs w:val="20"/>
                <w:lang w:val="en-US"/>
              </w:rPr>
            </w:pPr>
            <w:r w:rsidRPr="00812B6A">
              <w:rPr>
                <w:sz w:val="20"/>
                <w:szCs w:val="20"/>
                <w:lang w:val="en-US"/>
              </w:rPr>
              <w:t>Does the farmer have a successor for the farm?</w:t>
            </w:r>
          </w:p>
        </w:tc>
        <w:tc>
          <w:tcPr>
            <w:tcW w:w="992" w:type="dxa"/>
            <w:tcBorders>
              <w:bottom w:val="single" w:sz="8" w:space="0" w:color="auto"/>
            </w:tcBorders>
          </w:tcPr>
          <w:p w14:paraId="34C99D92" w14:textId="26C09A6E" w:rsidR="006125FC" w:rsidRPr="00812B6A" w:rsidRDefault="00850CCC" w:rsidP="00CE75D4">
            <w:pPr>
              <w:spacing w:before="40" w:after="40"/>
              <w:jc w:val="center"/>
              <w:rPr>
                <w:sz w:val="20"/>
                <w:szCs w:val="20"/>
                <w:lang w:val="en-US"/>
              </w:rPr>
            </w:pPr>
            <w:r w:rsidRPr="00812B6A">
              <w:rPr>
                <w:sz w:val="20"/>
                <w:szCs w:val="20"/>
                <w:lang w:val="en-US"/>
              </w:rPr>
              <w:t>+/0/-</w:t>
            </w:r>
          </w:p>
        </w:tc>
        <w:tc>
          <w:tcPr>
            <w:tcW w:w="2699" w:type="dxa"/>
            <w:tcBorders>
              <w:bottom w:val="single" w:sz="8" w:space="0" w:color="auto"/>
            </w:tcBorders>
          </w:tcPr>
          <w:p w14:paraId="35AEC24E" w14:textId="2FA6C256" w:rsidR="006125FC" w:rsidRPr="00812B6A" w:rsidRDefault="00850CCC" w:rsidP="006125FC">
            <w:pPr>
              <w:spacing w:before="40" w:after="40"/>
              <w:rPr>
                <w:sz w:val="20"/>
                <w:szCs w:val="20"/>
                <w:lang w:val="en-US"/>
              </w:rPr>
            </w:pPr>
            <w:r w:rsidRPr="00812B6A">
              <w:rPr>
                <w:sz w:val="20"/>
                <w:szCs w:val="20"/>
                <w:lang w:val="en-US"/>
              </w:rPr>
              <w:t xml:space="preserve">Farms with succession may increase, decrease or keep the land share under fungus-resistant varieties constant. </w:t>
            </w:r>
          </w:p>
        </w:tc>
        <w:tc>
          <w:tcPr>
            <w:tcW w:w="1235" w:type="dxa"/>
            <w:tcBorders>
              <w:bottom w:val="single" w:sz="8" w:space="0" w:color="auto"/>
            </w:tcBorders>
          </w:tcPr>
          <w:p w14:paraId="0C610321" w14:textId="4FE58AF8" w:rsidR="006125FC" w:rsidRPr="00812B6A" w:rsidRDefault="006125FC" w:rsidP="006125FC">
            <w:pPr>
              <w:spacing w:before="40" w:after="40"/>
              <w:rPr>
                <w:sz w:val="20"/>
                <w:szCs w:val="20"/>
                <w:lang w:val="en-US"/>
              </w:rPr>
            </w:pPr>
            <w:r w:rsidRPr="00812B6A">
              <w:rPr>
                <w:sz w:val="20"/>
                <w:szCs w:val="20"/>
                <w:lang w:val="en-US"/>
              </w:rPr>
              <w:t xml:space="preserve">Inwood and Sharp </w:t>
            </w:r>
            <w:r w:rsidRPr="00812B6A">
              <w:rPr>
                <w:sz w:val="20"/>
                <w:szCs w:val="20"/>
                <w:lang w:val="en-US"/>
              </w:rPr>
              <w:fldChar w:fldCharType="begin"/>
            </w:r>
            <w:r w:rsidR="00453ED3">
              <w:rPr>
                <w:sz w:val="20"/>
                <w:szCs w:val="20"/>
                <w:lang w:val="en-US"/>
              </w:rPr>
              <w:instrText xml:space="preserve"> ADDIN ZOTERO_ITEM CSL_CITATION {"citationID":"nihsCAFh","properties":{"formattedCitation":"(2012)","plainCitation":"(2012)","noteIndex":0},"citationItems":[{"id":1484,"uris":["http://zotero.org/users/8375139/items/I2BBR23M"],"uri":["http://zotero.org/users/8375139/items/I2BBR23M"],"itemData":{"id":1484,"type":"article-journal","container-title":"Journal of Rural Studies","DOI":"10.1016/j.jrurstud.2011.07.005","ISSN":"07430167","issue":"1","journalAbbreviation":"Journal of Rural Studies","language":"en","page":"107-117","source":"DOI.org (Crossref)","title":"Farm persistence and adaptation at the rural–urban interface: Succession and farm adjustment","title-short":"Farm persistence and adaptation at the rural–urban interface","volume":"28","author":[{"family":"Inwood","given":"Shoshanah M."},{"family":"Sharp","given":"Jeff S."}],"issued":{"date-parts":[["2012",1]]}},"label":"page","suppress-author":true}],"schema":"https://github.com/citation-style-language/schema/raw/master/csl-citation.json"}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rPr>
              <w:t>(2012)</w:t>
            </w:r>
            <w:r w:rsidRPr="00812B6A">
              <w:rPr>
                <w:sz w:val="20"/>
                <w:szCs w:val="20"/>
                <w:lang w:val="en-US"/>
              </w:rPr>
              <w:fldChar w:fldCharType="end"/>
            </w:r>
          </w:p>
        </w:tc>
      </w:tr>
      <w:tr w:rsidR="00E95579" w:rsidRPr="00DA255F" w14:paraId="5F3C16CC" w14:textId="77777777" w:rsidTr="00CE75D4">
        <w:trPr>
          <w:trHeight w:val="669"/>
        </w:trPr>
        <w:tc>
          <w:tcPr>
            <w:tcW w:w="709" w:type="dxa"/>
            <w:vMerge w:val="restart"/>
            <w:tcBorders>
              <w:top w:val="single" w:sz="8" w:space="0" w:color="auto"/>
            </w:tcBorders>
            <w:textDirection w:val="btLr"/>
            <w:vAlign w:val="center"/>
          </w:tcPr>
          <w:p w14:paraId="24CF42BD" w14:textId="77777777" w:rsidR="00E95579" w:rsidRPr="00812B6A" w:rsidRDefault="00E95579" w:rsidP="00E95579">
            <w:pPr>
              <w:spacing w:before="40" w:after="40"/>
              <w:ind w:left="113" w:right="113"/>
              <w:jc w:val="center"/>
              <w:rPr>
                <w:b/>
                <w:bCs/>
                <w:sz w:val="20"/>
                <w:szCs w:val="20"/>
                <w:lang w:val="en-US"/>
              </w:rPr>
            </w:pPr>
            <w:r w:rsidRPr="00812B6A">
              <w:rPr>
                <w:b/>
                <w:bCs/>
                <w:sz w:val="20"/>
                <w:szCs w:val="20"/>
                <w:lang w:val="en-US"/>
              </w:rPr>
              <w:t>Regional    characteristics</w:t>
            </w:r>
          </w:p>
        </w:tc>
        <w:tc>
          <w:tcPr>
            <w:tcW w:w="1559" w:type="dxa"/>
            <w:tcBorders>
              <w:top w:val="single" w:sz="8" w:space="0" w:color="auto"/>
            </w:tcBorders>
          </w:tcPr>
          <w:p w14:paraId="3E4015A4" w14:textId="77777777" w:rsidR="00E95579" w:rsidRPr="00812B6A" w:rsidRDefault="00E95579" w:rsidP="00E95579">
            <w:pPr>
              <w:spacing w:before="40" w:after="40"/>
              <w:rPr>
                <w:sz w:val="20"/>
                <w:szCs w:val="20"/>
                <w:lang w:val="en-US"/>
              </w:rPr>
            </w:pPr>
            <w:r w:rsidRPr="00812B6A">
              <w:rPr>
                <w:sz w:val="20"/>
                <w:szCs w:val="20"/>
                <w:lang w:val="en-US"/>
              </w:rPr>
              <w:t>Peronospora viticola infection risk</w:t>
            </w:r>
          </w:p>
        </w:tc>
        <w:tc>
          <w:tcPr>
            <w:tcW w:w="1985" w:type="dxa"/>
            <w:tcBorders>
              <w:top w:val="single" w:sz="8" w:space="0" w:color="auto"/>
            </w:tcBorders>
          </w:tcPr>
          <w:p w14:paraId="3B8B16C6" w14:textId="77777777" w:rsidR="00E95579" w:rsidRPr="00812B6A" w:rsidRDefault="00E95579" w:rsidP="00E95579">
            <w:pPr>
              <w:spacing w:before="40" w:after="40"/>
              <w:rPr>
                <w:sz w:val="20"/>
                <w:szCs w:val="20"/>
                <w:lang w:val="en-US"/>
              </w:rPr>
            </w:pPr>
            <w:r w:rsidRPr="00812B6A">
              <w:rPr>
                <w:sz w:val="20"/>
                <w:szCs w:val="20"/>
                <w:lang w:val="en-US"/>
              </w:rPr>
              <w:t>Average peronospora viticola infection risk index between 2012 and 2021 from the nearest weather station</w:t>
            </w:r>
          </w:p>
        </w:tc>
        <w:tc>
          <w:tcPr>
            <w:tcW w:w="992" w:type="dxa"/>
            <w:tcBorders>
              <w:top w:val="single" w:sz="8" w:space="0" w:color="auto"/>
            </w:tcBorders>
          </w:tcPr>
          <w:p w14:paraId="61F57229" w14:textId="63AC22F8" w:rsidR="00E95579" w:rsidRPr="00812B6A" w:rsidRDefault="00E95579" w:rsidP="00E95579">
            <w:pPr>
              <w:spacing w:before="40" w:after="40"/>
              <w:jc w:val="center"/>
              <w:rPr>
                <w:sz w:val="20"/>
                <w:szCs w:val="20"/>
                <w:lang w:val="en-US"/>
              </w:rPr>
            </w:pPr>
            <w:r w:rsidRPr="00812B6A">
              <w:rPr>
                <w:sz w:val="20"/>
                <w:szCs w:val="20"/>
                <w:lang w:val="en-US"/>
              </w:rPr>
              <w:t>+</w:t>
            </w:r>
          </w:p>
        </w:tc>
        <w:tc>
          <w:tcPr>
            <w:tcW w:w="2699" w:type="dxa"/>
            <w:tcBorders>
              <w:top w:val="single" w:sz="8" w:space="0" w:color="auto"/>
            </w:tcBorders>
          </w:tcPr>
          <w:p w14:paraId="20296CA2" w14:textId="7030E362" w:rsidR="00E95579" w:rsidRPr="00812B6A" w:rsidRDefault="00E95579" w:rsidP="00E95579">
            <w:pPr>
              <w:spacing w:before="40" w:after="40"/>
              <w:rPr>
                <w:sz w:val="20"/>
                <w:szCs w:val="20"/>
                <w:lang w:val="en-US"/>
              </w:rPr>
            </w:pPr>
            <w:r w:rsidRPr="00812B6A">
              <w:rPr>
                <w:sz w:val="20"/>
                <w:szCs w:val="20"/>
                <w:lang w:val="en-US"/>
              </w:rPr>
              <w:t xml:space="preserve">Regions with higher fungal pest pressure are </w:t>
            </w:r>
            <w:r w:rsidR="00AD7FFB" w:rsidRPr="00812B6A">
              <w:rPr>
                <w:sz w:val="20"/>
                <w:szCs w:val="20"/>
                <w:lang w:val="en-US"/>
              </w:rPr>
              <w:t>expected</w:t>
            </w:r>
            <w:r w:rsidRPr="00812B6A">
              <w:rPr>
                <w:sz w:val="20"/>
                <w:szCs w:val="20"/>
                <w:lang w:val="en-US"/>
              </w:rPr>
              <w:t xml:space="preserve"> to increase their land share under fungus-resistant varieties</w:t>
            </w:r>
            <w:r w:rsidR="00AD7FFB" w:rsidRPr="00812B6A">
              <w:rPr>
                <w:sz w:val="20"/>
                <w:szCs w:val="20"/>
                <w:lang w:val="en-US"/>
              </w:rPr>
              <w:t>, as they are particularly affected and thus can especially benefit from and increase in the land share.</w:t>
            </w:r>
          </w:p>
        </w:tc>
        <w:tc>
          <w:tcPr>
            <w:tcW w:w="1235" w:type="dxa"/>
            <w:vMerge w:val="restart"/>
            <w:tcBorders>
              <w:top w:val="single" w:sz="8" w:space="0" w:color="auto"/>
            </w:tcBorders>
            <w:vAlign w:val="center"/>
          </w:tcPr>
          <w:p w14:paraId="70393F3E" w14:textId="643E5A58" w:rsidR="00E95579" w:rsidRPr="00812B6A" w:rsidRDefault="00E95579" w:rsidP="00E95579">
            <w:pPr>
              <w:spacing w:before="40" w:after="40"/>
              <w:rPr>
                <w:sz w:val="20"/>
                <w:szCs w:val="20"/>
                <w:lang w:val="en-US"/>
              </w:rPr>
            </w:pPr>
            <w:r w:rsidRPr="00812B6A">
              <w:rPr>
                <w:sz w:val="20"/>
                <w:szCs w:val="20"/>
                <w:lang w:val="en-US"/>
              </w:rPr>
              <w:t xml:space="preserve">Finger et al. </w:t>
            </w:r>
            <w:r w:rsidRPr="00812B6A">
              <w:rPr>
                <w:sz w:val="20"/>
                <w:szCs w:val="20"/>
                <w:lang w:val="en-US"/>
              </w:rPr>
              <w:fldChar w:fldCharType="begin"/>
            </w:r>
            <w:r w:rsidR="00453ED3">
              <w:rPr>
                <w:sz w:val="20"/>
                <w:szCs w:val="20"/>
                <w:lang w:val="en-US"/>
              </w:rPr>
              <w:instrText xml:space="preserve"> ADDIN ZOTERO_ITEM CSL_CITATION {"citationID":"5R7sg3BS","properties":{"formattedCitation":"(2022)","plainCitation":"(2022)","noteIndex":0},"citationItems":[{"id":1506,"uris":["http://zotero.org/users/8375139/items/5VV3LQK7"],"uri":["http://zotero.org/users/8375139/items/5VV3LQK7"],"itemData":{"id":1506,"type":"article-journal","container-title":"Applied Economic Perspectives and Policy","DOI":"10.1002/aepp.13337","ISSN":"2040-5790, 2040-5804","journalAbbreviation":"Applied Eco Perspectives Pol","language":"en","page":"aepp.13337","source":"DOI.org (Crossref)","title":"Short supply chains and the adoption of fungus‐resistant grapevine varieties","author":[{"family":"Finger","given":"Robert"},{"family":"Zachmann","given":"Lucca"},{"family":"McCallum","given":"Chloe"}],"issued":{"date-parts":[["2022",12,23]]}},"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rPr>
              <w:t>(2022)</w:t>
            </w:r>
            <w:r w:rsidRPr="00812B6A">
              <w:rPr>
                <w:sz w:val="20"/>
                <w:szCs w:val="20"/>
                <w:lang w:val="en-US"/>
              </w:rPr>
              <w:fldChar w:fldCharType="end"/>
            </w:r>
            <w:r w:rsidRPr="00812B6A">
              <w:rPr>
                <w:sz w:val="20"/>
                <w:szCs w:val="20"/>
                <w:lang w:val="en-US"/>
              </w:rPr>
              <w:t xml:space="preserve">; Knapp et al. </w:t>
            </w:r>
            <w:r w:rsidRPr="00812B6A">
              <w:rPr>
                <w:sz w:val="20"/>
                <w:szCs w:val="20"/>
                <w:lang w:val="en-US"/>
              </w:rPr>
              <w:fldChar w:fldCharType="begin"/>
            </w:r>
            <w:r w:rsidR="00453ED3">
              <w:rPr>
                <w:sz w:val="20"/>
                <w:szCs w:val="20"/>
                <w:lang w:val="en-US"/>
              </w:rPr>
              <w:instrText xml:space="preserve"> ADDIN ZOTERO_ITEM CSL_CITATION {"citationID":"pEU8dVMI","properties":{"formattedCitation":"(2019)","plainCitation":"(2019)","noteIndex":0},"citationItems":[{"id":631,"uris":["http://zotero.org/groups/4410421/items/3SKCKXAV"],"uri":["http://zotero.org/groups/4410421/items/3SKCKXAV"],"itemData":{"id":631,"type":"article-journal","abstract":"Background: In 2017, we investigated measures adopted by Swiss grape growers in response to Drosophila suzukii by conducting a survey presenting information obtained from 372 growers on 1708 vineyards. Results: We found the strategies adopted to be heterogeneous and largely dependent on grape variety (table vs. wine grapes). We identified six clusters of control methods to combat D. suzukii, the most important of which involves using a combination of control methods such as insecticides, mass trapping and sanitation measures, especially pinching of foliage or mowing and mulching. Grape growers in our sample rely primarily on information from public institutions or other growers and the majority plan to continue taking sanitation measures to combat D. suzukii. Conclusion: Our results suggest that strategies adopted in Switzerland differ widely, not only between growers, but also at a vineyard and regional level. Thus, policies and extension services should be targeted (e.g. to varieties and regions) and tailored to types of growers. We find that preventive measures are important when combatting D. suzukii and can reduce post-infestation measures such as pesticide usage. In our sample, biological insecticides, such as kaolin, played a vital role in the control of D. suzukii and merit further support. © 2019 Society of Chemical Industry.","container-title":"Pest Management Science","DOI":"10.1002/ps.5397","issue":"10","page":"2820-2829","title":"Management strategies against Drosophila suzukii: insights into Swiss grape growers choices","volume":"75","author":[{"family":"Knapp","given":"Ladina"},{"family":"Mazzi","given":"Dominique"},{"family":"Finger","given":"Robert"}],"issued":{"date-parts":[["2019"]]}},"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rPr>
              <w:t>(2019)</w:t>
            </w:r>
            <w:r w:rsidRPr="00812B6A">
              <w:rPr>
                <w:sz w:val="20"/>
                <w:szCs w:val="20"/>
                <w:lang w:val="en-US"/>
              </w:rPr>
              <w:fldChar w:fldCharType="end"/>
            </w:r>
            <w:r w:rsidRPr="00812B6A">
              <w:rPr>
                <w:sz w:val="20"/>
                <w:szCs w:val="20"/>
                <w:lang w:val="en-US"/>
              </w:rPr>
              <w:t xml:space="preserve">; Masset and Weisskopf </w:t>
            </w:r>
            <w:r w:rsidRPr="00812B6A">
              <w:rPr>
                <w:sz w:val="20"/>
                <w:szCs w:val="20"/>
                <w:lang w:val="en-US"/>
              </w:rPr>
              <w:fldChar w:fldCharType="begin"/>
            </w:r>
            <w:r w:rsidR="00453ED3">
              <w:rPr>
                <w:sz w:val="20"/>
                <w:szCs w:val="20"/>
                <w:lang w:val="en-US"/>
              </w:rPr>
              <w:instrText xml:space="preserve"> ADDIN ZOTERO_ITEM CSL_CITATION {"citationID":"4IGtEWPF","properties":{"formattedCitation":"(2019)","plainCitation":"(2019)","noteIndex":0},"citationItems":[{"id":260,"uris":["http://zotero.org/users/8375139/items/D3RZH4D7"],"uri":["http://zotero.org/users/8375139/items/D3RZH4D7"],"itemData":{"id":260,"type":"chapter","container-title":"The Palgrave Handbook of Wine Industry Economics","event-place":"Cham","ISBN":"978-3-319-98632-6","language":"en","note":"DOI: 10.1007/978-3-319-98633-3_27","page":"507-522","publisher":"Springer International Publishing","publisher-place":"Cham","source":"DOI.org (Crossref)","title":"Producing and Consuming Locally: Switzerland as a Local Market","title-short":"Producing and Consuming Locally","URL":"http://link.springer.com/10.1007/978-3-319-98633-3_27","editor":[{"family":"Alonso Ugaglia","given":"Adeline"},{"family":"Cardebat","given":"Jean-Marie"},{"family":"Corsi","given":"Alessandro"}],"author":[{"family":"Masset","given":"Philippe"},{"family":"Weisskopf","given":"Jean-Philippe"}],"accessed":{"date-parts":[["2021",8,6]]},"issued":{"date-parts":[["2019"]]}},"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rPr>
              <w:t>(2019)</w:t>
            </w:r>
            <w:r w:rsidRPr="00812B6A">
              <w:rPr>
                <w:sz w:val="20"/>
                <w:szCs w:val="20"/>
                <w:lang w:val="en-US"/>
              </w:rPr>
              <w:fldChar w:fldCharType="end"/>
            </w:r>
            <w:r w:rsidRPr="00812B6A">
              <w:rPr>
                <w:sz w:val="20"/>
                <w:szCs w:val="20"/>
                <w:lang w:val="en-US"/>
              </w:rPr>
              <w:t xml:space="preserve">; Dubuis et al. </w:t>
            </w:r>
            <w:r w:rsidRPr="00812B6A">
              <w:rPr>
                <w:sz w:val="20"/>
                <w:szCs w:val="20"/>
                <w:lang w:val="en-US"/>
              </w:rPr>
              <w:fldChar w:fldCharType="begin"/>
            </w:r>
            <w:r w:rsidR="00453ED3">
              <w:rPr>
                <w:sz w:val="20"/>
                <w:szCs w:val="20"/>
                <w:lang w:val="en-US"/>
              </w:rPr>
              <w:instrText xml:space="preserve"> ADDIN ZOTERO_ITEM CSL_CITATION {"citationID":"QA0lsglb","properties":{"formattedCitation":"(2014)","plainCitation":"(2014)","noteIndex":0},"citationItems":[{"id":900,"uris":["http://zotero.org/users/8375139/items/6BEJB55U"],"uri":["http://zotero.org/users/8375139/items/6BEJB55U"],"itemData":{"id":900,"type":"article-journal","container-title":"Revue suisse Viticulture, Arboriculture, Horticulture","issue":"6","page":"368-375","title":"Lutte contre l’oïdium à l’aide du modèle VitiMeteo-Oidium","volume":"46","author":[{"family":"Dubuis","given":"Pierre-Henri"},{"family":"Bloesch","given":"Bernhard"},{"family":"Fabre","given":"Anne-Lise"},{"family":"Viret","given":"Olivier"}],"issued":{"date-parts":[["2014"]]}},"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rPr>
              <w:t>(2014)</w:t>
            </w:r>
            <w:r w:rsidRPr="00812B6A">
              <w:rPr>
                <w:sz w:val="20"/>
                <w:szCs w:val="20"/>
                <w:lang w:val="en-US"/>
              </w:rPr>
              <w:fldChar w:fldCharType="end"/>
            </w:r>
          </w:p>
        </w:tc>
      </w:tr>
      <w:tr w:rsidR="00E95579" w:rsidRPr="00222AC6" w14:paraId="28A0B18E" w14:textId="77777777" w:rsidTr="00CE75D4">
        <w:trPr>
          <w:trHeight w:val="481"/>
        </w:trPr>
        <w:tc>
          <w:tcPr>
            <w:tcW w:w="709" w:type="dxa"/>
            <w:vMerge/>
            <w:vAlign w:val="center"/>
          </w:tcPr>
          <w:p w14:paraId="1F4371E5" w14:textId="77777777" w:rsidR="00E95579" w:rsidRPr="00812B6A" w:rsidRDefault="00E95579" w:rsidP="00E95579">
            <w:pPr>
              <w:spacing w:before="40" w:after="40"/>
              <w:rPr>
                <w:b/>
                <w:bCs/>
                <w:sz w:val="20"/>
                <w:szCs w:val="20"/>
                <w:lang w:val="en-US"/>
              </w:rPr>
            </w:pPr>
          </w:p>
        </w:tc>
        <w:tc>
          <w:tcPr>
            <w:tcW w:w="1559" w:type="dxa"/>
          </w:tcPr>
          <w:p w14:paraId="7975133D" w14:textId="77777777" w:rsidR="00E95579" w:rsidRPr="00812B6A" w:rsidRDefault="00E95579" w:rsidP="00E95579">
            <w:pPr>
              <w:spacing w:before="40" w:after="40"/>
              <w:rPr>
                <w:sz w:val="20"/>
                <w:szCs w:val="20"/>
                <w:lang w:val="en-US"/>
              </w:rPr>
            </w:pPr>
            <w:r w:rsidRPr="00812B6A">
              <w:rPr>
                <w:sz w:val="20"/>
                <w:szCs w:val="20"/>
                <w:lang w:val="en-US"/>
              </w:rPr>
              <w:t>Oidium infection risk</w:t>
            </w:r>
          </w:p>
        </w:tc>
        <w:tc>
          <w:tcPr>
            <w:tcW w:w="1985" w:type="dxa"/>
          </w:tcPr>
          <w:p w14:paraId="1B6FFC14" w14:textId="77777777" w:rsidR="00E95579" w:rsidRPr="00812B6A" w:rsidRDefault="00E95579" w:rsidP="00E95579">
            <w:pPr>
              <w:spacing w:before="40" w:after="40"/>
              <w:rPr>
                <w:sz w:val="20"/>
                <w:szCs w:val="20"/>
                <w:lang w:val="en-US"/>
              </w:rPr>
            </w:pPr>
            <w:r w:rsidRPr="00812B6A">
              <w:rPr>
                <w:sz w:val="20"/>
                <w:szCs w:val="20"/>
                <w:lang w:val="en-US"/>
              </w:rPr>
              <w:t>Average oidium infection risk index between 2012 and 2021 from the nearest weather station</w:t>
            </w:r>
          </w:p>
        </w:tc>
        <w:tc>
          <w:tcPr>
            <w:tcW w:w="992" w:type="dxa"/>
          </w:tcPr>
          <w:p w14:paraId="32265AEA" w14:textId="0E5ECDFC" w:rsidR="00E95579" w:rsidRPr="00812B6A" w:rsidRDefault="00E95579" w:rsidP="00E95579">
            <w:pPr>
              <w:spacing w:before="40" w:after="40"/>
              <w:jc w:val="center"/>
              <w:rPr>
                <w:sz w:val="20"/>
                <w:szCs w:val="20"/>
                <w:lang w:val="en-US"/>
              </w:rPr>
            </w:pPr>
            <w:r w:rsidRPr="00812B6A">
              <w:rPr>
                <w:sz w:val="20"/>
                <w:szCs w:val="20"/>
                <w:lang w:val="en-US"/>
              </w:rPr>
              <w:t>+</w:t>
            </w:r>
          </w:p>
        </w:tc>
        <w:tc>
          <w:tcPr>
            <w:tcW w:w="2699" w:type="dxa"/>
          </w:tcPr>
          <w:p w14:paraId="047AA013" w14:textId="3BDED02E" w:rsidR="00E95579" w:rsidRPr="00812B6A" w:rsidRDefault="00E95579" w:rsidP="00E95579">
            <w:pPr>
              <w:spacing w:before="40" w:after="40"/>
              <w:rPr>
                <w:sz w:val="20"/>
                <w:szCs w:val="20"/>
                <w:lang w:val="en-US"/>
              </w:rPr>
            </w:pPr>
            <w:r w:rsidRPr="00812B6A">
              <w:rPr>
                <w:sz w:val="20"/>
                <w:szCs w:val="20"/>
                <w:lang w:val="en-US"/>
              </w:rPr>
              <w:t>Similar as above.</w:t>
            </w:r>
          </w:p>
        </w:tc>
        <w:tc>
          <w:tcPr>
            <w:tcW w:w="1235" w:type="dxa"/>
            <w:vMerge/>
          </w:tcPr>
          <w:p w14:paraId="6F5B9CF1" w14:textId="77777777" w:rsidR="00E95579" w:rsidRPr="00812B6A" w:rsidRDefault="00E95579" w:rsidP="00E95579">
            <w:pPr>
              <w:spacing w:before="40" w:after="40"/>
              <w:rPr>
                <w:sz w:val="20"/>
                <w:szCs w:val="20"/>
                <w:lang w:val="en-US"/>
              </w:rPr>
            </w:pPr>
          </w:p>
        </w:tc>
      </w:tr>
      <w:tr w:rsidR="00E95579" w:rsidRPr="00B5658B" w14:paraId="621C1B13" w14:textId="77777777" w:rsidTr="00CE75D4">
        <w:trPr>
          <w:trHeight w:val="669"/>
        </w:trPr>
        <w:tc>
          <w:tcPr>
            <w:tcW w:w="709" w:type="dxa"/>
            <w:vMerge/>
            <w:tcBorders>
              <w:bottom w:val="single" w:sz="8" w:space="0" w:color="auto"/>
            </w:tcBorders>
            <w:vAlign w:val="center"/>
          </w:tcPr>
          <w:p w14:paraId="37C84C8F" w14:textId="77777777" w:rsidR="00E95579" w:rsidRPr="00812B6A" w:rsidRDefault="00E95579" w:rsidP="00E95579">
            <w:pPr>
              <w:spacing w:before="40" w:after="40"/>
              <w:rPr>
                <w:b/>
                <w:bCs/>
                <w:sz w:val="20"/>
                <w:szCs w:val="20"/>
                <w:lang w:val="en-US"/>
              </w:rPr>
            </w:pPr>
          </w:p>
        </w:tc>
        <w:tc>
          <w:tcPr>
            <w:tcW w:w="1559" w:type="dxa"/>
            <w:tcBorders>
              <w:bottom w:val="single" w:sz="8" w:space="0" w:color="auto"/>
            </w:tcBorders>
          </w:tcPr>
          <w:p w14:paraId="1A2DD7BA" w14:textId="77777777" w:rsidR="00E95579" w:rsidRPr="00812B6A" w:rsidRDefault="00E95579" w:rsidP="00E95579">
            <w:pPr>
              <w:spacing w:before="40" w:after="40"/>
              <w:rPr>
                <w:sz w:val="20"/>
                <w:szCs w:val="20"/>
                <w:lang w:val="en-US"/>
              </w:rPr>
            </w:pPr>
            <w:r w:rsidRPr="00812B6A">
              <w:rPr>
                <w:sz w:val="20"/>
                <w:szCs w:val="20"/>
                <w:lang w:val="en-US"/>
              </w:rPr>
              <w:t>Wine region</w:t>
            </w:r>
          </w:p>
        </w:tc>
        <w:tc>
          <w:tcPr>
            <w:tcW w:w="1985" w:type="dxa"/>
            <w:tcBorders>
              <w:bottom w:val="single" w:sz="8" w:space="0" w:color="auto"/>
            </w:tcBorders>
          </w:tcPr>
          <w:p w14:paraId="6BB9C2E0" w14:textId="77777777" w:rsidR="00E95579" w:rsidRPr="00812B6A" w:rsidRDefault="00E95579" w:rsidP="00E95579">
            <w:pPr>
              <w:spacing w:before="40" w:after="40"/>
              <w:rPr>
                <w:sz w:val="20"/>
                <w:szCs w:val="20"/>
                <w:lang w:val="en-US"/>
              </w:rPr>
            </w:pPr>
            <w:r w:rsidRPr="00812B6A">
              <w:rPr>
                <w:sz w:val="20"/>
                <w:szCs w:val="20"/>
                <w:lang w:val="en-US"/>
              </w:rPr>
              <w:t>Dummy variable identifying wine regions (Deutschschweiz, Valais, Ticino, Vaud, Geneva, and the Three Lakes Region)</w:t>
            </w:r>
          </w:p>
        </w:tc>
        <w:tc>
          <w:tcPr>
            <w:tcW w:w="992" w:type="dxa"/>
            <w:tcBorders>
              <w:bottom w:val="single" w:sz="8" w:space="0" w:color="auto"/>
            </w:tcBorders>
          </w:tcPr>
          <w:p w14:paraId="5075F014" w14:textId="6EA1B1ED" w:rsidR="00E95579" w:rsidRPr="00812B6A" w:rsidRDefault="00E95579" w:rsidP="00E95579">
            <w:pPr>
              <w:spacing w:before="40" w:after="40"/>
              <w:jc w:val="center"/>
              <w:rPr>
                <w:sz w:val="20"/>
                <w:szCs w:val="20"/>
                <w:lang w:val="en-US"/>
              </w:rPr>
            </w:pPr>
            <w:r w:rsidRPr="00812B6A">
              <w:rPr>
                <w:sz w:val="20"/>
                <w:szCs w:val="20"/>
                <w:lang w:val="en-US"/>
              </w:rPr>
              <w:t>+/0/-</w:t>
            </w:r>
          </w:p>
        </w:tc>
        <w:tc>
          <w:tcPr>
            <w:tcW w:w="2699" w:type="dxa"/>
            <w:tcBorders>
              <w:bottom w:val="single" w:sz="8" w:space="0" w:color="auto"/>
            </w:tcBorders>
          </w:tcPr>
          <w:p w14:paraId="57880DE6" w14:textId="1E70DFBA" w:rsidR="00E95579" w:rsidRPr="00812B6A" w:rsidRDefault="00E95579" w:rsidP="00E95579">
            <w:pPr>
              <w:spacing w:before="40" w:after="40"/>
              <w:rPr>
                <w:sz w:val="20"/>
                <w:szCs w:val="20"/>
                <w:lang w:val="en-US"/>
              </w:rPr>
            </w:pPr>
            <w:r w:rsidRPr="00812B6A">
              <w:rPr>
                <w:sz w:val="20"/>
                <w:szCs w:val="20"/>
                <w:lang w:val="en-US"/>
              </w:rPr>
              <w:t xml:space="preserve">Depending on the tradition of a wine region, we expected the </w:t>
            </w:r>
            <w:r w:rsidR="00396DA5" w:rsidRPr="00812B6A">
              <w:rPr>
                <w:sz w:val="20"/>
                <w:szCs w:val="20"/>
                <w:lang w:val="en-US"/>
              </w:rPr>
              <w:t xml:space="preserve">future </w:t>
            </w:r>
            <w:r w:rsidRPr="00812B6A">
              <w:rPr>
                <w:sz w:val="20"/>
                <w:szCs w:val="20"/>
                <w:lang w:val="en-US"/>
              </w:rPr>
              <w:t>land shares to change differently.</w:t>
            </w:r>
          </w:p>
        </w:tc>
        <w:tc>
          <w:tcPr>
            <w:tcW w:w="1235" w:type="dxa"/>
            <w:vMerge/>
            <w:tcBorders>
              <w:bottom w:val="single" w:sz="8" w:space="0" w:color="auto"/>
            </w:tcBorders>
          </w:tcPr>
          <w:p w14:paraId="198A1A35" w14:textId="77777777" w:rsidR="00E95579" w:rsidRPr="00812B6A" w:rsidRDefault="00E95579" w:rsidP="00E95579">
            <w:pPr>
              <w:spacing w:before="40" w:after="40"/>
              <w:rPr>
                <w:sz w:val="20"/>
                <w:szCs w:val="20"/>
                <w:lang w:val="en-US"/>
              </w:rPr>
            </w:pPr>
          </w:p>
        </w:tc>
      </w:tr>
      <w:tr w:rsidR="00E95579" w:rsidRPr="00B5658B" w14:paraId="467C9870" w14:textId="77777777" w:rsidTr="00CE75D4">
        <w:trPr>
          <w:trHeight w:val="471"/>
        </w:trPr>
        <w:tc>
          <w:tcPr>
            <w:tcW w:w="709" w:type="dxa"/>
            <w:vMerge w:val="restart"/>
            <w:tcBorders>
              <w:top w:val="single" w:sz="8" w:space="0" w:color="auto"/>
            </w:tcBorders>
            <w:textDirection w:val="btLr"/>
            <w:vAlign w:val="center"/>
          </w:tcPr>
          <w:p w14:paraId="6B478E1A" w14:textId="77777777" w:rsidR="00E95579" w:rsidRPr="00812B6A" w:rsidRDefault="00E95579" w:rsidP="00E95579">
            <w:pPr>
              <w:spacing w:before="40" w:after="40"/>
              <w:ind w:left="113" w:right="113"/>
              <w:jc w:val="center"/>
              <w:rPr>
                <w:b/>
                <w:bCs/>
                <w:sz w:val="20"/>
                <w:szCs w:val="20"/>
                <w:lang w:val="en-US"/>
              </w:rPr>
            </w:pPr>
            <w:r w:rsidRPr="00812B6A">
              <w:rPr>
                <w:b/>
                <w:bCs/>
                <w:sz w:val="20"/>
                <w:szCs w:val="20"/>
                <w:lang w:val="en-US"/>
              </w:rPr>
              <w:t>Farmer perceptions</w:t>
            </w:r>
          </w:p>
        </w:tc>
        <w:tc>
          <w:tcPr>
            <w:tcW w:w="1559" w:type="dxa"/>
            <w:tcBorders>
              <w:top w:val="single" w:sz="8" w:space="0" w:color="auto"/>
            </w:tcBorders>
          </w:tcPr>
          <w:p w14:paraId="3323725C" w14:textId="77777777" w:rsidR="00E95579" w:rsidRPr="00812B6A" w:rsidRDefault="00E95579" w:rsidP="00E95579">
            <w:pPr>
              <w:spacing w:before="40" w:after="40"/>
              <w:rPr>
                <w:sz w:val="20"/>
                <w:szCs w:val="20"/>
                <w:lang w:val="en-US"/>
              </w:rPr>
            </w:pPr>
            <w:r w:rsidRPr="00812B6A">
              <w:rPr>
                <w:sz w:val="20"/>
                <w:szCs w:val="20"/>
                <w:lang w:val="en-US"/>
              </w:rPr>
              <w:t>Fungal damage</w:t>
            </w:r>
          </w:p>
        </w:tc>
        <w:tc>
          <w:tcPr>
            <w:tcW w:w="1985" w:type="dxa"/>
            <w:tcBorders>
              <w:top w:val="single" w:sz="8" w:space="0" w:color="auto"/>
            </w:tcBorders>
          </w:tcPr>
          <w:p w14:paraId="71E6F116" w14:textId="77777777" w:rsidR="00E95579" w:rsidRPr="00812B6A" w:rsidRDefault="00E95579" w:rsidP="00E95579">
            <w:pPr>
              <w:spacing w:before="40" w:after="40"/>
              <w:rPr>
                <w:sz w:val="20"/>
                <w:szCs w:val="20"/>
                <w:lang w:val="en-US"/>
              </w:rPr>
            </w:pPr>
            <w:r w:rsidRPr="00812B6A">
              <w:rPr>
                <w:sz w:val="20"/>
                <w:szCs w:val="20"/>
                <w:lang w:val="en-US"/>
              </w:rPr>
              <w:t>Fungal Infections have the biggest negative impact on the grapevine yield (i.e. quality and quantity)</w:t>
            </w:r>
          </w:p>
        </w:tc>
        <w:tc>
          <w:tcPr>
            <w:tcW w:w="992" w:type="dxa"/>
            <w:tcBorders>
              <w:top w:val="single" w:sz="8" w:space="0" w:color="auto"/>
            </w:tcBorders>
          </w:tcPr>
          <w:p w14:paraId="43BBC5A3" w14:textId="1D46CD8F" w:rsidR="00E95579" w:rsidRPr="00812B6A" w:rsidRDefault="00E95579" w:rsidP="00E95579">
            <w:pPr>
              <w:spacing w:before="40" w:after="40"/>
              <w:jc w:val="center"/>
              <w:rPr>
                <w:sz w:val="20"/>
                <w:szCs w:val="20"/>
                <w:lang w:val="en-US"/>
              </w:rPr>
            </w:pPr>
            <w:r w:rsidRPr="00812B6A">
              <w:rPr>
                <w:sz w:val="20"/>
                <w:szCs w:val="20"/>
                <w:lang w:val="en-US"/>
              </w:rPr>
              <w:t>+</w:t>
            </w:r>
          </w:p>
        </w:tc>
        <w:tc>
          <w:tcPr>
            <w:tcW w:w="2699" w:type="dxa"/>
            <w:tcBorders>
              <w:top w:val="single" w:sz="8" w:space="0" w:color="auto"/>
            </w:tcBorders>
          </w:tcPr>
          <w:p w14:paraId="1599E6BE" w14:textId="27B121FB" w:rsidR="00E95579" w:rsidRPr="00812B6A" w:rsidRDefault="00E95579" w:rsidP="00E95579">
            <w:pPr>
              <w:spacing w:before="40" w:after="40"/>
              <w:rPr>
                <w:sz w:val="20"/>
                <w:szCs w:val="20"/>
                <w:lang w:val="en-US"/>
              </w:rPr>
            </w:pPr>
            <w:r w:rsidRPr="00812B6A">
              <w:rPr>
                <w:sz w:val="20"/>
                <w:szCs w:val="20"/>
                <w:lang w:val="en-US"/>
              </w:rPr>
              <w:t>We expect that growers who perceive fungal damage to have the biggest negative effect on yield to increase their land share under fungus-resistant varieties.</w:t>
            </w:r>
          </w:p>
        </w:tc>
        <w:tc>
          <w:tcPr>
            <w:tcW w:w="1235" w:type="dxa"/>
            <w:tcBorders>
              <w:top w:val="single" w:sz="8" w:space="0" w:color="auto"/>
            </w:tcBorders>
            <w:vAlign w:val="center"/>
          </w:tcPr>
          <w:p w14:paraId="4C35C969" w14:textId="77777777" w:rsidR="00E95579" w:rsidRPr="00812B6A" w:rsidRDefault="00E95579" w:rsidP="00E95579">
            <w:pPr>
              <w:spacing w:before="40" w:after="40"/>
              <w:jc w:val="center"/>
              <w:rPr>
                <w:sz w:val="20"/>
                <w:szCs w:val="20"/>
                <w:lang w:val="en-US"/>
              </w:rPr>
            </w:pPr>
          </w:p>
        </w:tc>
      </w:tr>
      <w:tr w:rsidR="00E95579" w:rsidRPr="00B5658B" w14:paraId="77E7B0B0" w14:textId="77777777" w:rsidTr="00CE75D4">
        <w:trPr>
          <w:trHeight w:val="500"/>
        </w:trPr>
        <w:tc>
          <w:tcPr>
            <w:tcW w:w="709" w:type="dxa"/>
            <w:vMerge/>
            <w:tcBorders>
              <w:top w:val="single" w:sz="8" w:space="0" w:color="auto"/>
            </w:tcBorders>
            <w:vAlign w:val="center"/>
          </w:tcPr>
          <w:p w14:paraId="34F0CB9E" w14:textId="77777777" w:rsidR="00E95579" w:rsidRPr="00812B6A" w:rsidRDefault="00E95579" w:rsidP="00E95579">
            <w:pPr>
              <w:spacing w:before="40" w:after="40"/>
              <w:jc w:val="center"/>
              <w:rPr>
                <w:b/>
                <w:bCs/>
                <w:sz w:val="20"/>
                <w:szCs w:val="20"/>
                <w:lang w:val="en-US"/>
              </w:rPr>
            </w:pPr>
          </w:p>
        </w:tc>
        <w:tc>
          <w:tcPr>
            <w:tcW w:w="1559" w:type="dxa"/>
            <w:tcBorders>
              <w:bottom w:val="single" w:sz="4" w:space="0" w:color="BFBFBF" w:themeColor="background1" w:themeShade="BF"/>
            </w:tcBorders>
          </w:tcPr>
          <w:p w14:paraId="14C03874" w14:textId="77777777" w:rsidR="00E95579" w:rsidRPr="00812B6A" w:rsidRDefault="00E95579" w:rsidP="00E95579">
            <w:pPr>
              <w:spacing w:before="40" w:after="40"/>
              <w:rPr>
                <w:sz w:val="20"/>
                <w:szCs w:val="20"/>
                <w:lang w:val="en-US"/>
              </w:rPr>
            </w:pPr>
            <w:r w:rsidRPr="00812B6A">
              <w:rPr>
                <w:sz w:val="20"/>
                <w:szCs w:val="20"/>
                <w:lang w:val="en-US"/>
              </w:rPr>
              <w:t>Banned copper</w:t>
            </w:r>
          </w:p>
        </w:tc>
        <w:tc>
          <w:tcPr>
            <w:tcW w:w="1985" w:type="dxa"/>
            <w:tcBorders>
              <w:bottom w:val="single" w:sz="4" w:space="0" w:color="BFBFBF" w:themeColor="background1" w:themeShade="BF"/>
            </w:tcBorders>
          </w:tcPr>
          <w:p w14:paraId="2D427BA1" w14:textId="77777777" w:rsidR="00E95579" w:rsidRPr="00812B6A" w:rsidRDefault="00E95579" w:rsidP="00E95579">
            <w:pPr>
              <w:spacing w:before="40" w:after="40"/>
              <w:rPr>
                <w:sz w:val="20"/>
                <w:szCs w:val="20"/>
                <w:lang w:val="en-US"/>
              </w:rPr>
            </w:pPr>
            <w:r w:rsidRPr="00812B6A">
              <w:rPr>
                <w:sz w:val="20"/>
                <w:szCs w:val="20"/>
                <w:lang w:val="en-US"/>
              </w:rPr>
              <w:t>Whether the farmer thinks copper will be a banned substance in Swiss viticulture in 10 years</w:t>
            </w:r>
          </w:p>
        </w:tc>
        <w:tc>
          <w:tcPr>
            <w:tcW w:w="992" w:type="dxa"/>
            <w:tcBorders>
              <w:bottom w:val="single" w:sz="4" w:space="0" w:color="BFBFBF" w:themeColor="background1" w:themeShade="BF"/>
            </w:tcBorders>
          </w:tcPr>
          <w:p w14:paraId="6A8D9FE2" w14:textId="30E60E77" w:rsidR="00E95579" w:rsidRPr="00812B6A" w:rsidRDefault="00E95579" w:rsidP="00E95579">
            <w:pPr>
              <w:spacing w:before="40" w:after="40"/>
              <w:jc w:val="center"/>
              <w:rPr>
                <w:sz w:val="20"/>
                <w:szCs w:val="20"/>
                <w:lang w:val="en-US"/>
              </w:rPr>
            </w:pPr>
            <w:r w:rsidRPr="00812B6A">
              <w:rPr>
                <w:sz w:val="20"/>
                <w:szCs w:val="20"/>
                <w:lang w:val="en-US"/>
              </w:rPr>
              <w:t>+</w:t>
            </w:r>
          </w:p>
        </w:tc>
        <w:tc>
          <w:tcPr>
            <w:tcW w:w="2699" w:type="dxa"/>
            <w:tcBorders>
              <w:bottom w:val="single" w:sz="4" w:space="0" w:color="BFBFBF" w:themeColor="background1" w:themeShade="BF"/>
            </w:tcBorders>
          </w:tcPr>
          <w:p w14:paraId="563B9D7B" w14:textId="40489F38" w:rsidR="00E95579" w:rsidRPr="00812B6A" w:rsidRDefault="00E95579" w:rsidP="00E95579">
            <w:pPr>
              <w:spacing w:before="40" w:after="40"/>
              <w:rPr>
                <w:sz w:val="20"/>
                <w:szCs w:val="20"/>
                <w:lang w:val="en-US"/>
              </w:rPr>
            </w:pPr>
            <w:r w:rsidRPr="00812B6A">
              <w:rPr>
                <w:sz w:val="20"/>
                <w:szCs w:val="20"/>
                <w:lang w:val="en-US"/>
              </w:rPr>
              <w:t>Growers who expect that copper will be banned in 10 years will devote more land to fungus-resistant varieties because these require less plant protection including copper-based fungicides.</w:t>
            </w:r>
          </w:p>
        </w:tc>
        <w:tc>
          <w:tcPr>
            <w:tcW w:w="1235" w:type="dxa"/>
            <w:tcBorders>
              <w:bottom w:val="single" w:sz="4" w:space="0" w:color="BFBFBF" w:themeColor="background1" w:themeShade="BF"/>
            </w:tcBorders>
          </w:tcPr>
          <w:p w14:paraId="4815659A" w14:textId="77777777" w:rsidR="00E95579" w:rsidRPr="00812B6A" w:rsidRDefault="00E95579" w:rsidP="00E95579">
            <w:pPr>
              <w:spacing w:before="40" w:after="40"/>
              <w:rPr>
                <w:sz w:val="20"/>
                <w:szCs w:val="20"/>
                <w:lang w:val="en-US"/>
              </w:rPr>
            </w:pPr>
          </w:p>
        </w:tc>
      </w:tr>
      <w:tr w:rsidR="00E95579" w:rsidRPr="009553E3" w14:paraId="3F568357" w14:textId="77777777" w:rsidTr="00CE75D4">
        <w:trPr>
          <w:trHeight w:val="1077"/>
        </w:trPr>
        <w:tc>
          <w:tcPr>
            <w:tcW w:w="709" w:type="dxa"/>
            <w:vMerge/>
            <w:vAlign w:val="center"/>
          </w:tcPr>
          <w:p w14:paraId="0E7257C9" w14:textId="77777777" w:rsidR="00E95579" w:rsidRPr="00812B6A" w:rsidRDefault="00E95579" w:rsidP="00E95579">
            <w:pPr>
              <w:spacing w:before="40" w:after="40"/>
              <w:rPr>
                <w:b/>
                <w:bCs/>
                <w:sz w:val="20"/>
                <w:szCs w:val="20"/>
                <w:lang w:val="en-US"/>
              </w:rPr>
            </w:pPr>
          </w:p>
        </w:tc>
        <w:tc>
          <w:tcPr>
            <w:tcW w:w="1559" w:type="dxa"/>
            <w:tcBorders>
              <w:top w:val="single" w:sz="4" w:space="0" w:color="BFBFBF" w:themeColor="background1" w:themeShade="BF"/>
            </w:tcBorders>
          </w:tcPr>
          <w:p w14:paraId="539E79A2" w14:textId="77777777" w:rsidR="00E95579" w:rsidRPr="00812B6A" w:rsidRDefault="00E95579" w:rsidP="00E95579">
            <w:pPr>
              <w:spacing w:before="40" w:after="40"/>
              <w:rPr>
                <w:sz w:val="20"/>
                <w:szCs w:val="20"/>
                <w:lang w:val="en-US"/>
              </w:rPr>
            </w:pPr>
            <w:r w:rsidRPr="00812B6A">
              <w:rPr>
                <w:sz w:val="20"/>
                <w:szCs w:val="20"/>
                <w:lang w:val="en-US"/>
              </w:rPr>
              <w:t>FRG have a positive impact on the human health of farmers and communities surrounding farms</w:t>
            </w:r>
          </w:p>
        </w:tc>
        <w:tc>
          <w:tcPr>
            <w:tcW w:w="1985" w:type="dxa"/>
            <w:tcBorders>
              <w:top w:val="single" w:sz="4" w:space="0" w:color="BFBFBF" w:themeColor="background1" w:themeShade="BF"/>
            </w:tcBorders>
          </w:tcPr>
          <w:p w14:paraId="01AD1DDD" w14:textId="77777777" w:rsidR="00E95579" w:rsidRPr="00812B6A" w:rsidRDefault="00E95579" w:rsidP="00E95579">
            <w:pPr>
              <w:spacing w:before="40" w:after="40"/>
              <w:rPr>
                <w:sz w:val="20"/>
                <w:szCs w:val="20"/>
                <w:lang w:val="en-US"/>
              </w:rPr>
            </w:pPr>
            <w:r w:rsidRPr="00812B6A">
              <w:rPr>
                <w:sz w:val="20"/>
                <w:szCs w:val="20"/>
                <w:lang w:val="en-US"/>
              </w:rPr>
              <w:t>FRG have a positive impact on the human health of farmers and communities surrounding farms</w:t>
            </w:r>
          </w:p>
        </w:tc>
        <w:tc>
          <w:tcPr>
            <w:tcW w:w="992" w:type="dxa"/>
            <w:tcBorders>
              <w:top w:val="single" w:sz="4" w:space="0" w:color="BFBFBF" w:themeColor="background1" w:themeShade="BF"/>
            </w:tcBorders>
          </w:tcPr>
          <w:p w14:paraId="24A8F59E" w14:textId="2E850237" w:rsidR="00E95579" w:rsidRPr="00812B6A" w:rsidRDefault="00E95579" w:rsidP="00E95579">
            <w:pPr>
              <w:spacing w:before="40" w:after="40"/>
              <w:jc w:val="center"/>
              <w:rPr>
                <w:sz w:val="20"/>
                <w:szCs w:val="20"/>
                <w:lang w:val="en-US"/>
              </w:rPr>
            </w:pPr>
            <w:r w:rsidRPr="00812B6A">
              <w:rPr>
                <w:sz w:val="20"/>
                <w:szCs w:val="20"/>
                <w:lang w:val="en-US"/>
              </w:rPr>
              <w:t>+</w:t>
            </w:r>
          </w:p>
        </w:tc>
        <w:tc>
          <w:tcPr>
            <w:tcW w:w="2699" w:type="dxa"/>
            <w:tcBorders>
              <w:top w:val="single" w:sz="4" w:space="0" w:color="BFBFBF" w:themeColor="background1" w:themeShade="BF"/>
            </w:tcBorders>
          </w:tcPr>
          <w:p w14:paraId="00E37AD4" w14:textId="0EC62067" w:rsidR="00E95579" w:rsidRPr="00812B6A" w:rsidRDefault="00E95579" w:rsidP="00E95579">
            <w:pPr>
              <w:spacing w:before="40" w:after="40"/>
              <w:rPr>
                <w:sz w:val="20"/>
                <w:szCs w:val="20"/>
                <w:lang w:val="en-US"/>
              </w:rPr>
            </w:pPr>
            <w:r w:rsidRPr="00812B6A">
              <w:rPr>
                <w:sz w:val="20"/>
                <w:szCs w:val="20"/>
                <w:lang w:val="en-US"/>
              </w:rPr>
              <w:t>We expect grapevine growers who perceive fungus-resistant varieties to have human health benefits compared to traditional varieties in increase their land share in the future.</w:t>
            </w:r>
          </w:p>
        </w:tc>
        <w:tc>
          <w:tcPr>
            <w:tcW w:w="1235" w:type="dxa"/>
            <w:vMerge w:val="restart"/>
            <w:tcBorders>
              <w:top w:val="single" w:sz="4" w:space="0" w:color="BFBFBF" w:themeColor="background1" w:themeShade="BF"/>
            </w:tcBorders>
            <w:vAlign w:val="center"/>
          </w:tcPr>
          <w:p w14:paraId="31EBD4FC" w14:textId="772233BA" w:rsidR="00E95579" w:rsidRPr="00812B6A" w:rsidRDefault="00E95579" w:rsidP="00E95579">
            <w:pPr>
              <w:spacing w:before="40" w:after="40"/>
              <w:rPr>
                <w:sz w:val="20"/>
                <w:szCs w:val="20"/>
                <w:lang w:val="en-US"/>
              </w:rPr>
            </w:pPr>
            <w:r w:rsidRPr="00812B6A">
              <w:rPr>
                <w:sz w:val="20"/>
                <w:szCs w:val="20"/>
              </w:rPr>
              <w:t xml:space="preserve">Finger and Möhring </w:t>
            </w:r>
            <w:r w:rsidRPr="00812B6A">
              <w:rPr>
                <w:sz w:val="20"/>
                <w:szCs w:val="20"/>
                <w:lang w:val="en-US"/>
              </w:rPr>
              <w:fldChar w:fldCharType="begin"/>
            </w:r>
            <w:r w:rsidR="00453ED3">
              <w:rPr>
                <w:sz w:val="20"/>
                <w:szCs w:val="20"/>
              </w:rPr>
              <w:instrText xml:space="preserve"> ADDIN ZOTERO_ITEM CSL_CITATION {"citationID":"95UFnLRZ","properties":{"formattedCitation":"(2022)","plainCitation":"(2022)","noteIndex":0},"citationItems":[{"id":1054,"uris":["http://zotero.org/users/8375139/items/QFMPTQKY"],"uri":["http://zotero.org/users/8375139/items/QFMPTQKY"],"itemData":{"id":1054,"type":"article-journal","container-title":"Ecological Economics","DOI":"10.1016/j.ecolecon.2022.107463","ISSN":"09218009","journalAbbreviation":"Ecological Economics","language":"en","page":"107463","source":"DOI.org (Crossref)","title":"The adoption of pesticide-free wheat production and farmers' perceptions of its environmental and health effects","volume":"198","author":[{"family":"Finger","given":"Robert"},{"family":"Möhring","given":"Niklas"}],"issued":{"date-parts":[["2022",8]]}},"label":"page","suppress-author":true}],"schema":"https://github.com/citation-style-language/schema/raw/master/csl-citation.json"}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rPr>
              <w:t>(2022)</w:t>
            </w:r>
            <w:r w:rsidRPr="00812B6A">
              <w:rPr>
                <w:sz w:val="20"/>
                <w:szCs w:val="20"/>
                <w:lang w:val="en-US"/>
              </w:rPr>
              <w:fldChar w:fldCharType="end"/>
            </w:r>
            <w:r w:rsidRPr="00812B6A">
              <w:rPr>
                <w:sz w:val="20"/>
                <w:szCs w:val="20"/>
              </w:rPr>
              <w:t xml:space="preserve">; Dessart et al. </w:t>
            </w:r>
            <w:r w:rsidRPr="00812B6A">
              <w:rPr>
                <w:sz w:val="20"/>
                <w:szCs w:val="20"/>
              </w:rPr>
              <w:fldChar w:fldCharType="begin"/>
            </w:r>
            <w:r w:rsidR="00453ED3">
              <w:rPr>
                <w:sz w:val="20"/>
                <w:szCs w:val="20"/>
              </w:rPr>
              <w:instrText xml:space="preserve"> ADDIN ZOTERO_ITEM CSL_CITATION {"citationID":"TTcgtw2j","properties":{"formattedCitation":"(2019)","plainCitation":"(2019)","noteIndex":0},"citationItems":[{"id":248,"uris":["http://zotero.org/users/8375139/items/9TLZUECQ"],"uri":["http://zotero.org/users/8375139/items/9TLZUECQ"],"itemData":{"id":248,"type":"article-journal","abstract":"Abstract\n            This paper reviews the findings from the last 20 years on the behavioural factors that influence farmers’ decisions to adopt environmentally sustainable practices. It also proposes policy options to increase adoption, based on these behavioural factors and embedded in the EU Common Agricultural Policy. Behavioural factors are grouped into three clusters, from more distal to more proximal: (i) dispositional factors; (ii) social factors and (iii) cognitive factors. Overall, the review demonstrates that considering behavioural factors enriches economic analyses of farmer decision-making, and can lead to more realistic and effective agri-environmental policies.","container-title":"European Review of Agricultural Economics","DOI":"10.1093/erae/jbz019","ISSN":"0165-1587, 1464-3618","issue":"3","language":"en","page":"417-471","source":"DOI.org (Crossref)","title":"Behavioural factors affecting the adoption of sustainable farming practices: a policy-oriented review","title-short":"Behavioural factors affecting the adoption of sustainable farming practices","volume":"46","author":[{"family":"Dessart","given":"François J"},{"family":"Barreiro-Hurlé","given":"Jesús"},{"family":"Bavel","given":"René","non-dropping-particle":"van"}],"issued":{"date-parts":[["2019",7,1]]}},"label":"page","suppress-author":true}],"schema":"https://github.com/citation-style-language/schema/raw/master/csl-citation.json"} </w:instrText>
            </w:r>
            <w:r w:rsidRPr="00812B6A">
              <w:rPr>
                <w:sz w:val="20"/>
                <w:szCs w:val="20"/>
              </w:rPr>
              <w:fldChar w:fldCharType="separate"/>
            </w:r>
            <w:r w:rsidR="003C4066" w:rsidRPr="00812B6A">
              <w:rPr>
                <w:rFonts w:ascii="Calibri" w:hAnsi="Calibri" w:cs="Calibri"/>
                <w:sz w:val="20"/>
                <w:szCs w:val="20"/>
              </w:rPr>
              <w:t>(2019)</w:t>
            </w:r>
            <w:r w:rsidRPr="00812B6A">
              <w:rPr>
                <w:sz w:val="20"/>
                <w:szCs w:val="20"/>
              </w:rPr>
              <w:fldChar w:fldCharType="end"/>
            </w:r>
            <w:r w:rsidRPr="00812B6A">
              <w:rPr>
                <w:sz w:val="20"/>
                <w:szCs w:val="20"/>
                <w:lang w:val="en-US"/>
              </w:rPr>
              <w:t xml:space="preserve">; Toma and Mathjis </w:t>
            </w:r>
            <w:r w:rsidRPr="00812B6A">
              <w:rPr>
                <w:sz w:val="20"/>
                <w:szCs w:val="20"/>
              </w:rPr>
              <w:fldChar w:fldCharType="begin"/>
            </w:r>
            <w:r w:rsidR="00453ED3">
              <w:rPr>
                <w:sz w:val="20"/>
                <w:szCs w:val="20"/>
                <w:lang w:val="en-US"/>
              </w:rPr>
              <w:instrText xml:space="preserve"> ADDIN ZOTERO_ITEM CSL_CITATION {"citationID":"zIU6DagH","properties":{"formattedCitation":"(2007)","plainCitation":"(2007)","noteIndex":0},"citationItems":[{"id":1490,"uris":["http://zotero.org/users/8375139/items/M5EI4TVE"],"uri":["http://zotero.org/users/8375139/items/M5EI4TVE"],"itemData":{"id":1490,"type":"article-journal","container-title":"Journal of Environmental Management","DOI":"10.1016/j.jenvman.2006.02.004","ISSN":"03014797","issue":"2","journalAbbreviation":"Journal of Environmental Management","language":"en","page":"145-157","source":"DOI.org (Crossref)","title":"Environmental risk perception, environmental concern and propensity to participate in organic farming programmes","volume":"83","author":[{"family":"Toma","given":"Luiza"},{"family":"Mathijs","given":"Erik"}],"issued":{"date-parts":[["2007",4]]}},"label":"page","suppress-author":true}],"schema":"https://github.com/citation-style-language/schema/raw/master/csl-citation.json"} </w:instrText>
            </w:r>
            <w:r w:rsidRPr="00812B6A">
              <w:rPr>
                <w:sz w:val="20"/>
                <w:szCs w:val="20"/>
              </w:rPr>
              <w:fldChar w:fldCharType="separate"/>
            </w:r>
            <w:r w:rsidR="003C4066" w:rsidRPr="00812B6A">
              <w:rPr>
                <w:rFonts w:ascii="Calibri" w:hAnsi="Calibri" w:cs="Calibri"/>
                <w:sz w:val="20"/>
                <w:szCs w:val="20"/>
              </w:rPr>
              <w:t>(2007)</w:t>
            </w:r>
            <w:r w:rsidRPr="00812B6A">
              <w:rPr>
                <w:sz w:val="20"/>
                <w:szCs w:val="20"/>
              </w:rPr>
              <w:fldChar w:fldCharType="end"/>
            </w:r>
            <w:r w:rsidRPr="00812B6A">
              <w:rPr>
                <w:sz w:val="20"/>
                <w:szCs w:val="20"/>
                <w:lang w:val="en-US"/>
              </w:rPr>
              <w:t xml:space="preserve">; </w:t>
            </w:r>
            <w:r w:rsidRPr="00812B6A">
              <w:rPr>
                <w:sz w:val="20"/>
                <w:szCs w:val="20"/>
                <w:lang w:val="en-US"/>
              </w:rPr>
              <w:lastRenderedPageBreak/>
              <w:t xml:space="preserve">Becker </w:t>
            </w:r>
            <w:r w:rsidRPr="00812B6A">
              <w:rPr>
                <w:sz w:val="20"/>
                <w:szCs w:val="20"/>
              </w:rPr>
              <w:fldChar w:fldCharType="begin"/>
            </w:r>
            <w:r w:rsidR="00453ED3">
              <w:rPr>
                <w:sz w:val="20"/>
                <w:szCs w:val="20"/>
                <w:lang w:val="en-US"/>
              </w:rPr>
              <w:instrText xml:space="preserve"> ADDIN ZOTERO_ITEM CSL_CITATION {"citationID":"PGyCWfyT","properties":{"formattedCitation":"(2013)","plainCitation":"(2013)","noteIndex":0},"citationItems":[{"id":1353,"uris":["http://zotero.org/users/8375139/items/66J4W98L"],"uri":["http://zotero.org/users/8375139/items/66J4W98L"],"itemData":{"id":1353,"type":"article-journal","container-title":"Schweiz Zeitschrift für Obst und Weinbau","title":"Piwis in der Praxis","volume":"3","author":[{"family":"Becker","given":"Arno"}],"issued":{"date-parts":[["2013"]]}},"label":"page","suppress-author":true}],"schema":"https://github.com/citation-style-language/schema/raw/master/csl-citation.json"} </w:instrText>
            </w:r>
            <w:r w:rsidRPr="00812B6A">
              <w:rPr>
                <w:sz w:val="20"/>
                <w:szCs w:val="20"/>
              </w:rPr>
              <w:fldChar w:fldCharType="separate"/>
            </w:r>
            <w:r w:rsidR="003C4066" w:rsidRPr="00812B6A">
              <w:rPr>
                <w:rFonts w:ascii="Calibri" w:hAnsi="Calibri" w:cs="Calibri"/>
                <w:sz w:val="20"/>
                <w:szCs w:val="20"/>
              </w:rPr>
              <w:t>(2013)</w:t>
            </w:r>
            <w:r w:rsidRPr="00812B6A">
              <w:rPr>
                <w:sz w:val="20"/>
                <w:szCs w:val="20"/>
              </w:rPr>
              <w:fldChar w:fldCharType="end"/>
            </w:r>
          </w:p>
        </w:tc>
      </w:tr>
      <w:tr w:rsidR="00E95579" w:rsidRPr="00222AC6" w14:paraId="31EF7287" w14:textId="77777777" w:rsidTr="00CE75D4">
        <w:trPr>
          <w:trHeight w:val="669"/>
        </w:trPr>
        <w:tc>
          <w:tcPr>
            <w:tcW w:w="709" w:type="dxa"/>
            <w:vMerge/>
            <w:vAlign w:val="center"/>
          </w:tcPr>
          <w:p w14:paraId="74F983FF" w14:textId="77777777" w:rsidR="00E95579" w:rsidRPr="00812B6A" w:rsidRDefault="00E95579" w:rsidP="00E95579">
            <w:pPr>
              <w:spacing w:before="40" w:after="40"/>
              <w:rPr>
                <w:b/>
                <w:bCs/>
                <w:sz w:val="20"/>
                <w:szCs w:val="20"/>
                <w:lang w:val="en-US"/>
              </w:rPr>
            </w:pPr>
          </w:p>
        </w:tc>
        <w:tc>
          <w:tcPr>
            <w:tcW w:w="1559" w:type="dxa"/>
          </w:tcPr>
          <w:p w14:paraId="2349B8A3" w14:textId="77777777" w:rsidR="00E95579" w:rsidRPr="00812B6A" w:rsidRDefault="00E95579" w:rsidP="00E95579">
            <w:pPr>
              <w:spacing w:before="40" w:after="40"/>
              <w:rPr>
                <w:sz w:val="20"/>
                <w:szCs w:val="20"/>
                <w:lang w:val="en-US"/>
              </w:rPr>
            </w:pPr>
            <w:r w:rsidRPr="00812B6A">
              <w:rPr>
                <w:sz w:val="20"/>
                <w:szCs w:val="20"/>
                <w:lang w:val="en-US"/>
              </w:rPr>
              <w:t>FRG varieties are better for the environment</w:t>
            </w:r>
          </w:p>
        </w:tc>
        <w:tc>
          <w:tcPr>
            <w:tcW w:w="1985" w:type="dxa"/>
          </w:tcPr>
          <w:p w14:paraId="5E3D0760" w14:textId="77777777" w:rsidR="00E95579" w:rsidRPr="00812B6A" w:rsidRDefault="00E95579" w:rsidP="00E95579">
            <w:pPr>
              <w:spacing w:before="40" w:after="40"/>
              <w:rPr>
                <w:sz w:val="20"/>
                <w:szCs w:val="20"/>
                <w:lang w:val="en-US"/>
              </w:rPr>
            </w:pPr>
            <w:r w:rsidRPr="00812B6A">
              <w:rPr>
                <w:sz w:val="20"/>
                <w:szCs w:val="20"/>
                <w:lang w:val="en-US"/>
              </w:rPr>
              <w:t>FRG varieties are better for the environment</w:t>
            </w:r>
          </w:p>
        </w:tc>
        <w:tc>
          <w:tcPr>
            <w:tcW w:w="992" w:type="dxa"/>
          </w:tcPr>
          <w:p w14:paraId="6650D69F" w14:textId="3FB2C8E7" w:rsidR="00E95579" w:rsidRPr="00812B6A" w:rsidRDefault="00E95579" w:rsidP="00E95579">
            <w:pPr>
              <w:spacing w:before="40" w:after="40"/>
              <w:jc w:val="center"/>
              <w:rPr>
                <w:sz w:val="20"/>
                <w:szCs w:val="20"/>
                <w:lang w:val="en-US"/>
              </w:rPr>
            </w:pPr>
            <w:r w:rsidRPr="00812B6A">
              <w:rPr>
                <w:sz w:val="20"/>
                <w:szCs w:val="20"/>
                <w:lang w:val="en-US"/>
              </w:rPr>
              <w:t>+</w:t>
            </w:r>
          </w:p>
        </w:tc>
        <w:tc>
          <w:tcPr>
            <w:tcW w:w="2699" w:type="dxa"/>
          </w:tcPr>
          <w:p w14:paraId="46468F6B" w14:textId="1D768F9F" w:rsidR="00E95579" w:rsidRPr="00812B6A" w:rsidRDefault="00E95579" w:rsidP="00E95579">
            <w:pPr>
              <w:spacing w:before="40" w:after="40"/>
              <w:rPr>
                <w:sz w:val="20"/>
                <w:szCs w:val="20"/>
                <w:lang w:val="en-US"/>
              </w:rPr>
            </w:pPr>
            <w:r w:rsidRPr="00812B6A">
              <w:rPr>
                <w:sz w:val="20"/>
                <w:szCs w:val="20"/>
                <w:lang w:val="en-US"/>
              </w:rPr>
              <w:t>Similar as above.</w:t>
            </w:r>
          </w:p>
        </w:tc>
        <w:tc>
          <w:tcPr>
            <w:tcW w:w="1235" w:type="dxa"/>
            <w:vMerge/>
          </w:tcPr>
          <w:p w14:paraId="1BF8C6CD" w14:textId="77777777" w:rsidR="00E95579" w:rsidRPr="00812B6A" w:rsidRDefault="00E95579" w:rsidP="00E95579">
            <w:pPr>
              <w:spacing w:before="40" w:after="40"/>
              <w:rPr>
                <w:sz w:val="20"/>
                <w:szCs w:val="20"/>
                <w:lang w:val="en-US"/>
              </w:rPr>
            </w:pPr>
          </w:p>
        </w:tc>
      </w:tr>
      <w:tr w:rsidR="00E95579" w:rsidRPr="00A7248F" w14:paraId="5FEA1A31" w14:textId="77777777" w:rsidTr="00CE75D4">
        <w:trPr>
          <w:trHeight w:val="669"/>
        </w:trPr>
        <w:tc>
          <w:tcPr>
            <w:tcW w:w="709" w:type="dxa"/>
            <w:vMerge/>
            <w:vAlign w:val="center"/>
          </w:tcPr>
          <w:p w14:paraId="4A096688" w14:textId="77777777" w:rsidR="00E95579" w:rsidRPr="00812B6A" w:rsidRDefault="00E95579" w:rsidP="00E95579">
            <w:pPr>
              <w:spacing w:before="40" w:after="40"/>
              <w:rPr>
                <w:b/>
                <w:bCs/>
                <w:sz w:val="20"/>
                <w:szCs w:val="20"/>
                <w:lang w:val="en-US"/>
              </w:rPr>
            </w:pPr>
          </w:p>
        </w:tc>
        <w:tc>
          <w:tcPr>
            <w:tcW w:w="1559" w:type="dxa"/>
          </w:tcPr>
          <w:p w14:paraId="65AF3FCD" w14:textId="77777777" w:rsidR="00E95579" w:rsidRPr="00812B6A" w:rsidRDefault="00E95579" w:rsidP="00E95579">
            <w:pPr>
              <w:spacing w:before="40" w:after="40"/>
              <w:rPr>
                <w:sz w:val="20"/>
                <w:szCs w:val="20"/>
                <w:lang w:val="en-US"/>
              </w:rPr>
            </w:pPr>
            <w:r w:rsidRPr="00812B6A">
              <w:rPr>
                <w:sz w:val="20"/>
                <w:szCs w:val="20"/>
                <w:lang w:val="en-US"/>
              </w:rPr>
              <w:t>FRG wine use will increase in the future</w:t>
            </w:r>
          </w:p>
        </w:tc>
        <w:tc>
          <w:tcPr>
            <w:tcW w:w="1985" w:type="dxa"/>
          </w:tcPr>
          <w:p w14:paraId="0F2F97DB" w14:textId="77777777" w:rsidR="00E95579" w:rsidRPr="00812B6A" w:rsidRDefault="00E95579" w:rsidP="00E95579">
            <w:pPr>
              <w:spacing w:before="40" w:after="40"/>
              <w:rPr>
                <w:sz w:val="20"/>
                <w:szCs w:val="20"/>
                <w:lang w:val="en-US"/>
              </w:rPr>
            </w:pPr>
            <w:r w:rsidRPr="00812B6A">
              <w:rPr>
                <w:sz w:val="20"/>
                <w:szCs w:val="20"/>
                <w:lang w:val="en-US"/>
              </w:rPr>
              <w:t>FRG wine use will increase in the future</w:t>
            </w:r>
          </w:p>
        </w:tc>
        <w:tc>
          <w:tcPr>
            <w:tcW w:w="992" w:type="dxa"/>
          </w:tcPr>
          <w:p w14:paraId="2FE1741E" w14:textId="09EE79BF" w:rsidR="00E95579" w:rsidRPr="00812B6A" w:rsidRDefault="00E95579" w:rsidP="00E95579">
            <w:pPr>
              <w:spacing w:before="40" w:after="40"/>
              <w:jc w:val="center"/>
              <w:rPr>
                <w:sz w:val="20"/>
                <w:szCs w:val="20"/>
                <w:lang w:val="en-US"/>
              </w:rPr>
            </w:pPr>
            <w:r w:rsidRPr="00812B6A">
              <w:rPr>
                <w:sz w:val="20"/>
                <w:szCs w:val="20"/>
                <w:lang w:val="en-US"/>
              </w:rPr>
              <w:t>+</w:t>
            </w:r>
          </w:p>
        </w:tc>
        <w:tc>
          <w:tcPr>
            <w:tcW w:w="2699" w:type="dxa"/>
          </w:tcPr>
          <w:p w14:paraId="77306847" w14:textId="27D85394" w:rsidR="00E95579" w:rsidRPr="00812B6A" w:rsidRDefault="00E95579" w:rsidP="00E95579">
            <w:pPr>
              <w:spacing w:before="40" w:after="40"/>
              <w:rPr>
                <w:sz w:val="20"/>
                <w:szCs w:val="20"/>
                <w:lang w:val="en-US"/>
              </w:rPr>
            </w:pPr>
            <w:r w:rsidRPr="00812B6A">
              <w:rPr>
                <w:sz w:val="20"/>
                <w:szCs w:val="20"/>
                <w:lang w:val="en-US"/>
              </w:rPr>
              <w:t>Growers who perceive that the use of fungus-resistant varieties will increase in the future will themselves devoted more land to these varieties.</w:t>
            </w:r>
          </w:p>
        </w:tc>
        <w:tc>
          <w:tcPr>
            <w:tcW w:w="1235" w:type="dxa"/>
            <w:vMerge/>
          </w:tcPr>
          <w:p w14:paraId="171D73A4" w14:textId="77777777" w:rsidR="00E95579" w:rsidRPr="00812B6A" w:rsidRDefault="00E95579" w:rsidP="00E95579">
            <w:pPr>
              <w:spacing w:before="40" w:after="40"/>
              <w:rPr>
                <w:sz w:val="20"/>
                <w:szCs w:val="20"/>
                <w:lang w:val="en-US"/>
              </w:rPr>
            </w:pPr>
          </w:p>
        </w:tc>
      </w:tr>
      <w:tr w:rsidR="00E95579" w:rsidRPr="00A7248F" w14:paraId="3DFDB494" w14:textId="77777777" w:rsidTr="00CE75D4">
        <w:trPr>
          <w:trHeight w:val="678"/>
        </w:trPr>
        <w:tc>
          <w:tcPr>
            <w:tcW w:w="709" w:type="dxa"/>
            <w:vMerge/>
            <w:vAlign w:val="center"/>
          </w:tcPr>
          <w:p w14:paraId="32FBABCF" w14:textId="77777777" w:rsidR="00E95579" w:rsidRPr="00812B6A" w:rsidRDefault="00E95579" w:rsidP="00E95579">
            <w:pPr>
              <w:spacing w:before="40" w:after="40"/>
              <w:rPr>
                <w:b/>
                <w:bCs/>
                <w:sz w:val="20"/>
                <w:szCs w:val="20"/>
                <w:lang w:val="en-US"/>
              </w:rPr>
            </w:pPr>
          </w:p>
        </w:tc>
        <w:tc>
          <w:tcPr>
            <w:tcW w:w="1559" w:type="dxa"/>
          </w:tcPr>
          <w:p w14:paraId="7BFAEE26" w14:textId="77777777" w:rsidR="00E95579" w:rsidRPr="00812B6A" w:rsidRDefault="00E95579" w:rsidP="00E95579">
            <w:pPr>
              <w:spacing w:before="40" w:after="40"/>
              <w:rPr>
                <w:sz w:val="20"/>
                <w:szCs w:val="20"/>
                <w:lang w:val="en-US"/>
              </w:rPr>
            </w:pPr>
            <w:r w:rsidRPr="00812B6A">
              <w:rPr>
                <w:sz w:val="20"/>
                <w:szCs w:val="20"/>
                <w:lang w:val="en-US"/>
              </w:rPr>
              <w:t>Wine from FRG is difficult to market</w:t>
            </w:r>
          </w:p>
        </w:tc>
        <w:tc>
          <w:tcPr>
            <w:tcW w:w="1985" w:type="dxa"/>
          </w:tcPr>
          <w:p w14:paraId="648F32B8" w14:textId="77777777" w:rsidR="00E95579" w:rsidRPr="00812B6A" w:rsidRDefault="00E95579" w:rsidP="00E95579">
            <w:pPr>
              <w:spacing w:before="40" w:after="40"/>
              <w:rPr>
                <w:sz w:val="20"/>
                <w:szCs w:val="20"/>
                <w:lang w:val="en-US"/>
              </w:rPr>
            </w:pPr>
            <w:r w:rsidRPr="00812B6A">
              <w:rPr>
                <w:sz w:val="20"/>
                <w:szCs w:val="20"/>
                <w:lang w:val="en-US"/>
              </w:rPr>
              <w:t>Wine from FRG is difficult to market</w:t>
            </w:r>
          </w:p>
        </w:tc>
        <w:tc>
          <w:tcPr>
            <w:tcW w:w="992" w:type="dxa"/>
          </w:tcPr>
          <w:p w14:paraId="6499B40E" w14:textId="6D0DA462" w:rsidR="00E95579" w:rsidRPr="00812B6A" w:rsidRDefault="00E95579" w:rsidP="00E95579">
            <w:pPr>
              <w:spacing w:before="40" w:after="40"/>
              <w:jc w:val="center"/>
              <w:rPr>
                <w:sz w:val="20"/>
                <w:szCs w:val="20"/>
                <w:lang w:val="en-US"/>
              </w:rPr>
            </w:pPr>
            <w:r w:rsidRPr="00812B6A">
              <w:rPr>
                <w:sz w:val="20"/>
                <w:szCs w:val="20"/>
                <w:lang w:val="en-US"/>
              </w:rPr>
              <w:t>-</w:t>
            </w:r>
            <w:r w:rsidR="006A6B13" w:rsidRPr="00812B6A">
              <w:rPr>
                <w:sz w:val="20"/>
                <w:szCs w:val="20"/>
                <w:lang w:val="en-US"/>
              </w:rPr>
              <w:t>/0</w:t>
            </w:r>
          </w:p>
        </w:tc>
        <w:tc>
          <w:tcPr>
            <w:tcW w:w="2699" w:type="dxa"/>
          </w:tcPr>
          <w:p w14:paraId="779D568C" w14:textId="76B9AB8A" w:rsidR="00E95579" w:rsidRPr="00812B6A" w:rsidRDefault="00E95579" w:rsidP="00E95579">
            <w:pPr>
              <w:spacing w:before="40" w:after="40"/>
              <w:rPr>
                <w:sz w:val="20"/>
                <w:szCs w:val="20"/>
                <w:lang w:val="en-US"/>
              </w:rPr>
            </w:pPr>
            <w:r w:rsidRPr="00812B6A">
              <w:rPr>
                <w:sz w:val="20"/>
                <w:szCs w:val="20"/>
                <w:lang w:val="en-US"/>
              </w:rPr>
              <w:t xml:space="preserve">We expect that </w:t>
            </w:r>
            <w:r w:rsidR="00A966C1" w:rsidRPr="00812B6A">
              <w:rPr>
                <w:sz w:val="20"/>
                <w:szCs w:val="20"/>
                <w:lang w:val="en-US"/>
              </w:rPr>
              <w:t xml:space="preserve">growers who perceive </w:t>
            </w:r>
            <w:r w:rsidR="006A6B13" w:rsidRPr="00812B6A">
              <w:rPr>
                <w:sz w:val="20"/>
                <w:szCs w:val="20"/>
                <w:lang w:val="en-US"/>
              </w:rPr>
              <w:t>difficulties</w:t>
            </w:r>
            <w:r w:rsidR="00A966C1" w:rsidRPr="00812B6A">
              <w:rPr>
                <w:sz w:val="20"/>
                <w:szCs w:val="20"/>
                <w:lang w:val="en-US"/>
              </w:rPr>
              <w:t xml:space="preserve"> in marketing wine from fungus-resistant varieties to </w:t>
            </w:r>
            <w:r w:rsidR="006A6B13" w:rsidRPr="00812B6A">
              <w:rPr>
                <w:sz w:val="20"/>
                <w:szCs w:val="20"/>
                <w:lang w:val="en-US"/>
              </w:rPr>
              <w:t>keep the land share constant or decrease it.</w:t>
            </w:r>
          </w:p>
        </w:tc>
        <w:tc>
          <w:tcPr>
            <w:tcW w:w="1235" w:type="dxa"/>
            <w:vMerge/>
          </w:tcPr>
          <w:p w14:paraId="6A0E346A" w14:textId="77777777" w:rsidR="00E95579" w:rsidRPr="00812B6A" w:rsidRDefault="00E95579" w:rsidP="00E95579">
            <w:pPr>
              <w:spacing w:before="40" w:after="40"/>
              <w:rPr>
                <w:sz w:val="20"/>
                <w:szCs w:val="20"/>
                <w:lang w:val="en-US"/>
              </w:rPr>
            </w:pPr>
          </w:p>
        </w:tc>
      </w:tr>
      <w:tr w:rsidR="00E95579" w:rsidRPr="00222AC6" w14:paraId="549299B6" w14:textId="77777777" w:rsidTr="00CE75D4">
        <w:trPr>
          <w:trHeight w:val="669"/>
        </w:trPr>
        <w:tc>
          <w:tcPr>
            <w:tcW w:w="709" w:type="dxa"/>
            <w:vMerge/>
            <w:vAlign w:val="center"/>
          </w:tcPr>
          <w:p w14:paraId="49056516" w14:textId="77777777" w:rsidR="00E95579" w:rsidRPr="00812B6A" w:rsidRDefault="00E95579" w:rsidP="00E95579">
            <w:pPr>
              <w:spacing w:before="40" w:after="40"/>
              <w:rPr>
                <w:b/>
                <w:bCs/>
                <w:sz w:val="20"/>
                <w:szCs w:val="20"/>
                <w:lang w:val="en-US"/>
              </w:rPr>
            </w:pPr>
          </w:p>
        </w:tc>
        <w:tc>
          <w:tcPr>
            <w:tcW w:w="1559" w:type="dxa"/>
          </w:tcPr>
          <w:p w14:paraId="6F03D63B" w14:textId="77777777" w:rsidR="00E95579" w:rsidRPr="00812B6A" w:rsidRDefault="00E95579" w:rsidP="00E95579">
            <w:pPr>
              <w:spacing w:before="40" w:after="40"/>
              <w:rPr>
                <w:sz w:val="20"/>
                <w:szCs w:val="20"/>
                <w:lang w:val="en-US"/>
              </w:rPr>
            </w:pPr>
            <w:r w:rsidRPr="00812B6A">
              <w:rPr>
                <w:sz w:val="20"/>
                <w:szCs w:val="20"/>
                <w:lang w:val="en-US"/>
              </w:rPr>
              <w:t>Consumers are willing to pay less for wine from FRG</w:t>
            </w:r>
          </w:p>
        </w:tc>
        <w:tc>
          <w:tcPr>
            <w:tcW w:w="1985" w:type="dxa"/>
          </w:tcPr>
          <w:p w14:paraId="013E7C17" w14:textId="77777777" w:rsidR="00E95579" w:rsidRPr="00812B6A" w:rsidRDefault="00E95579" w:rsidP="00E95579">
            <w:pPr>
              <w:spacing w:before="40" w:after="40"/>
              <w:rPr>
                <w:sz w:val="20"/>
                <w:szCs w:val="20"/>
                <w:lang w:val="en-US"/>
              </w:rPr>
            </w:pPr>
            <w:r w:rsidRPr="00812B6A">
              <w:rPr>
                <w:sz w:val="20"/>
                <w:szCs w:val="20"/>
                <w:lang w:val="en-US"/>
              </w:rPr>
              <w:t>Consumers are willing to pay less for wine from FRG</w:t>
            </w:r>
          </w:p>
        </w:tc>
        <w:tc>
          <w:tcPr>
            <w:tcW w:w="992" w:type="dxa"/>
          </w:tcPr>
          <w:p w14:paraId="552B2C23" w14:textId="0AC9E3B6" w:rsidR="00E95579" w:rsidRPr="00812B6A" w:rsidRDefault="006A6B13" w:rsidP="00E95579">
            <w:pPr>
              <w:spacing w:before="40" w:after="40"/>
              <w:jc w:val="center"/>
              <w:rPr>
                <w:sz w:val="20"/>
                <w:szCs w:val="20"/>
                <w:lang w:val="en-US"/>
              </w:rPr>
            </w:pPr>
            <w:r w:rsidRPr="00812B6A">
              <w:rPr>
                <w:sz w:val="20"/>
                <w:szCs w:val="20"/>
                <w:lang w:val="en-US"/>
              </w:rPr>
              <w:t>-/0</w:t>
            </w:r>
          </w:p>
        </w:tc>
        <w:tc>
          <w:tcPr>
            <w:tcW w:w="2699" w:type="dxa"/>
          </w:tcPr>
          <w:p w14:paraId="744913E1" w14:textId="4092A493" w:rsidR="00E95579" w:rsidRPr="00812B6A" w:rsidRDefault="006A6B13" w:rsidP="00E95579">
            <w:pPr>
              <w:spacing w:before="40" w:after="40"/>
              <w:rPr>
                <w:sz w:val="20"/>
                <w:szCs w:val="20"/>
                <w:lang w:val="en-US"/>
              </w:rPr>
            </w:pPr>
            <w:r w:rsidRPr="00812B6A">
              <w:rPr>
                <w:sz w:val="20"/>
                <w:szCs w:val="20"/>
                <w:lang w:val="en-US"/>
              </w:rPr>
              <w:t>Similar as above.</w:t>
            </w:r>
          </w:p>
        </w:tc>
        <w:tc>
          <w:tcPr>
            <w:tcW w:w="1235" w:type="dxa"/>
            <w:vMerge/>
          </w:tcPr>
          <w:p w14:paraId="328C89E3" w14:textId="77777777" w:rsidR="00E95579" w:rsidRPr="00812B6A" w:rsidRDefault="00E95579" w:rsidP="00E95579">
            <w:pPr>
              <w:spacing w:before="40" w:after="40"/>
              <w:rPr>
                <w:sz w:val="20"/>
                <w:szCs w:val="20"/>
                <w:lang w:val="en-US"/>
              </w:rPr>
            </w:pPr>
          </w:p>
        </w:tc>
      </w:tr>
      <w:tr w:rsidR="00E95579" w:rsidRPr="00222AC6" w14:paraId="27862EB9" w14:textId="77777777" w:rsidTr="00CE75D4">
        <w:trPr>
          <w:trHeight w:val="669"/>
        </w:trPr>
        <w:tc>
          <w:tcPr>
            <w:tcW w:w="709" w:type="dxa"/>
            <w:vMerge/>
            <w:vAlign w:val="center"/>
          </w:tcPr>
          <w:p w14:paraId="171FC990" w14:textId="77777777" w:rsidR="00E95579" w:rsidRPr="00812B6A" w:rsidRDefault="00E95579" w:rsidP="00E95579">
            <w:pPr>
              <w:spacing w:before="40" w:after="40"/>
              <w:rPr>
                <w:b/>
                <w:bCs/>
                <w:sz w:val="20"/>
                <w:szCs w:val="20"/>
                <w:lang w:val="en-US"/>
              </w:rPr>
            </w:pPr>
          </w:p>
        </w:tc>
        <w:tc>
          <w:tcPr>
            <w:tcW w:w="1559" w:type="dxa"/>
          </w:tcPr>
          <w:p w14:paraId="3984691D" w14:textId="77777777" w:rsidR="00E95579" w:rsidRPr="00812B6A" w:rsidRDefault="00E95579" w:rsidP="00E95579">
            <w:pPr>
              <w:spacing w:before="40" w:after="40"/>
              <w:rPr>
                <w:sz w:val="20"/>
                <w:szCs w:val="20"/>
                <w:lang w:val="en-US"/>
              </w:rPr>
            </w:pPr>
            <w:r w:rsidRPr="00812B6A">
              <w:rPr>
                <w:sz w:val="20"/>
                <w:szCs w:val="20"/>
                <w:lang w:val="en-US"/>
              </w:rPr>
              <w:t>Wine from FRG is of lower quality than traditional varieties</w:t>
            </w:r>
          </w:p>
        </w:tc>
        <w:tc>
          <w:tcPr>
            <w:tcW w:w="1985" w:type="dxa"/>
          </w:tcPr>
          <w:p w14:paraId="27C1422C" w14:textId="77777777" w:rsidR="00E95579" w:rsidRPr="00812B6A" w:rsidRDefault="00E95579" w:rsidP="00E95579">
            <w:pPr>
              <w:spacing w:before="40" w:after="40"/>
              <w:rPr>
                <w:sz w:val="20"/>
                <w:szCs w:val="20"/>
                <w:lang w:val="en-US"/>
              </w:rPr>
            </w:pPr>
            <w:r w:rsidRPr="00812B6A">
              <w:rPr>
                <w:sz w:val="20"/>
                <w:szCs w:val="20"/>
                <w:lang w:val="en-US"/>
              </w:rPr>
              <w:t>Wine from FRG is of lower quality than traditional varieties</w:t>
            </w:r>
          </w:p>
        </w:tc>
        <w:tc>
          <w:tcPr>
            <w:tcW w:w="992" w:type="dxa"/>
          </w:tcPr>
          <w:p w14:paraId="3C145426" w14:textId="49578D4A" w:rsidR="00E95579" w:rsidRPr="00812B6A" w:rsidRDefault="006A6B13" w:rsidP="00E95579">
            <w:pPr>
              <w:spacing w:before="40" w:after="40"/>
              <w:jc w:val="center"/>
              <w:rPr>
                <w:sz w:val="20"/>
                <w:szCs w:val="20"/>
                <w:lang w:val="en-US"/>
              </w:rPr>
            </w:pPr>
            <w:r w:rsidRPr="00812B6A">
              <w:rPr>
                <w:sz w:val="20"/>
                <w:szCs w:val="20"/>
                <w:lang w:val="en-US"/>
              </w:rPr>
              <w:t>-/0</w:t>
            </w:r>
          </w:p>
        </w:tc>
        <w:tc>
          <w:tcPr>
            <w:tcW w:w="2699" w:type="dxa"/>
          </w:tcPr>
          <w:p w14:paraId="72ECF830" w14:textId="24B286E8" w:rsidR="00E95579" w:rsidRPr="00812B6A" w:rsidRDefault="006A6B13" w:rsidP="00E95579">
            <w:pPr>
              <w:spacing w:before="40" w:after="40"/>
              <w:rPr>
                <w:sz w:val="20"/>
                <w:szCs w:val="20"/>
                <w:lang w:val="en-US"/>
              </w:rPr>
            </w:pPr>
            <w:r w:rsidRPr="00812B6A">
              <w:rPr>
                <w:sz w:val="20"/>
                <w:szCs w:val="20"/>
                <w:lang w:val="en-US"/>
              </w:rPr>
              <w:t>Similar as above.</w:t>
            </w:r>
          </w:p>
        </w:tc>
        <w:tc>
          <w:tcPr>
            <w:tcW w:w="1235" w:type="dxa"/>
            <w:vMerge/>
          </w:tcPr>
          <w:p w14:paraId="07FA4719" w14:textId="77777777" w:rsidR="00E95579" w:rsidRPr="00812B6A" w:rsidRDefault="00E95579" w:rsidP="00E95579">
            <w:pPr>
              <w:spacing w:before="40" w:after="40"/>
              <w:rPr>
                <w:sz w:val="20"/>
                <w:szCs w:val="20"/>
                <w:lang w:val="en-US"/>
              </w:rPr>
            </w:pPr>
          </w:p>
        </w:tc>
      </w:tr>
      <w:tr w:rsidR="00E95579" w:rsidRPr="00A83D7E" w14:paraId="25529C5D" w14:textId="77777777" w:rsidTr="00CE75D4">
        <w:trPr>
          <w:trHeight w:val="669"/>
        </w:trPr>
        <w:tc>
          <w:tcPr>
            <w:tcW w:w="709" w:type="dxa"/>
            <w:vMerge w:val="restart"/>
            <w:tcBorders>
              <w:top w:val="single" w:sz="8" w:space="0" w:color="auto"/>
            </w:tcBorders>
            <w:textDirection w:val="btLr"/>
            <w:vAlign w:val="center"/>
          </w:tcPr>
          <w:p w14:paraId="61BB423A" w14:textId="77777777" w:rsidR="00E95579" w:rsidRPr="00812B6A" w:rsidRDefault="00E95579" w:rsidP="00E95579">
            <w:pPr>
              <w:spacing w:before="40" w:after="40"/>
              <w:ind w:left="113" w:right="113"/>
              <w:jc w:val="center"/>
              <w:rPr>
                <w:b/>
                <w:bCs/>
                <w:sz w:val="20"/>
                <w:szCs w:val="20"/>
                <w:lang w:val="en-US"/>
              </w:rPr>
            </w:pPr>
            <w:r w:rsidRPr="00812B6A">
              <w:rPr>
                <w:b/>
                <w:bCs/>
                <w:sz w:val="20"/>
                <w:szCs w:val="20"/>
                <w:lang w:val="en-US"/>
              </w:rPr>
              <w:t>Farmer preferences</w:t>
            </w:r>
          </w:p>
        </w:tc>
        <w:tc>
          <w:tcPr>
            <w:tcW w:w="1559" w:type="dxa"/>
            <w:tcBorders>
              <w:top w:val="single" w:sz="8" w:space="0" w:color="auto"/>
            </w:tcBorders>
          </w:tcPr>
          <w:p w14:paraId="67E88ECC" w14:textId="77777777" w:rsidR="00E95579" w:rsidRPr="00812B6A" w:rsidRDefault="00E95579" w:rsidP="00E95579">
            <w:pPr>
              <w:spacing w:before="40" w:after="40"/>
              <w:rPr>
                <w:sz w:val="20"/>
                <w:szCs w:val="20"/>
                <w:lang w:val="en-US"/>
              </w:rPr>
            </w:pPr>
            <w:r w:rsidRPr="00812B6A">
              <w:rPr>
                <w:sz w:val="20"/>
                <w:szCs w:val="20"/>
                <w:lang w:val="en-US"/>
              </w:rPr>
              <w:t>Time preferences</w:t>
            </w:r>
          </w:p>
        </w:tc>
        <w:tc>
          <w:tcPr>
            <w:tcW w:w="1985" w:type="dxa"/>
            <w:tcBorders>
              <w:top w:val="single" w:sz="8" w:space="0" w:color="auto"/>
            </w:tcBorders>
          </w:tcPr>
          <w:p w14:paraId="5FBB1F3E" w14:textId="77777777" w:rsidR="00E95579" w:rsidRPr="00812B6A" w:rsidRDefault="00E95579" w:rsidP="00E95579">
            <w:pPr>
              <w:spacing w:before="40" w:after="40"/>
              <w:rPr>
                <w:sz w:val="20"/>
                <w:szCs w:val="20"/>
                <w:lang w:val="en-US"/>
              </w:rPr>
            </w:pPr>
            <w:r w:rsidRPr="00812B6A">
              <w:rPr>
                <w:sz w:val="20"/>
                <w:szCs w:val="20"/>
                <w:lang w:val="en-US"/>
              </w:rPr>
              <w:t>How willing is the farmer to give up income that is beneficial for them today in order to benefit more from that in the future</w:t>
            </w:r>
          </w:p>
        </w:tc>
        <w:tc>
          <w:tcPr>
            <w:tcW w:w="992" w:type="dxa"/>
            <w:tcBorders>
              <w:top w:val="single" w:sz="8" w:space="0" w:color="auto"/>
            </w:tcBorders>
          </w:tcPr>
          <w:p w14:paraId="28AA8662" w14:textId="47CEB074" w:rsidR="00E95579" w:rsidRPr="00812B6A" w:rsidRDefault="00E95579" w:rsidP="00E95579">
            <w:pPr>
              <w:spacing w:before="40" w:after="40"/>
              <w:jc w:val="center"/>
              <w:rPr>
                <w:sz w:val="20"/>
                <w:szCs w:val="20"/>
                <w:lang w:val="en-US"/>
              </w:rPr>
            </w:pPr>
            <w:r w:rsidRPr="00812B6A">
              <w:rPr>
                <w:sz w:val="20"/>
                <w:szCs w:val="20"/>
                <w:lang w:val="en-US"/>
              </w:rPr>
              <w:t>+</w:t>
            </w:r>
          </w:p>
        </w:tc>
        <w:tc>
          <w:tcPr>
            <w:tcW w:w="2699" w:type="dxa"/>
            <w:tcBorders>
              <w:top w:val="single" w:sz="8" w:space="0" w:color="auto"/>
            </w:tcBorders>
          </w:tcPr>
          <w:p w14:paraId="30F236EB" w14:textId="3FB1E86D" w:rsidR="00E95579" w:rsidRPr="00812B6A" w:rsidRDefault="00E95579" w:rsidP="00E95579">
            <w:pPr>
              <w:spacing w:before="40" w:after="40"/>
              <w:rPr>
                <w:sz w:val="20"/>
                <w:szCs w:val="20"/>
                <w:lang w:val="en-US"/>
              </w:rPr>
            </w:pPr>
            <w:r w:rsidRPr="00812B6A">
              <w:rPr>
                <w:sz w:val="20"/>
                <w:szCs w:val="20"/>
                <w:lang w:val="en-US"/>
              </w:rPr>
              <w:t xml:space="preserve">We expect that grapevine growers who are willing to give up something today (e.g. traditional varieties under cultivation) to benefit more from it in the future will increase their land share under fungus-resistant varieties because the benefits of replanting will only materialized in some years. </w:t>
            </w:r>
          </w:p>
        </w:tc>
        <w:tc>
          <w:tcPr>
            <w:tcW w:w="1235" w:type="dxa"/>
            <w:tcBorders>
              <w:top w:val="single" w:sz="8" w:space="0" w:color="auto"/>
            </w:tcBorders>
          </w:tcPr>
          <w:p w14:paraId="57319CA0" w14:textId="651210BC" w:rsidR="00E95579" w:rsidRPr="00812B6A" w:rsidRDefault="00E95579" w:rsidP="00E95579">
            <w:pPr>
              <w:spacing w:before="40" w:after="40"/>
              <w:rPr>
                <w:sz w:val="20"/>
                <w:szCs w:val="20"/>
                <w:lang w:val="fr-CH"/>
              </w:rPr>
            </w:pPr>
            <w:r w:rsidRPr="00812B6A">
              <w:rPr>
                <w:sz w:val="20"/>
                <w:szCs w:val="20"/>
                <w:lang w:val="fr-CH"/>
              </w:rPr>
              <w:t xml:space="preserve">Mao et al. </w:t>
            </w:r>
            <w:r w:rsidRPr="00812B6A">
              <w:rPr>
                <w:sz w:val="20"/>
                <w:szCs w:val="20"/>
                <w:lang w:val="en-US"/>
              </w:rPr>
              <w:fldChar w:fldCharType="begin"/>
            </w:r>
            <w:r w:rsidR="00453ED3">
              <w:rPr>
                <w:sz w:val="20"/>
                <w:szCs w:val="20"/>
                <w:lang w:val="fr-CH"/>
              </w:rPr>
              <w:instrText xml:space="preserve"> ADDIN ZOTERO_ITEM CSL_CITATION {"citationID":"m4n8JMYQ","properties":{"formattedCitation":"(2021)","plainCitation":"(2021)","noteIndex":0},"citationItems":[{"id":889,"uris":["http://zotero.org/users/8375139/items/UDAXATYK"],"uri":["http://zotero.org/users/8375139/items/UDAXATYK"],"itemData":{"id":889,"type":"article-journal","container-title":"Land Use Policy","DOI":"10.1016/j.landusepol.2021.105627","ISSN":"02648377","journalAbbreviation":"Land Use Policy","language":"en","page":"105627","source":"DOI.org (Crossref)","title":"Time Preferences and green agricultural technology adoption: Field evidence from rice farmers in China","title-short":"Time Preferences and green agricultural technology adoption","volume":"109","author":[{"family":"Mao","given":"Hui"},{"family":"Zhou","given":"Li"},{"family":"Ying","given":"RuiYao"},{"family":"Pan","given":"Dan"}],"issued":{"date-parts":[["2021",10]]}},"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lang w:val="fr-FR"/>
              </w:rPr>
              <w:t>(2021)</w:t>
            </w:r>
            <w:r w:rsidRPr="00812B6A">
              <w:rPr>
                <w:sz w:val="20"/>
                <w:szCs w:val="20"/>
                <w:lang w:val="en-US"/>
              </w:rPr>
              <w:fldChar w:fldCharType="end"/>
            </w:r>
            <w:r w:rsidRPr="00812B6A">
              <w:rPr>
                <w:sz w:val="20"/>
                <w:szCs w:val="20"/>
                <w:lang w:val="fr-CH"/>
              </w:rPr>
              <w:t xml:space="preserve">; Falk et al. </w:t>
            </w:r>
            <w:r w:rsidRPr="00812B6A">
              <w:rPr>
                <w:sz w:val="20"/>
                <w:szCs w:val="20"/>
                <w:lang w:val="en-US"/>
              </w:rPr>
              <w:fldChar w:fldCharType="begin"/>
            </w:r>
            <w:r w:rsidR="00453ED3">
              <w:rPr>
                <w:sz w:val="20"/>
                <w:szCs w:val="20"/>
                <w:lang w:val="fr-CH"/>
              </w:rPr>
              <w:instrText xml:space="preserve"> ADDIN ZOTERO_ITEM CSL_CITATION {"citationID":"myJIpz6o","properties":{"formattedCitation":"(2018)","plainCitation":"(2018)","noteIndex":0},"citationItems":[{"id":230,"uris":["http://zotero.org/users/8375139/items/PNCKE6RJ"],"uri":["http://zotero.org/users/8375139/items/PNCKE6RJ"],"itemData":{"id":230,"type":"article-journal","container-title":"The Quarterly Journal of Economics","DOI":"10.1093/qje/qjy013","ISSN":"0033-5533, 1531-4650","issue":"4","language":"en","page":"1645-1692","source":"DOI.org (Crossref)","title":"Global Evidence on Economic Preferences","volume":"133","author":[{"family":"Falk","given":"Armin"},{"family":"Becker","given":"Anke"},{"family":"Dohmen","given":"Thomas"},{"family":"Enke","given":"Benjamin"},{"family":"Huffman","given":"David"},{"family":"Sunde","given":"Uwe"}],"issued":{"date-parts":[["2018",11,1]]}},"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rPr>
              <w:t>(2018)</w:t>
            </w:r>
            <w:r w:rsidRPr="00812B6A">
              <w:rPr>
                <w:sz w:val="20"/>
                <w:szCs w:val="20"/>
                <w:lang w:val="en-US"/>
              </w:rPr>
              <w:fldChar w:fldCharType="end"/>
            </w:r>
          </w:p>
        </w:tc>
      </w:tr>
      <w:tr w:rsidR="00E95579" w:rsidRPr="00D2075C" w14:paraId="6673BB4E" w14:textId="77777777" w:rsidTr="00CE75D4">
        <w:trPr>
          <w:trHeight w:val="669"/>
        </w:trPr>
        <w:tc>
          <w:tcPr>
            <w:tcW w:w="709" w:type="dxa"/>
            <w:vMerge/>
          </w:tcPr>
          <w:p w14:paraId="6D456763" w14:textId="77777777" w:rsidR="00E95579" w:rsidRPr="00812B6A" w:rsidRDefault="00E95579" w:rsidP="00E95579">
            <w:pPr>
              <w:spacing w:before="40" w:after="40"/>
              <w:rPr>
                <w:sz w:val="20"/>
                <w:szCs w:val="20"/>
                <w:lang w:val="fr-CH"/>
              </w:rPr>
            </w:pPr>
          </w:p>
        </w:tc>
        <w:tc>
          <w:tcPr>
            <w:tcW w:w="1559" w:type="dxa"/>
          </w:tcPr>
          <w:p w14:paraId="1A9C255F" w14:textId="77777777" w:rsidR="00E95579" w:rsidRPr="00812B6A" w:rsidRDefault="00E95579" w:rsidP="00E95579">
            <w:pPr>
              <w:spacing w:before="40" w:after="40"/>
              <w:rPr>
                <w:sz w:val="20"/>
                <w:szCs w:val="20"/>
                <w:lang w:val="en-US"/>
              </w:rPr>
            </w:pPr>
            <w:r w:rsidRPr="00812B6A">
              <w:rPr>
                <w:sz w:val="20"/>
                <w:szCs w:val="20"/>
                <w:lang w:val="en-US"/>
              </w:rPr>
              <w:t>Production risk preferences</w:t>
            </w:r>
          </w:p>
        </w:tc>
        <w:tc>
          <w:tcPr>
            <w:tcW w:w="1985" w:type="dxa"/>
          </w:tcPr>
          <w:p w14:paraId="73527045" w14:textId="77777777" w:rsidR="00E95579" w:rsidRPr="00812B6A" w:rsidRDefault="00E95579" w:rsidP="00E95579">
            <w:pPr>
              <w:spacing w:before="40" w:after="40"/>
              <w:rPr>
                <w:sz w:val="20"/>
                <w:szCs w:val="20"/>
                <w:lang w:val="en-US"/>
              </w:rPr>
            </w:pPr>
            <w:r w:rsidRPr="00812B6A">
              <w:rPr>
                <w:sz w:val="20"/>
                <w:szCs w:val="20"/>
                <w:lang w:val="en-US"/>
              </w:rPr>
              <w:t>Is the farmer willing to take risks or tries to mitigate risks in p</w:t>
            </w:r>
            <w:r w:rsidRPr="00812B6A">
              <w:rPr>
                <w:rFonts w:eastAsia="Times New Roman"/>
                <w:sz w:val="20"/>
                <w:szCs w:val="20"/>
                <w:lang w:val="en-US"/>
              </w:rPr>
              <w:t>roduction</w:t>
            </w:r>
          </w:p>
        </w:tc>
        <w:tc>
          <w:tcPr>
            <w:tcW w:w="992" w:type="dxa"/>
          </w:tcPr>
          <w:p w14:paraId="3CAA0133" w14:textId="51AF2942" w:rsidR="00E95579" w:rsidRPr="00812B6A" w:rsidRDefault="00E95579" w:rsidP="00E95579">
            <w:pPr>
              <w:spacing w:before="40" w:after="40"/>
              <w:jc w:val="center"/>
              <w:rPr>
                <w:sz w:val="20"/>
                <w:szCs w:val="20"/>
                <w:lang w:val="en-US"/>
              </w:rPr>
            </w:pPr>
            <w:r w:rsidRPr="00812B6A">
              <w:rPr>
                <w:sz w:val="20"/>
                <w:szCs w:val="20"/>
                <w:lang w:val="en-US"/>
              </w:rPr>
              <w:t>-</w:t>
            </w:r>
          </w:p>
        </w:tc>
        <w:tc>
          <w:tcPr>
            <w:tcW w:w="2699" w:type="dxa"/>
          </w:tcPr>
          <w:p w14:paraId="60FCDE5D" w14:textId="3B89624B" w:rsidR="00E95579" w:rsidRPr="00812B6A" w:rsidRDefault="00E95579" w:rsidP="00E95579">
            <w:pPr>
              <w:spacing w:before="40" w:after="40"/>
              <w:rPr>
                <w:sz w:val="20"/>
                <w:szCs w:val="20"/>
                <w:lang w:val="en-US"/>
              </w:rPr>
            </w:pPr>
            <w:r w:rsidRPr="00812B6A">
              <w:rPr>
                <w:sz w:val="20"/>
                <w:szCs w:val="20"/>
                <w:lang w:val="en-US"/>
              </w:rPr>
              <w:t xml:space="preserve">Since fungus-resistant varieties are more tolerant towards fungal infestations, thus reducing risks in production, we expect growers who are risk-averse in the production domain to increase their land share. </w:t>
            </w:r>
          </w:p>
        </w:tc>
        <w:tc>
          <w:tcPr>
            <w:tcW w:w="1235" w:type="dxa"/>
            <w:vMerge w:val="restart"/>
            <w:vAlign w:val="center"/>
          </w:tcPr>
          <w:p w14:paraId="5FEB71A5" w14:textId="2BECA018" w:rsidR="00E95579" w:rsidRPr="00812B6A" w:rsidRDefault="00E95579" w:rsidP="00E95579">
            <w:pPr>
              <w:spacing w:before="40" w:after="40"/>
              <w:rPr>
                <w:sz w:val="20"/>
                <w:szCs w:val="20"/>
                <w:lang w:val="fr-CH"/>
              </w:rPr>
            </w:pPr>
            <w:r w:rsidRPr="00812B6A">
              <w:rPr>
                <w:sz w:val="20"/>
                <w:szCs w:val="20"/>
                <w:lang w:val="fr-CH"/>
              </w:rPr>
              <w:t xml:space="preserve">Dohmen et al. </w:t>
            </w:r>
            <w:r w:rsidRPr="00812B6A">
              <w:rPr>
                <w:sz w:val="20"/>
                <w:szCs w:val="20"/>
                <w:lang w:val="en-US"/>
              </w:rPr>
              <w:fldChar w:fldCharType="begin"/>
            </w:r>
            <w:r w:rsidR="00453ED3">
              <w:rPr>
                <w:sz w:val="20"/>
                <w:szCs w:val="20"/>
                <w:lang w:val="fr-CH"/>
              </w:rPr>
              <w:instrText xml:space="preserve"> ADDIN ZOTERO_ITEM CSL_CITATION {"citationID":"8R0c96O4","properties":{"formattedCitation":"(2011)","plainCitation":"(2011)","noteIndex":0},"citationItems":[{"id":1077,"uris":["http://zotero.org/users/8375139/items/8TL7IPUT"],"uri":["http://zotero.org/users/8375139/items/8TL7IPUT"],"itemData":{"id":1077,"type":"article-journal","container-title":"Journal of the European Economic Association","DOI":"10.1111/j.1542-4774.2011.01015.x","ISSN":"15424766","issue":"3","language":"en","page":"522-550","source":"DOI.org (Crossref)","title":"Individual Risk Attitudes: Measurement, Determinants, and Behavioral Consequences","title-short":"INDIVIDUAL RISK ATTITUDES","volume":"9","author":[{"family":"Dohmen","given":"Thomas"},{"family":"Falk","given":"Armin"},{"family":"Huffman","given":"David"},{"family":"Sunde","given":"Uwe"},{"family":"Schupp","given":"Jürgen"},{"family":"Wagner","given":"Gert G."}],"issued":{"date-parts":[["2011",6]]}},"label":"page","suppress-author":true}],"schema":"https://github.com/citation-style-language/schema/raw/master/csl-citation.json"}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lang w:val="fr-FR"/>
              </w:rPr>
              <w:t>(2011)</w:t>
            </w:r>
            <w:r w:rsidRPr="00812B6A">
              <w:rPr>
                <w:sz w:val="20"/>
                <w:szCs w:val="20"/>
                <w:lang w:val="en-US"/>
              </w:rPr>
              <w:fldChar w:fldCharType="end"/>
            </w:r>
            <w:r w:rsidRPr="00812B6A">
              <w:rPr>
                <w:sz w:val="20"/>
                <w:szCs w:val="20"/>
                <w:lang w:val="fr-CH"/>
              </w:rPr>
              <w:t xml:space="preserve">; Weber et al. </w:t>
            </w:r>
            <w:r w:rsidRPr="00812B6A">
              <w:rPr>
                <w:sz w:val="20"/>
                <w:szCs w:val="20"/>
                <w:lang w:val="en-US"/>
              </w:rPr>
              <w:fldChar w:fldCharType="begin"/>
            </w:r>
            <w:r w:rsidR="00453ED3">
              <w:rPr>
                <w:sz w:val="20"/>
                <w:szCs w:val="20"/>
                <w:lang w:val="fr-CH"/>
              </w:rPr>
              <w:instrText xml:space="preserve"> ADDIN ZOTERO_ITEM CSL_CITATION {"citationID":"w83OQKj0","properties":{"formattedCitation":"(2002)","plainCitation":"(2002)","noteIndex":0},"citationItems":[{"id":1491,"uris":["http://zotero.org/users/8375139/items/KXJTJB68"],"uri":["http://zotero.org/users/8375139/items/KXJTJB68"],"itemData":{"id":1491,"type":"article-journal","container-title":"Journal of Behavioral Decision Making","DOI":"10.1002/bdm.414","ISSN":"0894-3257, 1099-0771","issue":"4","journalAbbreviation":"J. Behav. Decis. Making","language":"en","page":"263-290","source":"DOI.org (Crossref)","title":"A domain-specific risk-attitude scale: measuring risk perceptions and risk behaviors","title-short":"A domain-specific risk-attitude scale","volume":"15","author":[{"family":"Weber","given":"Elke U."},{"family":"Blais","given":"Ann-Ren</w:instrText>
            </w:r>
            <w:r w:rsidR="00453ED3">
              <w:rPr>
                <w:rFonts w:ascii="Tahoma" w:hAnsi="Tahoma" w:cs="Tahoma"/>
                <w:sz w:val="20"/>
                <w:szCs w:val="20"/>
                <w:lang w:val="fr-CH"/>
              </w:rPr>
              <w:instrText>�</w:instrText>
            </w:r>
            <w:r w:rsidR="00453ED3">
              <w:rPr>
                <w:sz w:val="20"/>
                <w:szCs w:val="20"/>
                <w:lang w:val="fr-CH"/>
              </w:rPr>
              <w:instrText xml:space="preserve">e"},{"family":"Betz","given":"Nancy E."}],"issued":{"date-parts":[["2002",10]]}},"label":"page","suppress-author":true}],"schema":"https://github.com/citation-style-language/schema/raw/master/csl-citation.json"}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lang w:val="fr-FR"/>
              </w:rPr>
              <w:t>(2002)</w:t>
            </w:r>
            <w:r w:rsidRPr="00812B6A">
              <w:rPr>
                <w:sz w:val="20"/>
                <w:szCs w:val="20"/>
                <w:lang w:val="en-US"/>
              </w:rPr>
              <w:fldChar w:fldCharType="end"/>
            </w:r>
            <w:r w:rsidRPr="00812B6A">
              <w:rPr>
                <w:sz w:val="20"/>
                <w:szCs w:val="20"/>
                <w:lang w:val="fr-CH"/>
              </w:rPr>
              <w:t xml:space="preserve">; Rommel et al. </w:t>
            </w:r>
            <w:r w:rsidRPr="00812B6A">
              <w:rPr>
                <w:sz w:val="20"/>
                <w:szCs w:val="20"/>
                <w:lang w:val="en-US"/>
              </w:rPr>
              <w:fldChar w:fldCharType="begin"/>
            </w:r>
            <w:r w:rsidR="00453ED3">
              <w:rPr>
                <w:sz w:val="20"/>
                <w:szCs w:val="20"/>
                <w:lang w:val="fr-CH"/>
              </w:rPr>
              <w:instrText xml:space="preserve"> ADDIN ZOTERO_ITEM CSL_CITATION {"citationID":"OV40R8YW","properties":{"formattedCitation":"(2019)","plainCitation":"(2019)","noteIndex":0},"citationItems":[{"id":1422,"uris":["http://zotero.org/users/8375139/items/CFBRHWGP"],"uri":["http://zotero.org/users/8375139/items/CFBRHWGP"],"itemData":{"id":1422,"type":"article-journal","container-title":"Journal of Agricultural Economics","DOI":"10.1111/1477-9552.12298","ISSN":"0021-857X, 1477-9552","issue":"2","journalAbbreviation":"J Agric Econ","language":"en","page":"408-425","source":"DOI.org (Crossref)","title":"Contextual Framing and Monetary Incentives in Field Experiments on Risk Preferences: Evidence from German Farmers","title-short":"Contextual Framing and Monetary Incentives in Field Experiments on Risk Preferences","volume":"70","author":[{"family":"Rommel","given":"Jens"},{"family":"Hermann","given":"Daniel"},{"family":"Müller","given":"Malte"},{"family":"Musshoff","given":"Oliver"}],"issued":{"date-parts":[["2019",6]]}},"label":"page","suppress-author":true}],"schema":"https://github.com/citation-style-language/schema/raw/master/csl-citation.json"} </w:instrText>
            </w:r>
            <w:r w:rsidRPr="00812B6A">
              <w:rPr>
                <w:sz w:val="20"/>
                <w:szCs w:val="20"/>
                <w:lang w:val="en-US"/>
              </w:rPr>
              <w:fldChar w:fldCharType="separate"/>
            </w:r>
            <w:r w:rsidR="003C4066" w:rsidRPr="00812B6A">
              <w:rPr>
                <w:rFonts w:ascii="Calibri" w:hAnsi="Calibri" w:cs="Calibri"/>
                <w:sz w:val="20"/>
                <w:szCs w:val="20"/>
              </w:rPr>
              <w:t>(2019)</w:t>
            </w:r>
            <w:r w:rsidRPr="00812B6A">
              <w:rPr>
                <w:sz w:val="20"/>
                <w:szCs w:val="20"/>
                <w:lang w:val="en-US"/>
              </w:rPr>
              <w:fldChar w:fldCharType="end"/>
            </w:r>
          </w:p>
        </w:tc>
      </w:tr>
      <w:tr w:rsidR="00E95579" w:rsidRPr="00B5658B" w14:paraId="239F73D2" w14:textId="77777777" w:rsidTr="00CE75D4">
        <w:trPr>
          <w:trHeight w:val="669"/>
        </w:trPr>
        <w:tc>
          <w:tcPr>
            <w:tcW w:w="709" w:type="dxa"/>
            <w:vMerge/>
          </w:tcPr>
          <w:p w14:paraId="00E57C8D" w14:textId="77777777" w:rsidR="00E95579" w:rsidRPr="00812B6A" w:rsidRDefault="00E95579" w:rsidP="00E95579">
            <w:pPr>
              <w:spacing w:before="40" w:after="40"/>
              <w:rPr>
                <w:sz w:val="20"/>
                <w:szCs w:val="20"/>
                <w:lang w:val="fr-CH"/>
              </w:rPr>
            </w:pPr>
          </w:p>
        </w:tc>
        <w:tc>
          <w:tcPr>
            <w:tcW w:w="1559" w:type="dxa"/>
          </w:tcPr>
          <w:p w14:paraId="7EE7DF32" w14:textId="77777777" w:rsidR="00E95579" w:rsidRPr="00812B6A" w:rsidRDefault="00E95579" w:rsidP="00E95579">
            <w:pPr>
              <w:spacing w:before="40" w:after="40"/>
              <w:rPr>
                <w:sz w:val="20"/>
                <w:szCs w:val="20"/>
                <w:lang w:val="en-US"/>
              </w:rPr>
            </w:pPr>
            <w:r w:rsidRPr="00812B6A">
              <w:rPr>
                <w:sz w:val="20"/>
                <w:szCs w:val="20"/>
                <w:lang w:val="en-US"/>
              </w:rPr>
              <w:t>Market risk preferences</w:t>
            </w:r>
          </w:p>
        </w:tc>
        <w:tc>
          <w:tcPr>
            <w:tcW w:w="1985" w:type="dxa"/>
          </w:tcPr>
          <w:p w14:paraId="206A874A" w14:textId="77777777" w:rsidR="00E95579" w:rsidRPr="00812B6A" w:rsidRDefault="00E95579" w:rsidP="00E95579">
            <w:pPr>
              <w:spacing w:before="40" w:after="40"/>
              <w:rPr>
                <w:sz w:val="20"/>
                <w:szCs w:val="20"/>
                <w:lang w:val="en-US"/>
              </w:rPr>
            </w:pPr>
            <w:r w:rsidRPr="00812B6A">
              <w:rPr>
                <w:sz w:val="20"/>
                <w:szCs w:val="20"/>
                <w:lang w:val="en-US"/>
              </w:rPr>
              <w:t>Is the farmer willing to take risks or tries to mitigate risks with respect to market and prices</w:t>
            </w:r>
          </w:p>
        </w:tc>
        <w:tc>
          <w:tcPr>
            <w:tcW w:w="992" w:type="dxa"/>
          </w:tcPr>
          <w:p w14:paraId="31D4E625" w14:textId="5E9D400D" w:rsidR="00E95579" w:rsidRPr="00812B6A" w:rsidRDefault="00E95579" w:rsidP="00E95579">
            <w:pPr>
              <w:spacing w:before="40" w:after="40"/>
              <w:jc w:val="center"/>
              <w:rPr>
                <w:sz w:val="20"/>
                <w:szCs w:val="20"/>
                <w:lang w:val="en-US"/>
              </w:rPr>
            </w:pPr>
            <w:r w:rsidRPr="00812B6A">
              <w:rPr>
                <w:sz w:val="20"/>
                <w:szCs w:val="20"/>
                <w:lang w:val="en-US"/>
              </w:rPr>
              <w:t>+</w:t>
            </w:r>
          </w:p>
        </w:tc>
        <w:tc>
          <w:tcPr>
            <w:tcW w:w="2699" w:type="dxa"/>
          </w:tcPr>
          <w:p w14:paraId="4F8DDF20" w14:textId="264B9611" w:rsidR="00E95579" w:rsidRPr="00812B6A" w:rsidRDefault="00E95579" w:rsidP="00E95579">
            <w:pPr>
              <w:spacing w:before="40" w:after="40"/>
              <w:rPr>
                <w:sz w:val="20"/>
                <w:szCs w:val="20"/>
                <w:lang w:val="en-US"/>
              </w:rPr>
            </w:pPr>
            <w:r w:rsidRPr="00812B6A">
              <w:rPr>
                <w:sz w:val="20"/>
                <w:szCs w:val="20"/>
                <w:lang w:val="en-US"/>
              </w:rPr>
              <w:t xml:space="preserve">Fungus-resistant varieties are currently less know, thus subject to marketing uncertainties. We expect risk-loving farmers in the marketing domain to increase their land share.  </w:t>
            </w:r>
          </w:p>
        </w:tc>
        <w:tc>
          <w:tcPr>
            <w:tcW w:w="1235" w:type="dxa"/>
            <w:vMerge/>
          </w:tcPr>
          <w:p w14:paraId="10B5A59F" w14:textId="77777777" w:rsidR="00E95579" w:rsidRPr="00812B6A" w:rsidRDefault="00E95579" w:rsidP="00E95579">
            <w:pPr>
              <w:spacing w:before="40" w:after="40"/>
              <w:rPr>
                <w:sz w:val="20"/>
                <w:szCs w:val="20"/>
                <w:lang w:val="en-US"/>
              </w:rPr>
            </w:pPr>
          </w:p>
        </w:tc>
      </w:tr>
      <w:tr w:rsidR="00E95579" w:rsidRPr="00B5658B" w14:paraId="13030319" w14:textId="77777777" w:rsidTr="00CE75D4">
        <w:trPr>
          <w:trHeight w:val="669"/>
        </w:trPr>
        <w:tc>
          <w:tcPr>
            <w:tcW w:w="709" w:type="dxa"/>
            <w:vMerge/>
            <w:tcBorders>
              <w:bottom w:val="single" w:sz="8" w:space="0" w:color="auto"/>
            </w:tcBorders>
          </w:tcPr>
          <w:p w14:paraId="372AF577" w14:textId="77777777" w:rsidR="00E95579" w:rsidRPr="00812B6A" w:rsidRDefault="00E95579" w:rsidP="00E95579">
            <w:pPr>
              <w:spacing w:before="40" w:after="40"/>
              <w:rPr>
                <w:sz w:val="20"/>
                <w:szCs w:val="20"/>
                <w:lang w:val="en-US"/>
              </w:rPr>
            </w:pPr>
          </w:p>
        </w:tc>
        <w:tc>
          <w:tcPr>
            <w:tcW w:w="1559" w:type="dxa"/>
            <w:tcBorders>
              <w:bottom w:val="single" w:sz="8" w:space="0" w:color="auto"/>
            </w:tcBorders>
          </w:tcPr>
          <w:p w14:paraId="06179639" w14:textId="77777777" w:rsidR="00E95579" w:rsidRPr="00812B6A" w:rsidRDefault="00E95579" w:rsidP="00E95579">
            <w:pPr>
              <w:spacing w:before="40" w:after="40"/>
              <w:rPr>
                <w:sz w:val="20"/>
                <w:szCs w:val="20"/>
                <w:lang w:val="en-US"/>
              </w:rPr>
            </w:pPr>
            <w:r w:rsidRPr="00812B6A">
              <w:rPr>
                <w:sz w:val="20"/>
                <w:szCs w:val="20"/>
                <w:lang w:val="en-US"/>
              </w:rPr>
              <w:t>Plant protection risk preference</w:t>
            </w:r>
          </w:p>
        </w:tc>
        <w:tc>
          <w:tcPr>
            <w:tcW w:w="1985" w:type="dxa"/>
            <w:tcBorders>
              <w:bottom w:val="single" w:sz="8" w:space="0" w:color="auto"/>
            </w:tcBorders>
          </w:tcPr>
          <w:p w14:paraId="51EAC0D4" w14:textId="77777777" w:rsidR="00E95579" w:rsidRPr="00812B6A" w:rsidRDefault="00E95579" w:rsidP="00E95579">
            <w:pPr>
              <w:spacing w:before="40" w:after="40"/>
              <w:rPr>
                <w:sz w:val="20"/>
                <w:szCs w:val="20"/>
                <w:lang w:val="en-US"/>
              </w:rPr>
            </w:pPr>
            <w:r w:rsidRPr="00812B6A">
              <w:rPr>
                <w:sz w:val="20"/>
                <w:szCs w:val="20"/>
                <w:lang w:val="en-US"/>
              </w:rPr>
              <w:t xml:space="preserve">Is the farmer willing to take risks or tries to mitigate risks with </w:t>
            </w:r>
            <w:r w:rsidRPr="00812B6A">
              <w:rPr>
                <w:sz w:val="20"/>
                <w:szCs w:val="20"/>
                <w:lang w:val="en-US"/>
              </w:rPr>
              <w:lastRenderedPageBreak/>
              <w:t>respect to plant protection</w:t>
            </w:r>
          </w:p>
        </w:tc>
        <w:tc>
          <w:tcPr>
            <w:tcW w:w="992" w:type="dxa"/>
            <w:tcBorders>
              <w:bottom w:val="single" w:sz="8" w:space="0" w:color="auto"/>
            </w:tcBorders>
          </w:tcPr>
          <w:p w14:paraId="35F460BB" w14:textId="4D0CEFB4" w:rsidR="00E95579" w:rsidRPr="00812B6A" w:rsidRDefault="00E95579" w:rsidP="00E95579">
            <w:pPr>
              <w:spacing w:before="40" w:after="40"/>
              <w:jc w:val="center"/>
              <w:rPr>
                <w:sz w:val="20"/>
                <w:szCs w:val="20"/>
                <w:lang w:val="en-US"/>
              </w:rPr>
            </w:pPr>
            <w:r w:rsidRPr="00812B6A">
              <w:rPr>
                <w:sz w:val="20"/>
                <w:szCs w:val="20"/>
                <w:lang w:val="en-US"/>
              </w:rPr>
              <w:lastRenderedPageBreak/>
              <w:t>-</w:t>
            </w:r>
          </w:p>
        </w:tc>
        <w:tc>
          <w:tcPr>
            <w:tcW w:w="2699" w:type="dxa"/>
            <w:tcBorders>
              <w:bottom w:val="single" w:sz="8" w:space="0" w:color="auto"/>
            </w:tcBorders>
          </w:tcPr>
          <w:p w14:paraId="7B2FA5FE" w14:textId="4A05CDAC" w:rsidR="00E95579" w:rsidRPr="00812B6A" w:rsidRDefault="00E95579" w:rsidP="00E95579">
            <w:pPr>
              <w:spacing w:before="40" w:after="40"/>
              <w:rPr>
                <w:sz w:val="20"/>
                <w:szCs w:val="20"/>
                <w:lang w:val="en-US"/>
              </w:rPr>
            </w:pPr>
            <w:r w:rsidRPr="00812B6A">
              <w:rPr>
                <w:sz w:val="20"/>
                <w:szCs w:val="20"/>
                <w:lang w:val="en-US"/>
              </w:rPr>
              <w:t>We expect growers who are risk-averse regarding plant protection to increase their land share under fungus-</w:t>
            </w:r>
            <w:r w:rsidRPr="00812B6A">
              <w:rPr>
                <w:sz w:val="20"/>
                <w:szCs w:val="20"/>
                <w:lang w:val="en-US"/>
              </w:rPr>
              <w:lastRenderedPageBreak/>
              <w:t xml:space="preserve">resistant varieties, because these varieties require less plant protection. </w:t>
            </w:r>
          </w:p>
        </w:tc>
        <w:tc>
          <w:tcPr>
            <w:tcW w:w="1235" w:type="dxa"/>
            <w:vMerge/>
            <w:tcBorders>
              <w:bottom w:val="single" w:sz="8" w:space="0" w:color="auto"/>
            </w:tcBorders>
          </w:tcPr>
          <w:p w14:paraId="6E000D16" w14:textId="77777777" w:rsidR="00E95579" w:rsidRPr="00812B6A" w:rsidRDefault="00E95579" w:rsidP="00E95579">
            <w:pPr>
              <w:spacing w:before="40" w:after="40"/>
              <w:rPr>
                <w:sz w:val="20"/>
                <w:szCs w:val="20"/>
                <w:lang w:val="en-US"/>
              </w:rPr>
            </w:pPr>
          </w:p>
        </w:tc>
      </w:tr>
      <w:tr w:rsidR="00E95579" w:rsidRPr="006A174E" w14:paraId="0072492C" w14:textId="77777777" w:rsidTr="00CE75D4">
        <w:trPr>
          <w:trHeight w:val="471"/>
        </w:trPr>
        <w:tc>
          <w:tcPr>
            <w:tcW w:w="709" w:type="dxa"/>
            <w:vMerge w:val="restart"/>
            <w:tcBorders>
              <w:top w:val="single" w:sz="8" w:space="0" w:color="auto"/>
            </w:tcBorders>
            <w:textDirection w:val="btLr"/>
            <w:vAlign w:val="center"/>
          </w:tcPr>
          <w:p w14:paraId="759AA487" w14:textId="77777777" w:rsidR="00E95579" w:rsidRPr="00812B6A" w:rsidRDefault="00E95579" w:rsidP="00E95579">
            <w:pPr>
              <w:spacing w:before="40" w:after="40"/>
              <w:ind w:left="113" w:right="113"/>
              <w:jc w:val="center"/>
              <w:rPr>
                <w:sz w:val="20"/>
                <w:szCs w:val="20"/>
                <w:lang w:val="en-US"/>
              </w:rPr>
            </w:pPr>
            <w:r w:rsidRPr="00812B6A">
              <w:rPr>
                <w:b/>
                <w:bCs/>
                <w:sz w:val="20"/>
                <w:szCs w:val="20"/>
                <w:lang w:val="en-US"/>
              </w:rPr>
              <w:t>Farmer personality traits</w:t>
            </w:r>
          </w:p>
        </w:tc>
        <w:tc>
          <w:tcPr>
            <w:tcW w:w="1559" w:type="dxa"/>
            <w:tcBorders>
              <w:top w:val="single" w:sz="8" w:space="0" w:color="auto"/>
            </w:tcBorders>
          </w:tcPr>
          <w:p w14:paraId="48A6D610" w14:textId="77777777" w:rsidR="00E95579" w:rsidRPr="00812B6A" w:rsidRDefault="00E95579" w:rsidP="00E95579">
            <w:pPr>
              <w:spacing w:before="40" w:after="40"/>
              <w:rPr>
                <w:sz w:val="20"/>
                <w:szCs w:val="20"/>
                <w:lang w:val="en-US"/>
              </w:rPr>
            </w:pPr>
            <w:r w:rsidRPr="00812B6A">
              <w:rPr>
                <w:sz w:val="20"/>
                <w:szCs w:val="20"/>
                <w:lang w:val="en-US"/>
              </w:rPr>
              <w:t>Self-efficacy</w:t>
            </w:r>
          </w:p>
        </w:tc>
        <w:tc>
          <w:tcPr>
            <w:tcW w:w="1985" w:type="dxa"/>
            <w:tcBorders>
              <w:top w:val="single" w:sz="8" w:space="0" w:color="auto"/>
            </w:tcBorders>
          </w:tcPr>
          <w:p w14:paraId="436F09F1" w14:textId="77777777" w:rsidR="00E95579" w:rsidRPr="00812B6A" w:rsidRDefault="00E95579" w:rsidP="00E95579">
            <w:pPr>
              <w:spacing w:before="40" w:after="40"/>
              <w:rPr>
                <w:sz w:val="20"/>
                <w:szCs w:val="20"/>
                <w:lang w:val="en-US"/>
              </w:rPr>
            </w:pPr>
            <w:r w:rsidRPr="00812B6A">
              <w:rPr>
                <w:sz w:val="20"/>
                <w:szCs w:val="20"/>
                <w:lang w:val="en-US"/>
              </w:rPr>
              <w:t>I am confident that I can accomplish my production goals at the end of the harvest</w:t>
            </w:r>
          </w:p>
        </w:tc>
        <w:tc>
          <w:tcPr>
            <w:tcW w:w="992" w:type="dxa"/>
            <w:tcBorders>
              <w:top w:val="single" w:sz="8" w:space="0" w:color="auto"/>
            </w:tcBorders>
          </w:tcPr>
          <w:p w14:paraId="7D684943" w14:textId="7C4875C7" w:rsidR="00E95579" w:rsidRPr="00812B6A" w:rsidRDefault="00E95579" w:rsidP="00E95579">
            <w:pPr>
              <w:spacing w:before="40" w:after="40"/>
              <w:jc w:val="center"/>
              <w:rPr>
                <w:sz w:val="20"/>
                <w:szCs w:val="20"/>
                <w:lang w:val="en-US"/>
              </w:rPr>
            </w:pPr>
            <w:r w:rsidRPr="00812B6A">
              <w:rPr>
                <w:sz w:val="20"/>
                <w:szCs w:val="20"/>
                <w:lang w:val="en-US"/>
              </w:rPr>
              <w:t>+</w:t>
            </w:r>
          </w:p>
        </w:tc>
        <w:tc>
          <w:tcPr>
            <w:tcW w:w="2699" w:type="dxa"/>
            <w:tcBorders>
              <w:top w:val="single" w:sz="8" w:space="0" w:color="auto"/>
            </w:tcBorders>
          </w:tcPr>
          <w:p w14:paraId="24CF96E3" w14:textId="40E23C25" w:rsidR="00E95579" w:rsidRPr="00812B6A" w:rsidRDefault="00E95579" w:rsidP="00E95579">
            <w:pPr>
              <w:spacing w:before="40" w:after="40"/>
              <w:rPr>
                <w:rFonts w:ascii="Calibri" w:hAnsi="Calibri" w:cs="Calibri"/>
                <w:sz w:val="20"/>
                <w:szCs w:val="20"/>
                <w:lang w:val="en-US"/>
              </w:rPr>
            </w:pPr>
            <w:r w:rsidRPr="00812B6A">
              <w:rPr>
                <w:rFonts w:ascii="Calibri" w:hAnsi="Calibri" w:cs="Calibri"/>
                <w:sz w:val="20"/>
                <w:szCs w:val="20"/>
                <w:lang w:val="en-US"/>
              </w:rPr>
              <w:t xml:space="preserve">We expect growers who are confident to reach their production goals to increase their land share under fungus-resistant varieties which is currently subject to a low level of experience regarding production (vinification, resistance, etc.)  </w:t>
            </w:r>
          </w:p>
        </w:tc>
        <w:tc>
          <w:tcPr>
            <w:tcW w:w="1235" w:type="dxa"/>
            <w:vMerge w:val="restart"/>
            <w:tcBorders>
              <w:top w:val="single" w:sz="8" w:space="0" w:color="auto"/>
            </w:tcBorders>
            <w:vAlign w:val="center"/>
          </w:tcPr>
          <w:p w14:paraId="4ADC4C92" w14:textId="741FF456" w:rsidR="00E95579" w:rsidRPr="00812B6A" w:rsidRDefault="00E95579" w:rsidP="00E95579">
            <w:pPr>
              <w:spacing w:before="40" w:after="40"/>
              <w:rPr>
                <w:sz w:val="20"/>
                <w:szCs w:val="20"/>
                <w:lang w:val="fr-CH"/>
              </w:rPr>
            </w:pPr>
            <w:r w:rsidRPr="00812B6A">
              <w:rPr>
                <w:rFonts w:ascii="Calibri" w:hAnsi="Calibri" w:cs="Calibri"/>
                <w:sz w:val="20"/>
                <w:szCs w:val="20"/>
                <w:lang w:val="fr-CH"/>
              </w:rPr>
              <w:t xml:space="preserve">Abay et al. </w:t>
            </w:r>
            <w:r w:rsidRPr="00812B6A">
              <w:rPr>
                <w:rFonts w:ascii="Calibri" w:hAnsi="Calibri" w:cs="Calibri"/>
                <w:sz w:val="20"/>
                <w:szCs w:val="20"/>
                <w:lang w:val="fr-CH"/>
              </w:rPr>
              <w:fldChar w:fldCharType="begin"/>
            </w:r>
            <w:r w:rsidR="00453ED3">
              <w:rPr>
                <w:rFonts w:ascii="Calibri" w:hAnsi="Calibri" w:cs="Calibri"/>
                <w:sz w:val="20"/>
                <w:szCs w:val="20"/>
                <w:lang w:val="fr-CH"/>
              </w:rPr>
              <w:instrText xml:space="preserve"> ADDIN ZOTERO_ITEM CSL_CITATION {"citationID":"ZOLlKy19","properties":{"formattedCitation":"(2017)","plainCitation":"(2017)","noteIndex":0},"citationItems":[{"id":1055,"uris":["http://zotero.org/users/8375139/items/BSZLV6MT"],"uri":["http://zotero.org/users/8375139/items/BSZLV6MT"],"itemData":{"id":1055,"type":"article-journal","container-title":"Journal of Economic Behavior &amp; Organization","DOI":"10.1016/j.jebo.2017.09.012","ISSN":"01672681","journalAbbreviation":"Journal of Economic Behavior &amp; Organization","language":"en","page":"98-115","source":"DOI.org (Crossref)","title":"Locus of control and technology adoption in developing country agriculture: Evidence from Ethiopia","title-short":"Locus of control and technology adoption in developing country agriculture","volume":"143","author":[{"family":"Abay","given":"Kibrom A."},{"family":"Blalock","given":"Garrick"},{"family":"Berhane","given":"Guush"}],"issued":{"date-parts":[["2017",11]]}},"label":"page","suppress-author":true}],"schema":"https://github.com/citation-style-language/schema/raw/master/csl-citation.json"} </w:instrText>
            </w:r>
            <w:r w:rsidRPr="00812B6A">
              <w:rPr>
                <w:rFonts w:ascii="Calibri" w:hAnsi="Calibri" w:cs="Calibri"/>
                <w:sz w:val="20"/>
                <w:szCs w:val="20"/>
                <w:lang w:val="fr-CH"/>
              </w:rPr>
              <w:fldChar w:fldCharType="separate"/>
            </w:r>
            <w:r w:rsidR="003C4066" w:rsidRPr="00812B6A">
              <w:rPr>
                <w:rFonts w:ascii="Calibri" w:hAnsi="Calibri" w:cs="Calibri"/>
                <w:sz w:val="20"/>
                <w:szCs w:val="20"/>
                <w:lang w:val="fr-FR"/>
              </w:rPr>
              <w:t>(2017)</w:t>
            </w:r>
            <w:r w:rsidRPr="00812B6A">
              <w:rPr>
                <w:rFonts w:ascii="Calibri" w:hAnsi="Calibri" w:cs="Calibri"/>
                <w:sz w:val="20"/>
                <w:szCs w:val="20"/>
                <w:lang w:val="fr-CH"/>
              </w:rPr>
              <w:fldChar w:fldCharType="end"/>
            </w:r>
            <w:r w:rsidRPr="00812B6A">
              <w:rPr>
                <w:rFonts w:ascii="Calibri" w:hAnsi="Calibri" w:cs="Calibri"/>
                <w:sz w:val="20"/>
                <w:szCs w:val="20"/>
                <w:lang w:val="fr-CH"/>
              </w:rPr>
              <w:t>; Knapp et al. </w:t>
            </w:r>
            <w:r w:rsidRPr="00812B6A">
              <w:rPr>
                <w:rFonts w:ascii="Calibri" w:hAnsi="Calibri" w:cs="Calibri"/>
                <w:sz w:val="20"/>
                <w:szCs w:val="20"/>
                <w:lang w:val="fr-CH"/>
              </w:rPr>
              <w:fldChar w:fldCharType="begin"/>
            </w:r>
            <w:r w:rsidR="00453ED3">
              <w:rPr>
                <w:rFonts w:ascii="Calibri" w:hAnsi="Calibri" w:cs="Calibri"/>
                <w:sz w:val="20"/>
                <w:szCs w:val="20"/>
                <w:lang w:val="fr-CH"/>
              </w:rPr>
              <w:instrText xml:space="preserve"> ADDIN ZOTERO_ITEM CSL_CITATION {"citationID":"846AohTd","properties":{"formattedCitation":"(2021)","plainCitation":"(2021)","noteIndex":0},"citationItems":[{"id":226,"uris":["http://zotero.org/users/8375139/items/RGYYI6R8"],"uri":["http://zotero.org/users/8375139/items/RGYYI6R8"],"itemData":{"id":226,"type":"article-journal","container-title":"Agricultural Economics","DOI":"10.1111/agec.12669","ISSN":"0169-5150, 1574-0862","journalAbbreviation":"Agricultural Economics","language":"en","page":"agec.12669","source":"DOI.org (Crossref)","title":"Preferences, personality, aspirations, and farmer behavior","author":[{"family":"Knapp","given":"Ladina"},{"family":"Wuepper","given":"David"},{"family":"Finger","given":"Robert"}],"issued":{"date-parts":[["2021",8,6]]}},"label":"page","suppress-author":true}],"schema":"https://github.com/citation-style-language/schema/raw/master/csl-citation.json"} </w:instrText>
            </w:r>
            <w:r w:rsidRPr="00812B6A">
              <w:rPr>
                <w:rFonts w:ascii="Calibri" w:hAnsi="Calibri" w:cs="Calibri"/>
                <w:sz w:val="20"/>
                <w:szCs w:val="20"/>
                <w:lang w:val="fr-CH"/>
              </w:rPr>
              <w:fldChar w:fldCharType="separate"/>
            </w:r>
            <w:r w:rsidR="003C4066" w:rsidRPr="00812B6A">
              <w:rPr>
                <w:rFonts w:ascii="Calibri" w:hAnsi="Calibri" w:cs="Calibri"/>
                <w:sz w:val="20"/>
                <w:szCs w:val="20"/>
              </w:rPr>
              <w:t>(2021)</w:t>
            </w:r>
            <w:r w:rsidRPr="00812B6A">
              <w:rPr>
                <w:rFonts w:ascii="Calibri" w:hAnsi="Calibri" w:cs="Calibri"/>
                <w:sz w:val="20"/>
                <w:szCs w:val="20"/>
                <w:lang w:val="fr-CH"/>
              </w:rPr>
              <w:fldChar w:fldCharType="end"/>
            </w:r>
            <w:r w:rsidRPr="00812B6A">
              <w:rPr>
                <w:rFonts w:ascii="Calibri" w:hAnsi="Calibri" w:cs="Calibri"/>
                <w:sz w:val="20"/>
                <w:szCs w:val="20"/>
                <w:lang w:val="fr-CH"/>
              </w:rPr>
              <w:t xml:space="preserve">; </w:t>
            </w:r>
            <w:r w:rsidRPr="00812B6A">
              <w:rPr>
                <w:rFonts w:ascii="Calibri" w:hAnsi="Calibri" w:cs="Calibri"/>
                <w:sz w:val="20"/>
                <w:szCs w:val="20"/>
              </w:rPr>
              <w:t xml:space="preserve">Wuepper and Lybbert </w:t>
            </w:r>
            <w:r w:rsidRPr="00812B6A">
              <w:rPr>
                <w:rFonts w:ascii="Calibri" w:hAnsi="Calibri" w:cs="Calibri"/>
                <w:sz w:val="20"/>
                <w:szCs w:val="20"/>
              </w:rPr>
              <w:fldChar w:fldCharType="begin"/>
            </w:r>
            <w:r w:rsidR="00453ED3">
              <w:rPr>
                <w:rFonts w:ascii="Calibri" w:hAnsi="Calibri" w:cs="Calibri"/>
                <w:sz w:val="20"/>
                <w:szCs w:val="20"/>
              </w:rPr>
              <w:instrText xml:space="preserve"> ADDIN ZOTERO_ITEM CSL_CITATION {"citationID":"1SYaH2KJ","properties":{"formattedCitation":"(2017)","plainCitation":"(2017)","noteIndex":0},"citationItems":[{"id":172,"uris":["http://zotero.org/users/8375139/items/UPCQJP3P"],"uri":["http://zotero.org/users/8375139/items/UPCQJP3P"],"itemData":{"id":172,"type":"article-journal","container-title":"Annual Review of Resource Economics","DOI":"10.1146/annurev-resource-100516-053709","ISSN":"1941-1340, 1941-1359","issue":"1","journalAbbreviation":"Annu. Rev. Resour. Econ.","language":"en","page":"383-404","source":"DOI.org (Crossref)","title":"Perceived Self-Efficacy, Poverty, and Economic Development","volume":"9","author":[{"family":"Wuepper","given":"David"},{"family":"Lybbert","given":"Travis J."}],"issued":{"date-parts":[["2017",10]]}},"label":"page","suppress-author":true}],"schema":"https://github.com/citation-style-language/schema/raw/master/csl-citation.json"} </w:instrText>
            </w:r>
            <w:r w:rsidRPr="00812B6A">
              <w:rPr>
                <w:rFonts w:ascii="Calibri" w:hAnsi="Calibri" w:cs="Calibri"/>
                <w:sz w:val="20"/>
                <w:szCs w:val="20"/>
              </w:rPr>
              <w:fldChar w:fldCharType="separate"/>
            </w:r>
            <w:r w:rsidR="003C4066" w:rsidRPr="00812B6A">
              <w:rPr>
                <w:rFonts w:ascii="Calibri" w:hAnsi="Calibri" w:cs="Calibri"/>
                <w:sz w:val="20"/>
                <w:szCs w:val="20"/>
              </w:rPr>
              <w:t>(2017)</w:t>
            </w:r>
            <w:r w:rsidRPr="00812B6A">
              <w:rPr>
                <w:rFonts w:ascii="Calibri" w:hAnsi="Calibri" w:cs="Calibri"/>
                <w:sz w:val="20"/>
                <w:szCs w:val="20"/>
              </w:rPr>
              <w:fldChar w:fldCharType="end"/>
            </w:r>
            <w:r w:rsidRPr="00812B6A">
              <w:rPr>
                <w:sz w:val="20"/>
                <w:szCs w:val="20"/>
                <w:lang w:val="en-US"/>
              </w:rPr>
              <w:t xml:space="preserve"> </w:t>
            </w:r>
          </w:p>
        </w:tc>
      </w:tr>
      <w:tr w:rsidR="00E95579" w:rsidRPr="00222AC6" w14:paraId="686BE1AF" w14:textId="77777777" w:rsidTr="00CE75D4">
        <w:trPr>
          <w:trHeight w:val="481"/>
        </w:trPr>
        <w:tc>
          <w:tcPr>
            <w:tcW w:w="709" w:type="dxa"/>
            <w:vMerge/>
            <w:vAlign w:val="center"/>
          </w:tcPr>
          <w:p w14:paraId="3B6DBF14" w14:textId="77777777" w:rsidR="00E95579" w:rsidRPr="00812B6A" w:rsidRDefault="00E95579" w:rsidP="00E95579">
            <w:pPr>
              <w:spacing w:before="40" w:after="40"/>
              <w:jc w:val="center"/>
              <w:rPr>
                <w:sz w:val="20"/>
                <w:szCs w:val="20"/>
                <w:lang w:val="fr-CH"/>
              </w:rPr>
            </w:pPr>
          </w:p>
        </w:tc>
        <w:tc>
          <w:tcPr>
            <w:tcW w:w="1559" w:type="dxa"/>
          </w:tcPr>
          <w:p w14:paraId="7C482E8A" w14:textId="77777777" w:rsidR="00E95579" w:rsidRPr="00812B6A" w:rsidRDefault="00E95579" w:rsidP="00E95579">
            <w:pPr>
              <w:spacing w:before="40" w:after="40"/>
              <w:rPr>
                <w:sz w:val="20"/>
                <w:szCs w:val="20"/>
                <w:lang w:val="en-US"/>
              </w:rPr>
            </w:pPr>
            <w:r w:rsidRPr="00812B6A">
              <w:rPr>
                <w:sz w:val="20"/>
                <w:szCs w:val="20"/>
                <w:lang w:val="en-US"/>
              </w:rPr>
              <w:t>Locus of control</w:t>
            </w:r>
          </w:p>
        </w:tc>
        <w:tc>
          <w:tcPr>
            <w:tcW w:w="1985" w:type="dxa"/>
          </w:tcPr>
          <w:p w14:paraId="782E6C59" w14:textId="77777777" w:rsidR="00E95579" w:rsidRPr="00812B6A" w:rsidRDefault="00E95579" w:rsidP="00E95579">
            <w:pPr>
              <w:spacing w:before="40" w:after="40"/>
              <w:rPr>
                <w:sz w:val="20"/>
                <w:szCs w:val="20"/>
                <w:lang w:val="en-US"/>
              </w:rPr>
            </w:pPr>
            <w:r w:rsidRPr="00812B6A">
              <w:rPr>
                <w:sz w:val="20"/>
                <w:szCs w:val="20"/>
                <w:lang w:val="en-US"/>
              </w:rPr>
              <w:t>How successful my grape/wine production is, depends mostly on my skills as a farmer</w:t>
            </w:r>
          </w:p>
        </w:tc>
        <w:tc>
          <w:tcPr>
            <w:tcW w:w="992" w:type="dxa"/>
          </w:tcPr>
          <w:p w14:paraId="27FF9B3A" w14:textId="422A2FA2" w:rsidR="00E95579" w:rsidRPr="00812B6A" w:rsidRDefault="00E95579" w:rsidP="00E95579">
            <w:pPr>
              <w:spacing w:before="40" w:after="40"/>
              <w:jc w:val="center"/>
              <w:rPr>
                <w:sz w:val="20"/>
                <w:szCs w:val="20"/>
                <w:lang w:val="en-US"/>
              </w:rPr>
            </w:pPr>
            <w:r w:rsidRPr="00812B6A">
              <w:rPr>
                <w:sz w:val="20"/>
                <w:szCs w:val="20"/>
                <w:lang w:val="en-US"/>
              </w:rPr>
              <w:t>+</w:t>
            </w:r>
          </w:p>
        </w:tc>
        <w:tc>
          <w:tcPr>
            <w:tcW w:w="2699" w:type="dxa"/>
          </w:tcPr>
          <w:p w14:paraId="13F2D484" w14:textId="59FE297B" w:rsidR="00E95579" w:rsidRPr="00812B6A" w:rsidRDefault="00E95579" w:rsidP="00E95579">
            <w:pPr>
              <w:spacing w:before="40" w:after="40"/>
              <w:rPr>
                <w:sz w:val="20"/>
                <w:szCs w:val="20"/>
                <w:lang w:val="en-US"/>
              </w:rPr>
            </w:pPr>
            <w:r w:rsidRPr="00812B6A">
              <w:rPr>
                <w:sz w:val="20"/>
                <w:szCs w:val="20"/>
                <w:lang w:val="en-US"/>
              </w:rPr>
              <w:t>Similar as above.</w:t>
            </w:r>
          </w:p>
        </w:tc>
        <w:tc>
          <w:tcPr>
            <w:tcW w:w="1235" w:type="dxa"/>
            <w:vMerge/>
          </w:tcPr>
          <w:p w14:paraId="65CF9AA0" w14:textId="77777777" w:rsidR="00E95579" w:rsidRPr="00812B6A" w:rsidRDefault="00E95579" w:rsidP="00E95579">
            <w:pPr>
              <w:spacing w:before="40" w:after="40"/>
              <w:rPr>
                <w:sz w:val="20"/>
                <w:szCs w:val="20"/>
                <w:lang w:val="en-US"/>
              </w:rPr>
            </w:pPr>
          </w:p>
        </w:tc>
      </w:tr>
      <w:tr w:rsidR="00E95579" w:rsidRPr="00B5658B" w14:paraId="34069138" w14:textId="77777777" w:rsidTr="00CE75D4">
        <w:trPr>
          <w:trHeight w:val="273"/>
        </w:trPr>
        <w:tc>
          <w:tcPr>
            <w:tcW w:w="709" w:type="dxa"/>
            <w:vMerge/>
            <w:tcBorders>
              <w:bottom w:val="single" w:sz="18" w:space="0" w:color="auto"/>
            </w:tcBorders>
          </w:tcPr>
          <w:p w14:paraId="0DBDF68E" w14:textId="77777777" w:rsidR="00E95579" w:rsidRPr="00812B6A" w:rsidRDefault="00E95579" w:rsidP="00E95579">
            <w:pPr>
              <w:spacing w:before="40" w:after="40"/>
              <w:rPr>
                <w:sz w:val="20"/>
                <w:szCs w:val="20"/>
                <w:lang w:val="en-US"/>
              </w:rPr>
            </w:pPr>
          </w:p>
        </w:tc>
        <w:tc>
          <w:tcPr>
            <w:tcW w:w="1559" w:type="dxa"/>
            <w:tcBorders>
              <w:bottom w:val="single" w:sz="18" w:space="0" w:color="auto"/>
            </w:tcBorders>
          </w:tcPr>
          <w:p w14:paraId="4BA8625A" w14:textId="77777777" w:rsidR="00E95579" w:rsidRPr="00812B6A" w:rsidRDefault="00E95579" w:rsidP="00E95579">
            <w:pPr>
              <w:spacing w:before="40" w:after="40"/>
              <w:rPr>
                <w:sz w:val="20"/>
                <w:szCs w:val="20"/>
                <w:lang w:val="en-US"/>
              </w:rPr>
            </w:pPr>
            <w:r w:rsidRPr="00812B6A">
              <w:rPr>
                <w:sz w:val="20"/>
                <w:szCs w:val="20"/>
                <w:lang w:val="en-US"/>
              </w:rPr>
              <w:t>Ambition</w:t>
            </w:r>
          </w:p>
        </w:tc>
        <w:tc>
          <w:tcPr>
            <w:tcW w:w="1985" w:type="dxa"/>
            <w:tcBorders>
              <w:bottom w:val="single" w:sz="18" w:space="0" w:color="auto"/>
            </w:tcBorders>
          </w:tcPr>
          <w:p w14:paraId="15D1FC73" w14:textId="77777777" w:rsidR="00E95579" w:rsidRPr="00812B6A" w:rsidRDefault="00E95579" w:rsidP="00E95579">
            <w:pPr>
              <w:spacing w:before="40" w:after="40"/>
              <w:rPr>
                <w:sz w:val="20"/>
                <w:szCs w:val="20"/>
                <w:lang w:val="en-US"/>
              </w:rPr>
            </w:pPr>
            <w:r w:rsidRPr="00812B6A">
              <w:rPr>
                <w:sz w:val="20"/>
                <w:szCs w:val="20"/>
                <w:lang w:val="en-US"/>
              </w:rPr>
              <w:t>I usually set myself quite ambitious production goals</w:t>
            </w:r>
          </w:p>
        </w:tc>
        <w:tc>
          <w:tcPr>
            <w:tcW w:w="992" w:type="dxa"/>
            <w:tcBorders>
              <w:bottom w:val="single" w:sz="18" w:space="0" w:color="auto"/>
            </w:tcBorders>
          </w:tcPr>
          <w:p w14:paraId="33CE94E1" w14:textId="41610F1D" w:rsidR="00E95579" w:rsidRPr="00812B6A" w:rsidRDefault="00E95579" w:rsidP="00E95579">
            <w:pPr>
              <w:spacing w:before="40" w:after="40"/>
              <w:jc w:val="center"/>
              <w:rPr>
                <w:sz w:val="20"/>
                <w:szCs w:val="20"/>
                <w:lang w:val="en-US"/>
              </w:rPr>
            </w:pPr>
            <w:r w:rsidRPr="00812B6A">
              <w:rPr>
                <w:sz w:val="20"/>
                <w:szCs w:val="20"/>
                <w:lang w:val="en-US"/>
              </w:rPr>
              <w:t>+/0/-</w:t>
            </w:r>
          </w:p>
        </w:tc>
        <w:tc>
          <w:tcPr>
            <w:tcW w:w="2699" w:type="dxa"/>
            <w:tcBorders>
              <w:bottom w:val="single" w:sz="18" w:space="0" w:color="auto"/>
            </w:tcBorders>
          </w:tcPr>
          <w:p w14:paraId="1732520F" w14:textId="0F48F831" w:rsidR="00E95579" w:rsidRPr="00812B6A" w:rsidRDefault="00E95579" w:rsidP="00E95579">
            <w:pPr>
              <w:spacing w:before="40" w:after="40"/>
              <w:rPr>
                <w:sz w:val="20"/>
                <w:szCs w:val="20"/>
                <w:lang w:val="en-US"/>
              </w:rPr>
            </w:pPr>
            <w:r w:rsidRPr="00812B6A">
              <w:rPr>
                <w:sz w:val="20"/>
                <w:szCs w:val="20"/>
                <w:lang w:val="en-US"/>
              </w:rPr>
              <w:t>It is unclear how ambition affects the future expected change under fungus-resistant varieties.</w:t>
            </w:r>
          </w:p>
        </w:tc>
        <w:tc>
          <w:tcPr>
            <w:tcW w:w="1235" w:type="dxa"/>
            <w:vMerge/>
            <w:tcBorders>
              <w:bottom w:val="single" w:sz="18" w:space="0" w:color="auto"/>
            </w:tcBorders>
          </w:tcPr>
          <w:p w14:paraId="0082C685" w14:textId="77777777" w:rsidR="00E95579" w:rsidRPr="00812B6A" w:rsidRDefault="00E95579" w:rsidP="00E95579">
            <w:pPr>
              <w:spacing w:before="40" w:after="40"/>
              <w:rPr>
                <w:sz w:val="20"/>
                <w:szCs w:val="20"/>
                <w:lang w:val="en-US"/>
              </w:rPr>
            </w:pPr>
          </w:p>
        </w:tc>
      </w:tr>
    </w:tbl>
    <w:p w14:paraId="1FEF35B9" w14:textId="14C68C98" w:rsidR="00FA1B5B" w:rsidRDefault="00FA1B5B">
      <w:pPr>
        <w:rPr>
          <w:b/>
          <w:bCs/>
          <w:lang w:val="en-US"/>
        </w:rPr>
      </w:pPr>
      <w:r>
        <w:rPr>
          <w:b/>
          <w:bCs/>
          <w:lang w:val="en-US"/>
        </w:rPr>
        <w:br w:type="page"/>
      </w:r>
    </w:p>
    <w:p w14:paraId="17975171" w14:textId="7EB14916" w:rsidR="00987E95" w:rsidRDefault="00987E95" w:rsidP="00987E95">
      <w:pPr>
        <w:pStyle w:val="ListParagraph"/>
        <w:numPr>
          <w:ilvl w:val="0"/>
          <w:numId w:val="23"/>
        </w:numPr>
        <w:rPr>
          <w:b/>
          <w:bCs/>
          <w:lang w:val="en-US"/>
        </w:rPr>
      </w:pPr>
      <w:bookmarkStart w:id="3" w:name="_Ref128406543"/>
      <w:bookmarkEnd w:id="1"/>
      <w:bookmarkEnd w:id="2"/>
      <w:r>
        <w:rPr>
          <w:b/>
          <w:bCs/>
          <w:lang w:val="en-US"/>
        </w:rPr>
        <w:lastRenderedPageBreak/>
        <w:t>Calculation of pesticide treatment reductions</w:t>
      </w:r>
      <w:bookmarkEnd w:id="3"/>
      <w:r>
        <w:rPr>
          <w:b/>
          <w:bCs/>
          <w:lang w:val="en-US"/>
        </w:rPr>
        <w:t xml:space="preserve"> </w:t>
      </w:r>
    </w:p>
    <w:p w14:paraId="34385888" w14:textId="540C8530" w:rsidR="0060598B" w:rsidRDefault="00987E95" w:rsidP="00987E95">
      <w:pPr>
        <w:rPr>
          <w:sz w:val="24"/>
          <w:szCs w:val="24"/>
          <w:lang w:val="en-US"/>
        </w:rPr>
      </w:pPr>
      <w:r>
        <w:rPr>
          <w:sz w:val="24"/>
          <w:szCs w:val="24"/>
          <w:lang w:val="en-US"/>
        </w:rPr>
        <w:t xml:space="preserve">Viret et al. </w:t>
      </w:r>
      <w:r>
        <w:rPr>
          <w:sz w:val="24"/>
          <w:szCs w:val="24"/>
          <w:lang w:val="en-US"/>
        </w:rPr>
        <w:fldChar w:fldCharType="begin"/>
      </w:r>
      <w:r w:rsidR="00453ED3">
        <w:rPr>
          <w:sz w:val="24"/>
          <w:szCs w:val="24"/>
          <w:lang w:val="en-US"/>
        </w:rPr>
        <w:instrText xml:space="preserve"> ADDIN ZOTERO_ITEM CSL_CITATION {"citationID":"f596zFx1","properties":{"formattedCitation":"(2019)","plainCitation":"(2019)","noteIndex":0},"citationItems":[{"id":256,"uris":["http://zotero.org/users/8375139/items/RQBMQMUF"],"uri":["http://zotero.org/users/8375139/items/RQBMQMUF"],"itemData":{"id":256,"type":"article-journal","abstract":"Switzerland is a pioneer country in the development of integrated production (IP) and integrated pest management (IPM). The overall goal is sustainability at the ecological, economic and social level to produce high quality grapes. In 1993, the IP-IPM head-organisation VITISWISS was created. The starting points were the improvement of pest management by the biocontrol of spider mites and the control of grape berry moths by mating disruption and an optimal soil management, followed over the years by state-of-the-art sprayer calibration, development of disease forecasting models (AgroMeteo, VitiMeteo), leaf-area adapted dosage of plant protection products, enhanced biodiversity, water and cover crop management. The efforts and the results gained in a continuous education process by the growers are considerable, but not enough for consumers and politics concerned by the use of plant protection products. The absence of acaricides and insecticides as well as forecasting systems available on the internet (\n              www.agrometeo.ch\n              ) for the control of downy and powdery mildew, represent the major progresses. Where mechanisation is possible, herbicides can progressively be replaced by mechanical technics, which is not possible in steep vineyards. The general irrational unscientific trend against “synthetic” plant protection products requests alternatives for the control of fungal diseases and for cover crop management under the vine rows to avoid excessive water-nitrogen competition particularly in the actual context of climate change.","container-title":"BIO Web of Conferences","DOI":"10.1051/bioconf/20191501013","ISSN":"2117-4458","journalAbbreviation":"BIO Web Conf.","page":"01013","source":"DOI.org (Crossref)","title":"Past and future of sustainable viticulture in Switzerland","volume":"15","author":[{"family":"Viret","given":"Olivier"},{"family":"Spring","given":"Jean-Laurent"},{"family":"Zufferey","given":"Vivian"},{"family":"Gindro","given":"Katia"},{"family":"Linder","given":"Christian"},{"family":"Gaume","given":"Alain"},{"family":"Murisier","given":"F."}],"editor":[{"family":"Roca","given":"P."}],"issued":{"date-parts":[["2019"]]}},"label":"page","suppress-author":true}],"schema":"https://github.com/citation-style-language/schema/raw/master/csl-citation.json"} </w:instrText>
      </w:r>
      <w:r>
        <w:rPr>
          <w:sz w:val="24"/>
          <w:szCs w:val="24"/>
          <w:lang w:val="en-US"/>
        </w:rPr>
        <w:fldChar w:fldCharType="separate"/>
      </w:r>
      <w:r w:rsidR="003C4066" w:rsidRPr="003C4066">
        <w:rPr>
          <w:rFonts w:ascii="Calibri" w:hAnsi="Calibri" w:cs="Calibri"/>
          <w:sz w:val="24"/>
          <w:lang w:val="en-US"/>
        </w:rPr>
        <w:t>(2019)</w:t>
      </w:r>
      <w:r>
        <w:rPr>
          <w:sz w:val="24"/>
          <w:szCs w:val="24"/>
          <w:lang w:val="en-US"/>
        </w:rPr>
        <w:fldChar w:fldCharType="end"/>
      </w:r>
      <w:r>
        <w:rPr>
          <w:sz w:val="24"/>
          <w:szCs w:val="24"/>
          <w:lang w:val="en-US"/>
        </w:rPr>
        <w:t xml:space="preserve"> </w:t>
      </w:r>
      <w:r w:rsidRPr="00987E95">
        <w:rPr>
          <w:sz w:val="24"/>
          <w:szCs w:val="24"/>
          <w:lang w:val="en-US"/>
        </w:rPr>
        <w:t>estimate</w:t>
      </w:r>
      <w:r>
        <w:rPr>
          <w:sz w:val="24"/>
          <w:szCs w:val="24"/>
          <w:lang w:val="en-US"/>
        </w:rPr>
        <w:t xml:space="preserve"> an</w:t>
      </w:r>
      <w:r w:rsidRPr="00987E95">
        <w:rPr>
          <w:sz w:val="24"/>
          <w:szCs w:val="24"/>
          <w:lang w:val="en-US"/>
        </w:rPr>
        <w:t xml:space="preserve"> average total number of sprays of 12 per year for </w:t>
      </w:r>
      <w:r w:rsidR="00467551">
        <w:rPr>
          <w:sz w:val="24"/>
          <w:szCs w:val="24"/>
          <w:lang w:val="en-US"/>
        </w:rPr>
        <w:t xml:space="preserve">Northern </w:t>
      </w:r>
      <w:r w:rsidRPr="00987E95">
        <w:rPr>
          <w:sz w:val="24"/>
          <w:szCs w:val="24"/>
          <w:lang w:val="en-US"/>
        </w:rPr>
        <w:t>European vineyards</w:t>
      </w:r>
      <w:r>
        <w:rPr>
          <w:sz w:val="24"/>
          <w:szCs w:val="24"/>
          <w:lang w:val="en-US"/>
        </w:rPr>
        <w:t xml:space="preserve"> for traditional grapevine varieties</w:t>
      </w:r>
      <w:r w:rsidR="0027069A">
        <w:rPr>
          <w:sz w:val="24"/>
          <w:szCs w:val="24"/>
          <w:lang w:val="en-US"/>
        </w:rPr>
        <w:t>.</w:t>
      </w:r>
      <w:r w:rsidR="00467551">
        <w:rPr>
          <w:sz w:val="24"/>
          <w:szCs w:val="24"/>
          <w:lang w:val="en-US"/>
        </w:rPr>
        <w:t xml:space="preserve"> This number, however, is rather a lower bound </w:t>
      </w:r>
      <w:r w:rsidR="00467551">
        <w:rPr>
          <w:sz w:val="24"/>
          <w:szCs w:val="24"/>
          <w:lang w:val="en-US"/>
        </w:rPr>
        <w:fldChar w:fldCharType="begin"/>
      </w:r>
      <w:r w:rsidR="00453ED3">
        <w:rPr>
          <w:sz w:val="24"/>
          <w:szCs w:val="24"/>
          <w:lang w:val="en-US"/>
        </w:rPr>
        <w:instrText xml:space="preserve"> ADDIN ZOTERO_ITEM CSL_CITATION {"citationID":"ANhGJsbh","properties":{"formattedCitation":"(e.g. Pertot {\\i{}et al.} 2017)","plainCitation":"(e.g. Pertot et al. 2017)","noteIndex":0},"citationItems":[{"id":255,"uris":["http://zotero.org/users/8375139/items/9PA8KKSV"],"uri":["http://zotero.org/users/8375139/items/9PA8KKSV"],"itemData":{"id":255,"type":"article-journal","container-title":"Crop Protection","DOI":"10.1016/j.cropro.2016.11.025","ISSN":"02612194","journalAbbreviation":"Crop Protection","language":"en","page":"70-84","source":"DOI.org (Crossref)","title":"A critical review of plant protection tools for reducing pesticide use on grapevine and new perspectives for the implementation of IPM in viticulture","volume":"97","author":[{"family":"Pertot","given":"Ilaria"},{"family":"Caffi","given":"Tito"},{"family":"Rossi","given":"Vittorio"},{"family":"Mugnai","given":"Laura"},{"family":"Hoffmann","given":"Christoph"},{"family":"Grando","given":"Maria S."},{"family":"Gary","given":"Christian"},{"family":"Lafond","given":"David"},{"family":"Duso","given":"Carlo"},{"family":"Thiery","given":"Denis"},{"family":"Mazzoni","given":"Valerio"},{"family":"Anfora","given":"Gianfranco"}],"issued":{"date-parts":[["2017",7]]}},"label":"page","prefix":"e.g."}],"schema":"https://github.com/citation-style-language/schema/raw/master/csl-citation.json"} </w:instrText>
      </w:r>
      <w:r w:rsidR="00467551">
        <w:rPr>
          <w:sz w:val="24"/>
          <w:szCs w:val="24"/>
          <w:lang w:val="en-US"/>
        </w:rPr>
        <w:fldChar w:fldCharType="separate"/>
      </w:r>
      <w:r w:rsidR="003C4066" w:rsidRPr="003C4066">
        <w:rPr>
          <w:rFonts w:ascii="Calibri" w:hAnsi="Calibri" w:cs="Calibri"/>
          <w:sz w:val="24"/>
          <w:szCs w:val="24"/>
          <w:lang w:val="en-US"/>
        </w:rPr>
        <w:t xml:space="preserve">(e.g. Pertot </w:t>
      </w:r>
      <w:r w:rsidR="003C4066" w:rsidRPr="003C4066">
        <w:rPr>
          <w:rFonts w:ascii="Calibri" w:hAnsi="Calibri" w:cs="Calibri"/>
          <w:i/>
          <w:iCs/>
          <w:sz w:val="24"/>
          <w:szCs w:val="24"/>
          <w:lang w:val="en-US"/>
        </w:rPr>
        <w:t>et al.</w:t>
      </w:r>
      <w:r w:rsidR="003C4066" w:rsidRPr="003C4066">
        <w:rPr>
          <w:rFonts w:ascii="Calibri" w:hAnsi="Calibri" w:cs="Calibri"/>
          <w:sz w:val="24"/>
          <w:szCs w:val="24"/>
          <w:lang w:val="en-US"/>
        </w:rPr>
        <w:t xml:space="preserve"> 2017)</w:t>
      </w:r>
      <w:r w:rsidR="00467551">
        <w:rPr>
          <w:sz w:val="24"/>
          <w:szCs w:val="24"/>
          <w:lang w:val="en-US"/>
        </w:rPr>
        <w:fldChar w:fldCharType="end"/>
      </w:r>
      <w:r>
        <w:rPr>
          <w:sz w:val="24"/>
          <w:szCs w:val="24"/>
          <w:lang w:val="en-US"/>
        </w:rPr>
        <w:t>. Th</w:t>
      </w:r>
      <w:r w:rsidR="00467551">
        <w:rPr>
          <w:sz w:val="24"/>
          <w:szCs w:val="24"/>
          <w:lang w:val="en-US"/>
        </w:rPr>
        <w:t>e</w:t>
      </w:r>
      <w:r>
        <w:rPr>
          <w:sz w:val="24"/>
          <w:szCs w:val="24"/>
          <w:lang w:val="en-US"/>
        </w:rPr>
        <w:t xml:space="preserve"> number </w:t>
      </w:r>
      <w:r w:rsidR="00467551">
        <w:rPr>
          <w:sz w:val="24"/>
          <w:szCs w:val="24"/>
          <w:lang w:val="en-US"/>
        </w:rPr>
        <w:t xml:space="preserve">of pesticide treatments </w:t>
      </w:r>
      <w:r>
        <w:rPr>
          <w:sz w:val="24"/>
          <w:szCs w:val="24"/>
          <w:lang w:val="en-US"/>
        </w:rPr>
        <w:t xml:space="preserve">can be reduced to 0 or 3 </w:t>
      </w:r>
      <w:r w:rsidR="0013059A">
        <w:rPr>
          <w:sz w:val="24"/>
          <w:szCs w:val="24"/>
          <w:lang w:val="en-US"/>
        </w:rPr>
        <w:t>treatments</w:t>
      </w:r>
      <w:r>
        <w:rPr>
          <w:sz w:val="24"/>
          <w:szCs w:val="24"/>
          <w:lang w:val="en-US"/>
        </w:rPr>
        <w:t xml:space="preserve"> per year using fungus-resistant varieties</w:t>
      </w:r>
      <w:r w:rsidR="00467551">
        <w:rPr>
          <w:sz w:val="24"/>
          <w:szCs w:val="24"/>
          <w:lang w:val="en-US"/>
        </w:rPr>
        <w:t xml:space="preserve"> (or around 80%, </w:t>
      </w:r>
      <w:r w:rsidR="0027069A">
        <w:rPr>
          <w:sz w:val="24"/>
          <w:szCs w:val="24"/>
          <w:lang w:val="en-US"/>
        </w:rPr>
        <w:t xml:space="preserve">see </w:t>
      </w:r>
      <w:r w:rsidR="00467551">
        <w:rPr>
          <w:sz w:val="24"/>
          <w:szCs w:val="24"/>
          <w:lang w:val="en-US"/>
        </w:rPr>
        <w:t xml:space="preserve">Appendix </w:t>
      </w:r>
      <w:r w:rsidR="00467551">
        <w:rPr>
          <w:sz w:val="24"/>
          <w:szCs w:val="24"/>
          <w:lang w:val="en-US"/>
        </w:rPr>
        <w:fldChar w:fldCharType="begin"/>
      </w:r>
      <w:r w:rsidR="00467551">
        <w:rPr>
          <w:sz w:val="24"/>
          <w:szCs w:val="24"/>
          <w:lang w:val="en-US"/>
        </w:rPr>
        <w:instrText xml:space="preserve"> REF _Ref119944850 \n \h </w:instrText>
      </w:r>
      <w:r w:rsidR="00467551">
        <w:rPr>
          <w:sz w:val="24"/>
          <w:szCs w:val="24"/>
          <w:lang w:val="en-US"/>
        </w:rPr>
      </w:r>
      <w:r w:rsidR="00467551">
        <w:rPr>
          <w:sz w:val="24"/>
          <w:szCs w:val="24"/>
          <w:lang w:val="en-US"/>
        </w:rPr>
        <w:fldChar w:fldCharType="separate"/>
      </w:r>
      <w:r w:rsidR="00F5052C">
        <w:rPr>
          <w:sz w:val="24"/>
          <w:szCs w:val="24"/>
          <w:lang w:val="en-US"/>
        </w:rPr>
        <w:t>B</w:t>
      </w:r>
      <w:r w:rsidR="00467551">
        <w:rPr>
          <w:sz w:val="24"/>
          <w:szCs w:val="24"/>
          <w:lang w:val="en-US"/>
        </w:rPr>
        <w:fldChar w:fldCharType="end"/>
      </w:r>
      <w:r w:rsidR="00467551">
        <w:rPr>
          <w:sz w:val="24"/>
          <w:szCs w:val="24"/>
          <w:lang w:val="en-US"/>
        </w:rPr>
        <w:t>)</w:t>
      </w:r>
      <w:r>
        <w:rPr>
          <w:sz w:val="24"/>
          <w:szCs w:val="24"/>
          <w:lang w:val="en-US"/>
        </w:rPr>
        <w:t>.</w:t>
      </w:r>
      <w:r w:rsidR="0013059A">
        <w:rPr>
          <w:sz w:val="24"/>
          <w:szCs w:val="24"/>
          <w:lang w:val="en-US"/>
        </w:rPr>
        <w:t xml:space="preserve"> We </w:t>
      </w:r>
      <w:r w:rsidR="00467551">
        <w:rPr>
          <w:sz w:val="24"/>
          <w:szCs w:val="24"/>
          <w:lang w:val="en-US"/>
        </w:rPr>
        <w:t xml:space="preserve">here </w:t>
      </w:r>
      <w:r w:rsidR="0013059A">
        <w:rPr>
          <w:sz w:val="24"/>
          <w:szCs w:val="24"/>
          <w:lang w:val="en-US"/>
        </w:rPr>
        <w:t>assume</w:t>
      </w:r>
      <w:r w:rsidR="00467551">
        <w:rPr>
          <w:sz w:val="24"/>
          <w:szCs w:val="24"/>
          <w:lang w:val="en-US"/>
        </w:rPr>
        <w:t xml:space="preserve"> 3 pesticide treatments per year for</w:t>
      </w:r>
      <w:r w:rsidR="0013059A">
        <w:rPr>
          <w:sz w:val="24"/>
          <w:szCs w:val="24"/>
          <w:lang w:val="en-US"/>
        </w:rPr>
        <w:t xml:space="preserve"> fungus-resistant varieties</w:t>
      </w:r>
      <w:r w:rsidR="00467551">
        <w:rPr>
          <w:sz w:val="24"/>
          <w:szCs w:val="24"/>
          <w:lang w:val="en-US"/>
        </w:rPr>
        <w:t>, thus calculating a lower bound of the pesticide treatment reduction</w:t>
      </w:r>
      <w:r w:rsidR="0013059A">
        <w:rPr>
          <w:sz w:val="24"/>
          <w:szCs w:val="24"/>
          <w:lang w:val="en-US"/>
        </w:rPr>
        <w:t xml:space="preserve">. </w:t>
      </w:r>
      <w:r>
        <w:rPr>
          <w:sz w:val="24"/>
          <w:szCs w:val="24"/>
          <w:lang w:val="en-US"/>
        </w:rPr>
        <w:t xml:space="preserve"> </w:t>
      </w:r>
    </w:p>
    <w:p w14:paraId="69A9D496" w14:textId="550017B7" w:rsidR="00C80E07" w:rsidRPr="00C80E07" w:rsidRDefault="00C80E07" w:rsidP="00C80E07">
      <w:pPr>
        <w:pStyle w:val="Caption"/>
        <w:keepNext/>
        <w:rPr>
          <w:lang w:val="en-US"/>
        </w:rPr>
      </w:pPr>
      <w:r w:rsidRPr="00C80E07">
        <w:rPr>
          <w:lang w:val="en-US"/>
        </w:rPr>
        <w:t xml:space="preserve">Table </w:t>
      </w:r>
      <w:r w:rsidR="0027069A">
        <w:rPr>
          <w:lang w:val="en-US"/>
        </w:rPr>
        <w:t>J</w:t>
      </w:r>
      <w:r w:rsidRPr="00C80E07">
        <w:rPr>
          <w:lang w:val="en-US"/>
        </w:rPr>
        <w:t xml:space="preserve">1: </w:t>
      </w:r>
      <w:r>
        <w:rPr>
          <w:lang w:val="en-US"/>
        </w:rPr>
        <w:t xml:space="preserve">Calculation of </w:t>
      </w:r>
      <w:r w:rsidR="0060598B">
        <w:rPr>
          <w:lang w:val="en-US"/>
        </w:rPr>
        <w:t>p</w:t>
      </w:r>
      <w:r w:rsidRPr="00C80E07">
        <w:rPr>
          <w:lang w:val="en-US"/>
        </w:rPr>
        <w:t>esticide trea</w:t>
      </w:r>
      <w:r w:rsidR="0060598B">
        <w:rPr>
          <w:lang w:val="en-US"/>
        </w:rPr>
        <w:t>t</w:t>
      </w:r>
      <w:r w:rsidRPr="00C80E07">
        <w:rPr>
          <w:lang w:val="en-US"/>
        </w:rPr>
        <w:t xml:space="preserve">ment </w:t>
      </w:r>
      <w:r>
        <w:rPr>
          <w:lang w:val="en-US"/>
        </w:rPr>
        <w:t xml:space="preserve">reduction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207"/>
        <w:gridCol w:w="2208"/>
        <w:gridCol w:w="2207"/>
      </w:tblGrid>
      <w:tr w:rsidR="00F417B6" w:rsidRPr="00B5658B" w14:paraId="3D8EE8C4" w14:textId="77777777" w:rsidTr="00C80E07">
        <w:trPr>
          <w:trHeight w:val="386"/>
        </w:trPr>
        <w:tc>
          <w:tcPr>
            <w:tcW w:w="2207" w:type="dxa"/>
            <w:tcBorders>
              <w:top w:val="single" w:sz="18" w:space="0" w:color="auto"/>
              <w:bottom w:val="single" w:sz="8" w:space="0" w:color="auto"/>
            </w:tcBorders>
            <w:vAlign w:val="center"/>
          </w:tcPr>
          <w:p w14:paraId="75AE9FD5" w14:textId="77777777" w:rsidR="00F417B6" w:rsidRPr="00812B6A" w:rsidRDefault="00F417B6" w:rsidP="00F417B6">
            <w:pPr>
              <w:jc w:val="center"/>
              <w:rPr>
                <w:b/>
                <w:bCs/>
                <w:sz w:val="20"/>
                <w:szCs w:val="20"/>
                <w:lang w:val="en-US"/>
              </w:rPr>
            </w:pPr>
          </w:p>
        </w:tc>
        <w:tc>
          <w:tcPr>
            <w:tcW w:w="2207" w:type="dxa"/>
            <w:tcBorders>
              <w:top w:val="single" w:sz="18" w:space="0" w:color="auto"/>
              <w:left w:val="nil"/>
              <w:bottom w:val="single" w:sz="8" w:space="0" w:color="auto"/>
            </w:tcBorders>
            <w:vAlign w:val="center"/>
          </w:tcPr>
          <w:p w14:paraId="4736ACC8" w14:textId="35B0EF5F" w:rsidR="00F417B6" w:rsidRPr="00812B6A" w:rsidRDefault="00F417B6" w:rsidP="00F417B6">
            <w:pPr>
              <w:jc w:val="center"/>
              <w:rPr>
                <w:b/>
                <w:bCs/>
                <w:sz w:val="20"/>
                <w:szCs w:val="20"/>
                <w:lang w:val="en-US"/>
              </w:rPr>
            </w:pPr>
            <w:r w:rsidRPr="00812B6A">
              <w:rPr>
                <w:b/>
                <w:bCs/>
                <w:sz w:val="20"/>
                <w:szCs w:val="20"/>
                <w:lang w:val="en-US"/>
              </w:rPr>
              <w:t>Today</w:t>
            </w:r>
          </w:p>
        </w:tc>
        <w:tc>
          <w:tcPr>
            <w:tcW w:w="2208" w:type="dxa"/>
            <w:tcBorders>
              <w:top w:val="single" w:sz="18" w:space="0" w:color="auto"/>
              <w:bottom w:val="single" w:sz="8" w:space="0" w:color="auto"/>
            </w:tcBorders>
            <w:vAlign w:val="center"/>
          </w:tcPr>
          <w:p w14:paraId="178F5EFB" w14:textId="238F58A7" w:rsidR="00F417B6" w:rsidRPr="00812B6A" w:rsidRDefault="00F417B6" w:rsidP="00F417B6">
            <w:pPr>
              <w:jc w:val="center"/>
              <w:rPr>
                <w:b/>
                <w:bCs/>
                <w:sz w:val="20"/>
                <w:szCs w:val="20"/>
                <w:lang w:val="en-US"/>
              </w:rPr>
            </w:pPr>
            <w:r w:rsidRPr="00812B6A">
              <w:rPr>
                <w:b/>
                <w:bCs/>
                <w:sz w:val="20"/>
                <w:szCs w:val="20"/>
                <w:lang w:val="en-US"/>
              </w:rPr>
              <w:t>In 10 years</w:t>
            </w:r>
          </w:p>
        </w:tc>
        <w:tc>
          <w:tcPr>
            <w:tcW w:w="2207" w:type="dxa"/>
            <w:tcBorders>
              <w:top w:val="single" w:sz="18" w:space="0" w:color="auto"/>
              <w:left w:val="nil"/>
              <w:bottom w:val="single" w:sz="8" w:space="0" w:color="auto"/>
            </w:tcBorders>
            <w:vAlign w:val="center"/>
          </w:tcPr>
          <w:p w14:paraId="723B935B" w14:textId="08247CDE" w:rsidR="00F417B6" w:rsidRPr="00812B6A" w:rsidRDefault="00F417B6" w:rsidP="00F417B6">
            <w:pPr>
              <w:jc w:val="center"/>
              <w:rPr>
                <w:b/>
                <w:bCs/>
                <w:sz w:val="20"/>
                <w:szCs w:val="20"/>
                <w:lang w:val="en-US"/>
              </w:rPr>
            </w:pPr>
            <w:r w:rsidRPr="00812B6A">
              <w:rPr>
                <w:b/>
                <w:bCs/>
                <w:sz w:val="20"/>
                <w:szCs w:val="20"/>
                <w:lang w:val="en-US"/>
              </w:rPr>
              <w:t>Change in number of pesticide treatments</w:t>
            </w:r>
          </w:p>
        </w:tc>
      </w:tr>
      <w:tr w:rsidR="00F417B6" w:rsidRPr="005571A6" w14:paraId="5FC6CC56" w14:textId="77777777" w:rsidTr="006035A9">
        <w:trPr>
          <w:trHeight w:val="395"/>
        </w:trPr>
        <w:tc>
          <w:tcPr>
            <w:tcW w:w="2207" w:type="dxa"/>
            <w:tcBorders>
              <w:top w:val="single" w:sz="8" w:space="0" w:color="auto"/>
            </w:tcBorders>
            <w:vAlign w:val="center"/>
          </w:tcPr>
          <w:p w14:paraId="2E847282" w14:textId="7D56798D" w:rsidR="00F417B6" w:rsidRPr="00812B6A" w:rsidRDefault="00F417B6" w:rsidP="005571A6">
            <w:pPr>
              <w:rPr>
                <w:b/>
                <w:bCs/>
                <w:sz w:val="20"/>
                <w:szCs w:val="20"/>
                <w:lang w:val="en-US"/>
              </w:rPr>
            </w:pPr>
            <w:r w:rsidRPr="00812B6A">
              <w:rPr>
                <w:b/>
                <w:bCs/>
                <w:sz w:val="20"/>
                <w:szCs w:val="20"/>
                <w:lang w:val="en-US"/>
              </w:rPr>
              <w:t>Total area under grapevines</w:t>
            </w:r>
          </w:p>
        </w:tc>
        <w:tc>
          <w:tcPr>
            <w:tcW w:w="4415" w:type="dxa"/>
            <w:gridSpan w:val="2"/>
            <w:tcBorders>
              <w:top w:val="single" w:sz="8" w:space="0" w:color="auto"/>
              <w:left w:val="nil"/>
            </w:tcBorders>
            <w:vAlign w:val="center"/>
          </w:tcPr>
          <w:p w14:paraId="1BFBBEB9" w14:textId="277DDD83" w:rsidR="00F417B6" w:rsidRPr="00812B6A" w:rsidRDefault="00F417B6" w:rsidP="00F417B6">
            <w:pPr>
              <w:jc w:val="center"/>
              <w:rPr>
                <w:sz w:val="20"/>
                <w:szCs w:val="20"/>
                <w:lang w:val="en-US"/>
              </w:rPr>
            </w:pPr>
            <w:r w:rsidRPr="00812B6A">
              <w:rPr>
                <w:sz w:val="20"/>
                <w:szCs w:val="20"/>
                <w:lang w:val="en-US"/>
              </w:rPr>
              <w:t>14’629 ha (100%)</w:t>
            </w:r>
          </w:p>
        </w:tc>
        <w:tc>
          <w:tcPr>
            <w:tcW w:w="2207" w:type="dxa"/>
            <w:tcBorders>
              <w:top w:val="single" w:sz="8" w:space="0" w:color="auto"/>
              <w:left w:val="nil"/>
            </w:tcBorders>
            <w:vAlign w:val="center"/>
          </w:tcPr>
          <w:p w14:paraId="23D0917B" w14:textId="77777777" w:rsidR="00F417B6" w:rsidRPr="00812B6A" w:rsidRDefault="00F417B6" w:rsidP="00F417B6">
            <w:pPr>
              <w:jc w:val="center"/>
              <w:rPr>
                <w:sz w:val="20"/>
                <w:szCs w:val="20"/>
                <w:lang w:val="en-US"/>
              </w:rPr>
            </w:pPr>
          </w:p>
        </w:tc>
      </w:tr>
      <w:tr w:rsidR="00F417B6" w:rsidRPr="005571A6" w14:paraId="7028E547" w14:textId="77777777" w:rsidTr="00C80E07">
        <w:trPr>
          <w:trHeight w:val="579"/>
        </w:trPr>
        <w:tc>
          <w:tcPr>
            <w:tcW w:w="2207" w:type="dxa"/>
            <w:vAlign w:val="center"/>
          </w:tcPr>
          <w:p w14:paraId="6899F45A" w14:textId="2C7EE06D" w:rsidR="00F417B6" w:rsidRPr="00812B6A" w:rsidRDefault="00F417B6" w:rsidP="005571A6">
            <w:pPr>
              <w:rPr>
                <w:b/>
                <w:bCs/>
                <w:sz w:val="20"/>
                <w:szCs w:val="20"/>
                <w:lang w:val="en-US"/>
              </w:rPr>
            </w:pPr>
            <w:r w:rsidRPr="00812B6A">
              <w:rPr>
                <w:b/>
                <w:bCs/>
                <w:sz w:val="20"/>
                <w:szCs w:val="20"/>
                <w:lang w:val="en-US"/>
              </w:rPr>
              <w:t>Area under traditional varieties</w:t>
            </w:r>
          </w:p>
        </w:tc>
        <w:tc>
          <w:tcPr>
            <w:tcW w:w="2207" w:type="dxa"/>
            <w:tcBorders>
              <w:left w:val="nil"/>
            </w:tcBorders>
            <w:vAlign w:val="center"/>
          </w:tcPr>
          <w:p w14:paraId="75401D39" w14:textId="22A7B359" w:rsidR="00F417B6" w:rsidRPr="00812B6A" w:rsidRDefault="00F417B6" w:rsidP="00F417B6">
            <w:pPr>
              <w:jc w:val="center"/>
              <w:rPr>
                <w:sz w:val="20"/>
                <w:szCs w:val="20"/>
                <w:lang w:val="en-US"/>
              </w:rPr>
            </w:pPr>
            <w:r w:rsidRPr="00812B6A">
              <w:rPr>
                <w:sz w:val="20"/>
                <w:szCs w:val="20"/>
                <w:lang w:val="en-US"/>
              </w:rPr>
              <w:t>14’219 ha (97.2%)</w:t>
            </w:r>
          </w:p>
        </w:tc>
        <w:tc>
          <w:tcPr>
            <w:tcW w:w="2208" w:type="dxa"/>
            <w:vAlign w:val="center"/>
          </w:tcPr>
          <w:p w14:paraId="37AE0F90" w14:textId="7B3D8B88" w:rsidR="00F417B6" w:rsidRPr="00812B6A" w:rsidRDefault="00051002" w:rsidP="00F417B6">
            <w:pPr>
              <w:jc w:val="center"/>
              <w:rPr>
                <w:sz w:val="20"/>
                <w:szCs w:val="20"/>
                <w:lang w:val="en-US"/>
              </w:rPr>
            </w:pPr>
            <w:r w:rsidRPr="00812B6A">
              <w:rPr>
                <w:sz w:val="20"/>
                <w:szCs w:val="20"/>
                <w:lang w:val="en-US"/>
              </w:rPr>
              <w:t xml:space="preserve">10’621 </w:t>
            </w:r>
            <w:r w:rsidR="00F417B6" w:rsidRPr="00812B6A">
              <w:rPr>
                <w:sz w:val="20"/>
                <w:szCs w:val="20"/>
                <w:lang w:val="en-US"/>
              </w:rPr>
              <w:t>ha (72.6%)</w:t>
            </w:r>
          </w:p>
        </w:tc>
        <w:tc>
          <w:tcPr>
            <w:tcW w:w="2207" w:type="dxa"/>
            <w:tcBorders>
              <w:left w:val="nil"/>
            </w:tcBorders>
            <w:vAlign w:val="center"/>
          </w:tcPr>
          <w:p w14:paraId="2B97EAE5" w14:textId="77777777" w:rsidR="00F417B6" w:rsidRPr="00812B6A" w:rsidRDefault="00F417B6" w:rsidP="00F417B6">
            <w:pPr>
              <w:jc w:val="center"/>
              <w:rPr>
                <w:sz w:val="20"/>
                <w:szCs w:val="20"/>
                <w:lang w:val="en-US"/>
              </w:rPr>
            </w:pPr>
          </w:p>
        </w:tc>
      </w:tr>
      <w:tr w:rsidR="00F417B6" w:rsidRPr="005571A6" w14:paraId="2F976226" w14:textId="77777777" w:rsidTr="00C80E07">
        <w:trPr>
          <w:trHeight w:val="395"/>
        </w:trPr>
        <w:tc>
          <w:tcPr>
            <w:tcW w:w="2207" w:type="dxa"/>
            <w:vAlign w:val="center"/>
          </w:tcPr>
          <w:p w14:paraId="6BF0D3CB" w14:textId="08227212" w:rsidR="00F417B6" w:rsidRPr="00812B6A" w:rsidRDefault="00F417B6" w:rsidP="005571A6">
            <w:pPr>
              <w:rPr>
                <w:b/>
                <w:bCs/>
                <w:sz w:val="20"/>
                <w:szCs w:val="20"/>
                <w:lang w:val="en-US"/>
              </w:rPr>
            </w:pPr>
            <w:r w:rsidRPr="00812B6A">
              <w:rPr>
                <w:b/>
                <w:bCs/>
                <w:sz w:val="20"/>
                <w:szCs w:val="20"/>
                <w:lang w:val="en-US"/>
              </w:rPr>
              <w:t>Treatments per hectare</w:t>
            </w:r>
          </w:p>
        </w:tc>
        <w:tc>
          <w:tcPr>
            <w:tcW w:w="2207" w:type="dxa"/>
            <w:tcBorders>
              <w:left w:val="nil"/>
            </w:tcBorders>
            <w:vAlign w:val="center"/>
          </w:tcPr>
          <w:p w14:paraId="10FA0E75" w14:textId="5F1689FE" w:rsidR="00F417B6" w:rsidRPr="00812B6A" w:rsidRDefault="00F417B6" w:rsidP="00F417B6">
            <w:pPr>
              <w:jc w:val="center"/>
              <w:rPr>
                <w:sz w:val="20"/>
                <w:szCs w:val="20"/>
                <w:lang w:val="en-US"/>
              </w:rPr>
            </w:pPr>
            <w:r w:rsidRPr="00812B6A">
              <w:rPr>
                <w:sz w:val="20"/>
                <w:szCs w:val="20"/>
                <w:lang w:val="en-US"/>
              </w:rPr>
              <w:t xml:space="preserve">12 x 14’219 = </w:t>
            </w:r>
            <w:r w:rsidR="00051002" w:rsidRPr="00812B6A">
              <w:rPr>
                <w:sz w:val="20"/>
                <w:szCs w:val="20"/>
                <w:lang w:val="en-US"/>
              </w:rPr>
              <w:t>170’633</w:t>
            </w:r>
          </w:p>
        </w:tc>
        <w:tc>
          <w:tcPr>
            <w:tcW w:w="2208" w:type="dxa"/>
            <w:vAlign w:val="center"/>
          </w:tcPr>
          <w:p w14:paraId="64094DC8" w14:textId="7652B977" w:rsidR="00F417B6" w:rsidRPr="00812B6A" w:rsidRDefault="00F417B6" w:rsidP="00F417B6">
            <w:pPr>
              <w:jc w:val="center"/>
              <w:rPr>
                <w:sz w:val="20"/>
                <w:szCs w:val="20"/>
                <w:lang w:val="en-US"/>
              </w:rPr>
            </w:pPr>
            <w:r w:rsidRPr="00812B6A">
              <w:rPr>
                <w:sz w:val="20"/>
                <w:szCs w:val="20"/>
                <w:lang w:val="en-US"/>
              </w:rPr>
              <w:t xml:space="preserve">12 x </w:t>
            </w:r>
            <w:r w:rsidR="0092293A" w:rsidRPr="00812B6A">
              <w:rPr>
                <w:sz w:val="20"/>
                <w:szCs w:val="20"/>
                <w:lang w:val="en-US"/>
              </w:rPr>
              <w:t>10’621</w:t>
            </w:r>
            <w:r w:rsidRPr="00812B6A">
              <w:rPr>
                <w:sz w:val="20"/>
                <w:szCs w:val="20"/>
                <w:lang w:val="en-US"/>
              </w:rPr>
              <w:t xml:space="preserve"> = </w:t>
            </w:r>
            <w:r w:rsidR="0092293A" w:rsidRPr="00812B6A">
              <w:rPr>
                <w:sz w:val="20"/>
                <w:szCs w:val="20"/>
                <w:lang w:val="en-US"/>
              </w:rPr>
              <w:t>127’448</w:t>
            </w:r>
          </w:p>
        </w:tc>
        <w:tc>
          <w:tcPr>
            <w:tcW w:w="2207" w:type="dxa"/>
            <w:tcBorders>
              <w:left w:val="nil"/>
            </w:tcBorders>
            <w:vAlign w:val="center"/>
          </w:tcPr>
          <w:p w14:paraId="53F9E319" w14:textId="76FA6C84" w:rsidR="00F417B6" w:rsidRPr="00812B6A" w:rsidRDefault="00F417B6" w:rsidP="00F417B6">
            <w:pPr>
              <w:jc w:val="center"/>
              <w:rPr>
                <w:sz w:val="20"/>
                <w:szCs w:val="20"/>
                <w:lang w:val="en-US"/>
              </w:rPr>
            </w:pPr>
            <w:r w:rsidRPr="00812B6A">
              <w:rPr>
                <w:sz w:val="20"/>
                <w:szCs w:val="20"/>
                <w:lang w:val="en-US"/>
              </w:rPr>
              <w:t>-</w:t>
            </w:r>
            <w:r w:rsidR="0092293A" w:rsidRPr="00812B6A">
              <w:rPr>
                <w:sz w:val="20"/>
                <w:szCs w:val="20"/>
                <w:lang w:val="en-US"/>
              </w:rPr>
              <w:t>43’185</w:t>
            </w:r>
          </w:p>
        </w:tc>
      </w:tr>
      <w:tr w:rsidR="00F417B6" w:rsidRPr="005571A6" w14:paraId="0A931381" w14:textId="77777777" w:rsidTr="00C80E07">
        <w:trPr>
          <w:trHeight w:val="579"/>
        </w:trPr>
        <w:tc>
          <w:tcPr>
            <w:tcW w:w="2207" w:type="dxa"/>
            <w:vAlign w:val="center"/>
          </w:tcPr>
          <w:p w14:paraId="5D9D1CF3" w14:textId="3D626454" w:rsidR="00F417B6" w:rsidRPr="00812B6A" w:rsidRDefault="00F417B6" w:rsidP="005571A6">
            <w:pPr>
              <w:rPr>
                <w:b/>
                <w:bCs/>
                <w:sz w:val="20"/>
                <w:szCs w:val="20"/>
                <w:lang w:val="en-US"/>
              </w:rPr>
            </w:pPr>
            <w:r w:rsidRPr="00812B6A">
              <w:rPr>
                <w:b/>
                <w:bCs/>
                <w:sz w:val="20"/>
                <w:szCs w:val="20"/>
                <w:lang w:val="en-US"/>
              </w:rPr>
              <w:t xml:space="preserve">Area under </w:t>
            </w:r>
            <w:r w:rsidR="009D7478" w:rsidRPr="00812B6A">
              <w:rPr>
                <w:b/>
                <w:bCs/>
                <w:sz w:val="20"/>
                <w:szCs w:val="20"/>
                <w:lang w:val="en-US"/>
              </w:rPr>
              <w:t>fungus-</w:t>
            </w:r>
            <w:r w:rsidRPr="00812B6A">
              <w:rPr>
                <w:b/>
                <w:bCs/>
                <w:sz w:val="20"/>
                <w:szCs w:val="20"/>
                <w:lang w:val="en-US"/>
              </w:rPr>
              <w:t>resistant varieties</w:t>
            </w:r>
          </w:p>
        </w:tc>
        <w:tc>
          <w:tcPr>
            <w:tcW w:w="2207" w:type="dxa"/>
            <w:tcBorders>
              <w:left w:val="nil"/>
            </w:tcBorders>
            <w:vAlign w:val="center"/>
          </w:tcPr>
          <w:p w14:paraId="6F6C8B9D" w14:textId="564CD9CB" w:rsidR="00F417B6" w:rsidRPr="00812B6A" w:rsidRDefault="00051002" w:rsidP="009D7478">
            <w:pPr>
              <w:jc w:val="center"/>
              <w:rPr>
                <w:sz w:val="20"/>
                <w:szCs w:val="20"/>
                <w:lang w:val="en-US"/>
              </w:rPr>
            </w:pPr>
            <w:r w:rsidRPr="00812B6A">
              <w:rPr>
                <w:sz w:val="20"/>
                <w:szCs w:val="20"/>
                <w:lang w:val="en-US"/>
              </w:rPr>
              <w:t xml:space="preserve">410 </w:t>
            </w:r>
            <w:r w:rsidR="00F417B6" w:rsidRPr="00812B6A">
              <w:rPr>
                <w:sz w:val="20"/>
                <w:szCs w:val="20"/>
                <w:lang w:val="en-US"/>
              </w:rPr>
              <w:t>ha (2.8%)</w:t>
            </w:r>
          </w:p>
        </w:tc>
        <w:tc>
          <w:tcPr>
            <w:tcW w:w="2208" w:type="dxa"/>
            <w:vAlign w:val="center"/>
          </w:tcPr>
          <w:p w14:paraId="3234F11C" w14:textId="7D32B66F" w:rsidR="00F417B6" w:rsidRPr="00812B6A" w:rsidRDefault="00F417B6" w:rsidP="00F417B6">
            <w:pPr>
              <w:jc w:val="center"/>
              <w:rPr>
                <w:sz w:val="20"/>
                <w:szCs w:val="20"/>
                <w:lang w:val="en-US"/>
              </w:rPr>
            </w:pPr>
            <w:r w:rsidRPr="00812B6A">
              <w:rPr>
                <w:sz w:val="20"/>
                <w:szCs w:val="20"/>
                <w:lang w:val="en-US"/>
              </w:rPr>
              <w:t>4008 ha (27.4%)</w:t>
            </w:r>
          </w:p>
        </w:tc>
        <w:tc>
          <w:tcPr>
            <w:tcW w:w="2207" w:type="dxa"/>
            <w:tcBorders>
              <w:left w:val="nil"/>
            </w:tcBorders>
            <w:vAlign w:val="center"/>
          </w:tcPr>
          <w:p w14:paraId="34128861" w14:textId="77777777" w:rsidR="00F417B6" w:rsidRPr="00812B6A" w:rsidRDefault="00F417B6" w:rsidP="00F417B6">
            <w:pPr>
              <w:jc w:val="center"/>
              <w:rPr>
                <w:sz w:val="20"/>
                <w:szCs w:val="20"/>
                <w:lang w:val="en-US"/>
              </w:rPr>
            </w:pPr>
          </w:p>
        </w:tc>
      </w:tr>
      <w:tr w:rsidR="00F417B6" w:rsidRPr="005571A6" w14:paraId="3C8CC9E9" w14:textId="77777777" w:rsidTr="00C80E07">
        <w:trPr>
          <w:trHeight w:val="192"/>
        </w:trPr>
        <w:tc>
          <w:tcPr>
            <w:tcW w:w="2207" w:type="dxa"/>
            <w:vAlign w:val="center"/>
          </w:tcPr>
          <w:p w14:paraId="3B6A7860" w14:textId="55E57E81" w:rsidR="00F417B6" w:rsidRPr="00812B6A" w:rsidRDefault="00F417B6" w:rsidP="005571A6">
            <w:pPr>
              <w:rPr>
                <w:b/>
                <w:bCs/>
                <w:sz w:val="20"/>
                <w:szCs w:val="20"/>
                <w:lang w:val="en-US"/>
              </w:rPr>
            </w:pPr>
            <w:r w:rsidRPr="00812B6A">
              <w:rPr>
                <w:b/>
                <w:bCs/>
                <w:sz w:val="20"/>
                <w:szCs w:val="20"/>
                <w:lang w:val="en-US"/>
              </w:rPr>
              <w:t>Treatments per hectare</w:t>
            </w:r>
          </w:p>
        </w:tc>
        <w:tc>
          <w:tcPr>
            <w:tcW w:w="2207" w:type="dxa"/>
            <w:tcBorders>
              <w:left w:val="nil"/>
            </w:tcBorders>
            <w:vAlign w:val="center"/>
          </w:tcPr>
          <w:p w14:paraId="7E98D10A" w14:textId="51BEB3AD" w:rsidR="00F417B6" w:rsidRPr="00812B6A" w:rsidRDefault="005A1DE1" w:rsidP="00F417B6">
            <w:pPr>
              <w:jc w:val="center"/>
              <w:rPr>
                <w:sz w:val="20"/>
                <w:szCs w:val="20"/>
                <w:lang w:val="en-US"/>
              </w:rPr>
            </w:pPr>
            <w:r w:rsidRPr="00812B6A">
              <w:rPr>
                <w:sz w:val="20"/>
                <w:szCs w:val="20"/>
                <w:lang w:val="en-US"/>
              </w:rPr>
              <w:t>3</w:t>
            </w:r>
            <w:r w:rsidR="00F417B6" w:rsidRPr="00812B6A">
              <w:rPr>
                <w:sz w:val="20"/>
                <w:szCs w:val="20"/>
                <w:lang w:val="en-US"/>
              </w:rPr>
              <w:t xml:space="preserve"> x </w:t>
            </w:r>
            <w:r w:rsidR="0092293A" w:rsidRPr="00812B6A">
              <w:rPr>
                <w:sz w:val="20"/>
                <w:szCs w:val="20"/>
                <w:lang w:val="en-US"/>
              </w:rPr>
              <w:t xml:space="preserve">410 </w:t>
            </w:r>
            <w:r w:rsidR="00F417B6" w:rsidRPr="00812B6A">
              <w:rPr>
                <w:sz w:val="20"/>
                <w:szCs w:val="20"/>
                <w:lang w:val="en-US"/>
              </w:rPr>
              <w:t xml:space="preserve">= </w:t>
            </w:r>
            <w:r w:rsidR="0092293A" w:rsidRPr="00812B6A">
              <w:rPr>
                <w:sz w:val="20"/>
                <w:szCs w:val="20"/>
                <w:lang w:val="en-US"/>
              </w:rPr>
              <w:t>1’229</w:t>
            </w:r>
          </w:p>
        </w:tc>
        <w:tc>
          <w:tcPr>
            <w:tcW w:w="2208" w:type="dxa"/>
            <w:vAlign w:val="center"/>
          </w:tcPr>
          <w:p w14:paraId="4798687D" w14:textId="4AC3E58D" w:rsidR="00F417B6" w:rsidRPr="00812B6A" w:rsidRDefault="005A1DE1" w:rsidP="00F417B6">
            <w:pPr>
              <w:jc w:val="center"/>
              <w:rPr>
                <w:sz w:val="20"/>
                <w:szCs w:val="20"/>
                <w:lang w:val="en-US"/>
              </w:rPr>
            </w:pPr>
            <w:r w:rsidRPr="00812B6A">
              <w:rPr>
                <w:sz w:val="20"/>
                <w:szCs w:val="20"/>
                <w:lang w:val="en-US"/>
              </w:rPr>
              <w:t>3</w:t>
            </w:r>
            <w:r w:rsidR="00F417B6" w:rsidRPr="00812B6A">
              <w:rPr>
                <w:sz w:val="20"/>
                <w:szCs w:val="20"/>
                <w:lang w:val="en-US"/>
              </w:rPr>
              <w:t xml:space="preserve"> x 4008 = </w:t>
            </w:r>
            <w:r w:rsidR="0092293A" w:rsidRPr="00812B6A">
              <w:rPr>
                <w:sz w:val="20"/>
                <w:szCs w:val="20"/>
                <w:lang w:val="en-US"/>
              </w:rPr>
              <w:t>12’025</w:t>
            </w:r>
          </w:p>
        </w:tc>
        <w:tc>
          <w:tcPr>
            <w:tcW w:w="2207" w:type="dxa"/>
            <w:tcBorders>
              <w:left w:val="nil"/>
            </w:tcBorders>
            <w:vAlign w:val="center"/>
          </w:tcPr>
          <w:p w14:paraId="3CED66FE" w14:textId="419AD9F2" w:rsidR="00F417B6" w:rsidRPr="00812B6A" w:rsidRDefault="00F417B6" w:rsidP="00F417B6">
            <w:pPr>
              <w:jc w:val="center"/>
              <w:rPr>
                <w:sz w:val="20"/>
                <w:szCs w:val="20"/>
                <w:lang w:val="en-US"/>
              </w:rPr>
            </w:pPr>
            <w:r w:rsidRPr="00812B6A">
              <w:rPr>
                <w:sz w:val="20"/>
                <w:szCs w:val="20"/>
                <w:lang w:val="en-US"/>
              </w:rPr>
              <w:t>+</w:t>
            </w:r>
            <w:r w:rsidR="0092293A" w:rsidRPr="00812B6A">
              <w:rPr>
                <w:sz w:val="20"/>
                <w:szCs w:val="20"/>
                <w:lang w:val="en-US"/>
              </w:rPr>
              <w:t>10’796</w:t>
            </w:r>
          </w:p>
        </w:tc>
      </w:tr>
      <w:tr w:rsidR="00F417B6" w:rsidRPr="005571A6" w14:paraId="7D11BC16" w14:textId="77777777" w:rsidTr="00C80E07">
        <w:trPr>
          <w:trHeight w:val="395"/>
        </w:trPr>
        <w:tc>
          <w:tcPr>
            <w:tcW w:w="2207" w:type="dxa"/>
            <w:tcBorders>
              <w:bottom w:val="single" w:sz="18" w:space="0" w:color="auto"/>
            </w:tcBorders>
            <w:vAlign w:val="center"/>
          </w:tcPr>
          <w:p w14:paraId="2A8A361A" w14:textId="3597DB8F" w:rsidR="00F417B6" w:rsidRPr="00812B6A" w:rsidRDefault="00F417B6" w:rsidP="005571A6">
            <w:pPr>
              <w:rPr>
                <w:b/>
                <w:bCs/>
                <w:sz w:val="20"/>
                <w:szCs w:val="20"/>
                <w:lang w:val="en-US"/>
              </w:rPr>
            </w:pPr>
            <w:r w:rsidRPr="00812B6A">
              <w:rPr>
                <w:b/>
                <w:bCs/>
                <w:sz w:val="20"/>
                <w:szCs w:val="20"/>
                <w:lang w:val="en-US"/>
              </w:rPr>
              <w:t>Total number of pesticide treatments</w:t>
            </w:r>
          </w:p>
        </w:tc>
        <w:tc>
          <w:tcPr>
            <w:tcW w:w="2207" w:type="dxa"/>
            <w:tcBorders>
              <w:left w:val="nil"/>
              <w:bottom w:val="single" w:sz="18" w:space="0" w:color="auto"/>
            </w:tcBorders>
            <w:vAlign w:val="center"/>
          </w:tcPr>
          <w:p w14:paraId="134A599E" w14:textId="2A673CEC" w:rsidR="00F417B6" w:rsidRPr="00812B6A" w:rsidRDefault="006E4E99" w:rsidP="00F417B6">
            <w:pPr>
              <w:jc w:val="center"/>
              <w:rPr>
                <w:sz w:val="20"/>
                <w:szCs w:val="20"/>
                <w:lang w:val="en-US"/>
              </w:rPr>
            </w:pPr>
            <w:r w:rsidRPr="00812B6A">
              <w:rPr>
                <w:sz w:val="20"/>
                <w:szCs w:val="20"/>
                <w:lang w:val="en-US"/>
              </w:rPr>
              <w:t>171’861</w:t>
            </w:r>
          </w:p>
        </w:tc>
        <w:tc>
          <w:tcPr>
            <w:tcW w:w="2208" w:type="dxa"/>
            <w:tcBorders>
              <w:bottom w:val="single" w:sz="18" w:space="0" w:color="auto"/>
            </w:tcBorders>
            <w:vAlign w:val="center"/>
          </w:tcPr>
          <w:p w14:paraId="265CB188" w14:textId="7B53EA3D" w:rsidR="00F417B6" w:rsidRPr="00812B6A" w:rsidRDefault="006E4E99" w:rsidP="00F417B6">
            <w:pPr>
              <w:jc w:val="center"/>
              <w:rPr>
                <w:sz w:val="20"/>
                <w:szCs w:val="20"/>
                <w:lang w:val="en-US"/>
              </w:rPr>
            </w:pPr>
            <w:r w:rsidRPr="00812B6A">
              <w:rPr>
                <w:sz w:val="20"/>
                <w:szCs w:val="20"/>
                <w:lang w:val="en-US"/>
              </w:rPr>
              <w:t>139’473</w:t>
            </w:r>
          </w:p>
        </w:tc>
        <w:tc>
          <w:tcPr>
            <w:tcW w:w="2207" w:type="dxa"/>
            <w:tcBorders>
              <w:left w:val="nil"/>
              <w:bottom w:val="single" w:sz="18" w:space="0" w:color="auto"/>
            </w:tcBorders>
            <w:vAlign w:val="center"/>
          </w:tcPr>
          <w:p w14:paraId="4D136B8C" w14:textId="5E5CED00" w:rsidR="00F417B6" w:rsidRPr="00812B6A" w:rsidRDefault="00F417B6" w:rsidP="00C80E07">
            <w:pPr>
              <w:keepNext/>
              <w:jc w:val="center"/>
              <w:rPr>
                <w:b/>
                <w:bCs/>
                <w:sz w:val="20"/>
                <w:szCs w:val="20"/>
                <w:lang w:val="en-US"/>
              </w:rPr>
            </w:pPr>
            <w:r w:rsidRPr="00812B6A">
              <w:rPr>
                <w:b/>
                <w:bCs/>
                <w:sz w:val="20"/>
                <w:szCs w:val="20"/>
                <w:lang w:val="en-US"/>
              </w:rPr>
              <w:t>-</w:t>
            </w:r>
            <w:r w:rsidR="0092293A" w:rsidRPr="00812B6A">
              <w:rPr>
                <w:b/>
                <w:bCs/>
                <w:sz w:val="20"/>
                <w:szCs w:val="20"/>
                <w:lang w:val="en-US"/>
              </w:rPr>
              <w:t>32’389</w:t>
            </w:r>
          </w:p>
        </w:tc>
      </w:tr>
    </w:tbl>
    <w:p w14:paraId="2EF9707B" w14:textId="77777777" w:rsidR="0060598B" w:rsidRDefault="0060598B" w:rsidP="00987E95">
      <w:pPr>
        <w:rPr>
          <w:sz w:val="24"/>
          <w:szCs w:val="24"/>
          <w:lang w:val="en-US"/>
        </w:rPr>
      </w:pPr>
    </w:p>
    <w:p w14:paraId="391EC683" w14:textId="47FF9015" w:rsidR="00C40D97" w:rsidRDefault="00C40D97">
      <w:pPr>
        <w:rPr>
          <w:lang w:val="en-US"/>
        </w:rPr>
      </w:pPr>
      <w:r>
        <w:rPr>
          <w:lang w:val="en-US"/>
        </w:rPr>
        <w:br w:type="page"/>
      </w:r>
    </w:p>
    <w:p w14:paraId="5709F17C" w14:textId="4434B9A2" w:rsidR="00453ED3" w:rsidRPr="00453ED3" w:rsidRDefault="00453ED3" w:rsidP="00453ED3">
      <w:pPr>
        <w:pStyle w:val="Bibliography"/>
        <w:rPr>
          <w:b/>
          <w:lang w:val="en-US"/>
        </w:rPr>
      </w:pPr>
      <w:r w:rsidRPr="00453ED3">
        <w:rPr>
          <w:b/>
          <w:lang w:val="en-US"/>
        </w:rPr>
        <w:lastRenderedPageBreak/>
        <w:t>References</w:t>
      </w:r>
    </w:p>
    <w:p w14:paraId="2088B886" w14:textId="77777777" w:rsidR="00453ED3" w:rsidRDefault="00453ED3" w:rsidP="00453ED3">
      <w:pPr>
        <w:pStyle w:val="Bibliography"/>
        <w:rPr>
          <w:lang w:val="en-US"/>
        </w:rPr>
      </w:pPr>
    </w:p>
    <w:p w14:paraId="42A1D73C" w14:textId="338215BD" w:rsidR="00453ED3" w:rsidRPr="00453ED3" w:rsidRDefault="00453ED3" w:rsidP="00453ED3">
      <w:pPr>
        <w:pStyle w:val="Bibliography"/>
        <w:rPr>
          <w:rFonts w:ascii="Calibri" w:hAnsi="Calibri" w:cs="Calibri"/>
          <w:lang w:val="en-US"/>
        </w:rPr>
      </w:pPr>
      <w:r>
        <w:rPr>
          <w:lang w:val="en-US"/>
        </w:rPr>
        <w:fldChar w:fldCharType="begin"/>
      </w:r>
      <w:r>
        <w:rPr>
          <w:lang w:val="en-US"/>
        </w:rPr>
        <w:instrText xml:space="preserve"> ADDIN ZOTERO_BIBL {"uncited":[],"omitted":[],"custom":[]} CSL_BIBLIOGRAPHY </w:instrText>
      </w:r>
      <w:r>
        <w:rPr>
          <w:lang w:val="en-US"/>
        </w:rPr>
        <w:fldChar w:fldCharType="separate"/>
      </w:r>
      <w:r w:rsidRPr="00453ED3">
        <w:rPr>
          <w:rFonts w:ascii="Calibri" w:hAnsi="Calibri" w:cs="Calibri"/>
          <w:lang w:val="en-US"/>
        </w:rPr>
        <w:t xml:space="preserve">Abay, K.A., Blalock, G., and Berhane, G., 2017. Locus of control and technology adoption in developing country agriculture: Evidence from Ethiopia. </w:t>
      </w:r>
      <w:r w:rsidRPr="00453ED3">
        <w:rPr>
          <w:rFonts w:ascii="Calibri" w:hAnsi="Calibri" w:cs="Calibri"/>
          <w:i/>
          <w:iCs/>
          <w:lang w:val="en-US"/>
        </w:rPr>
        <w:t>Journal of Economic Behavior &amp; Organization</w:t>
      </w:r>
      <w:r w:rsidRPr="00453ED3">
        <w:rPr>
          <w:rFonts w:ascii="Calibri" w:hAnsi="Calibri" w:cs="Calibri"/>
          <w:lang w:val="en-US"/>
        </w:rPr>
        <w:t>, 143, 98–115.</w:t>
      </w:r>
    </w:p>
    <w:p w14:paraId="55CAE945"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Akinwande, M.O., Dikko, H.G., and Samson, A., 2015. Variance Inflation Factor: As a Condition for the Inclusion of Suppressor Variable(s) in Regression Analysis. </w:t>
      </w:r>
      <w:r w:rsidRPr="00453ED3">
        <w:rPr>
          <w:rFonts w:ascii="Calibri" w:hAnsi="Calibri" w:cs="Calibri"/>
          <w:i/>
          <w:iCs/>
          <w:lang w:val="en-US"/>
        </w:rPr>
        <w:t>Open Journal of Statistics</w:t>
      </w:r>
      <w:r w:rsidRPr="00453ED3">
        <w:rPr>
          <w:rFonts w:ascii="Calibri" w:hAnsi="Calibri" w:cs="Calibri"/>
          <w:lang w:val="en-US"/>
        </w:rPr>
        <w:t>, 05 (07), 754–767.</w:t>
      </w:r>
    </w:p>
    <w:p w14:paraId="6463D90D" w14:textId="77777777" w:rsidR="00453ED3" w:rsidRPr="00453ED3" w:rsidRDefault="00453ED3" w:rsidP="00453ED3">
      <w:pPr>
        <w:pStyle w:val="Bibliography"/>
        <w:rPr>
          <w:rFonts w:ascii="Calibri" w:hAnsi="Calibri" w:cs="Calibri"/>
        </w:rPr>
      </w:pPr>
      <w:r w:rsidRPr="00453ED3">
        <w:rPr>
          <w:rFonts w:ascii="Calibri" w:hAnsi="Calibri" w:cs="Calibri"/>
          <w:lang w:val="en-US"/>
        </w:rPr>
        <w:t xml:space="preserve">Becker, A., 2013. Piwis in der Praxis. </w:t>
      </w:r>
      <w:r w:rsidRPr="00453ED3">
        <w:rPr>
          <w:rFonts w:ascii="Calibri" w:hAnsi="Calibri" w:cs="Calibri"/>
          <w:i/>
          <w:iCs/>
        </w:rPr>
        <w:t>Schweiz Zeitschrift für Obst und Weinbau</w:t>
      </w:r>
      <w:r w:rsidRPr="00453ED3">
        <w:rPr>
          <w:rFonts w:ascii="Calibri" w:hAnsi="Calibri" w:cs="Calibri"/>
        </w:rPr>
        <w:t>, 3.</w:t>
      </w:r>
    </w:p>
    <w:p w14:paraId="658AB185"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Carbone, A., Quici, L., and Pica, G., 2019. The age dynamics of vineyards: Past trends affecting the future. </w:t>
      </w:r>
      <w:r w:rsidRPr="00453ED3">
        <w:rPr>
          <w:rFonts w:ascii="Calibri" w:hAnsi="Calibri" w:cs="Calibri"/>
          <w:i/>
          <w:iCs/>
          <w:lang w:val="en-US"/>
        </w:rPr>
        <w:t>Wine Economics and Policy</w:t>
      </w:r>
      <w:r w:rsidRPr="00453ED3">
        <w:rPr>
          <w:rFonts w:ascii="Calibri" w:hAnsi="Calibri" w:cs="Calibri"/>
          <w:lang w:val="en-US"/>
        </w:rPr>
        <w:t>, 8 (1), 38–48.</w:t>
      </w:r>
    </w:p>
    <w:p w14:paraId="14C92771"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Casanova-Gascón, J., Ferrer-Martín, C., Bernad-Eustaquio, A., Elbaile-Mur, A., Ayuso-Rodríguez, J.M., Torres-Sánchez, S., Jarne-Casasús, A., and Martín-Ramos, P., 2019. Behavior of Vine Varieties Resistant to Fungal Diseases in the Somontano Region. </w:t>
      </w:r>
      <w:r w:rsidRPr="00453ED3">
        <w:rPr>
          <w:rFonts w:ascii="Calibri" w:hAnsi="Calibri" w:cs="Calibri"/>
          <w:i/>
          <w:iCs/>
          <w:lang w:val="en-US"/>
        </w:rPr>
        <w:t>Agronomy</w:t>
      </w:r>
      <w:r w:rsidRPr="00453ED3">
        <w:rPr>
          <w:rFonts w:ascii="Calibri" w:hAnsi="Calibri" w:cs="Calibri"/>
          <w:lang w:val="en-US"/>
        </w:rPr>
        <w:t>, 9 (11), 738.</w:t>
      </w:r>
    </w:p>
    <w:p w14:paraId="03FAD1A7"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Consoli, S., Fraysse, E.A., Slipchenko, N., Wang, Y., Amirebrahimi, J., Qin, Z., Yazma, N., and Lybbert, T.J., 2021. A “Sideways” Supply Response in California Winegrapes. </w:t>
      </w:r>
      <w:r w:rsidRPr="00453ED3">
        <w:rPr>
          <w:rFonts w:ascii="Calibri" w:hAnsi="Calibri" w:cs="Calibri"/>
          <w:i/>
          <w:iCs/>
          <w:lang w:val="en-US"/>
        </w:rPr>
        <w:t>Journal of Wine Economics</w:t>
      </w:r>
      <w:r w:rsidRPr="00453ED3">
        <w:rPr>
          <w:rFonts w:ascii="Calibri" w:hAnsi="Calibri" w:cs="Calibri"/>
          <w:lang w:val="en-US"/>
        </w:rPr>
        <w:t>, 1–22.</w:t>
      </w:r>
    </w:p>
    <w:p w14:paraId="48499E9A"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Dessart, F.J., Barreiro-Hurlé, J., and van Bavel, R., 2019. Behavioural factors affecting the adoption of sustainable farming practices: a policy-oriented review. </w:t>
      </w:r>
      <w:r w:rsidRPr="00453ED3">
        <w:rPr>
          <w:rFonts w:ascii="Calibri" w:hAnsi="Calibri" w:cs="Calibri"/>
          <w:i/>
          <w:iCs/>
          <w:lang w:val="en-US"/>
        </w:rPr>
        <w:t>European Review of Agricultural Economics</w:t>
      </w:r>
      <w:r w:rsidRPr="00453ED3">
        <w:rPr>
          <w:rFonts w:ascii="Calibri" w:hAnsi="Calibri" w:cs="Calibri"/>
          <w:lang w:val="en-US"/>
        </w:rPr>
        <w:t>, 46 (3), 417–471.</w:t>
      </w:r>
    </w:p>
    <w:p w14:paraId="4B5656DB"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Dohmen, T., Falk, A., Huffman, D., Sunde, U., Schupp, J., and Wagner, G.G., 2011. Individual Risk Attitudes: Measurement, Determinants, and Behavioral Consequences. </w:t>
      </w:r>
      <w:r w:rsidRPr="00453ED3">
        <w:rPr>
          <w:rFonts w:ascii="Calibri" w:hAnsi="Calibri" w:cs="Calibri"/>
          <w:i/>
          <w:iCs/>
          <w:lang w:val="en-US"/>
        </w:rPr>
        <w:t>Journal of the European Economic Association</w:t>
      </w:r>
      <w:r w:rsidRPr="00453ED3">
        <w:rPr>
          <w:rFonts w:ascii="Calibri" w:hAnsi="Calibri" w:cs="Calibri"/>
          <w:lang w:val="en-US"/>
        </w:rPr>
        <w:t>, 9 (3), 522–550.</w:t>
      </w:r>
    </w:p>
    <w:p w14:paraId="4A4EF264"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Dubuis, P.-H., Bloesch, B., Fabre, A.-L., and Viret, O., 2014. </w:t>
      </w:r>
      <w:r w:rsidRPr="00453ED3">
        <w:rPr>
          <w:rFonts w:ascii="Calibri" w:hAnsi="Calibri" w:cs="Calibri"/>
          <w:lang w:val="fr-CH"/>
        </w:rPr>
        <w:t xml:space="preserve">Lutte contre l’oïdium à l’aide du modèle VitiMeteo-Oidium. </w:t>
      </w:r>
      <w:r w:rsidRPr="00453ED3">
        <w:rPr>
          <w:rFonts w:ascii="Calibri" w:hAnsi="Calibri" w:cs="Calibri"/>
          <w:i/>
          <w:iCs/>
          <w:lang w:val="en-US"/>
        </w:rPr>
        <w:t>Revue suisse Viticulture, Arboriculture, Horticulture</w:t>
      </w:r>
      <w:r w:rsidRPr="00453ED3">
        <w:rPr>
          <w:rFonts w:ascii="Calibri" w:hAnsi="Calibri" w:cs="Calibri"/>
          <w:lang w:val="en-US"/>
        </w:rPr>
        <w:t>, 46 (6), 368–375.</w:t>
      </w:r>
    </w:p>
    <w:p w14:paraId="51B5B035"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Falk, A., Becker, A., Dohmen, T., Enke, B., Huffman, D., and Sunde, U., 2018. Global Evidence on Economic Preferences. </w:t>
      </w:r>
      <w:r w:rsidRPr="00453ED3">
        <w:rPr>
          <w:rFonts w:ascii="Calibri" w:hAnsi="Calibri" w:cs="Calibri"/>
          <w:i/>
          <w:iCs/>
          <w:lang w:val="en-US"/>
        </w:rPr>
        <w:t>The Quarterly Journal of Economics</w:t>
      </w:r>
      <w:r w:rsidRPr="00453ED3">
        <w:rPr>
          <w:rFonts w:ascii="Calibri" w:hAnsi="Calibri" w:cs="Calibri"/>
          <w:lang w:val="en-US"/>
        </w:rPr>
        <w:t>, 133 (4), 1645–1692.</w:t>
      </w:r>
    </w:p>
    <w:p w14:paraId="4235BED7"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Fernandez‐Cornejo, J., 1998. Environinental and economic consequences of technology adoption: IPM in viticulture. </w:t>
      </w:r>
      <w:r w:rsidRPr="00453ED3">
        <w:rPr>
          <w:rFonts w:ascii="Calibri" w:hAnsi="Calibri" w:cs="Calibri"/>
          <w:i/>
          <w:iCs/>
          <w:lang w:val="en-US"/>
        </w:rPr>
        <w:t>Agricultural Economics</w:t>
      </w:r>
      <w:r w:rsidRPr="00453ED3">
        <w:rPr>
          <w:rFonts w:ascii="Calibri" w:hAnsi="Calibri" w:cs="Calibri"/>
          <w:lang w:val="en-US"/>
        </w:rPr>
        <w:t>, 18 (2), 145–155.</w:t>
      </w:r>
    </w:p>
    <w:p w14:paraId="22E712ED"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Fernandez-Cornejo, J., Mishra, A.K., Nehring, R.F., Hendricks, C., Southern, M., and Gregory, A., 2007. </w:t>
      </w:r>
      <w:r w:rsidRPr="00453ED3">
        <w:rPr>
          <w:rFonts w:ascii="Calibri" w:hAnsi="Calibri" w:cs="Calibri"/>
          <w:i/>
          <w:iCs/>
          <w:lang w:val="en-US"/>
        </w:rPr>
        <w:t>Off-farm income, technology adoption, and farm economic performance</w:t>
      </w:r>
      <w:r w:rsidRPr="00453ED3">
        <w:rPr>
          <w:rFonts w:ascii="Calibri" w:hAnsi="Calibri" w:cs="Calibri"/>
          <w:lang w:val="en-US"/>
        </w:rPr>
        <w:t>. No. 1477-2016–121070.</w:t>
      </w:r>
    </w:p>
    <w:p w14:paraId="15CDD941"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Finger, R. and Möhring, N., 2022. The adoption of pesticide-free wheat production and farmers’ perceptions of its environmental and health effects. </w:t>
      </w:r>
      <w:r w:rsidRPr="00453ED3">
        <w:rPr>
          <w:rFonts w:ascii="Calibri" w:hAnsi="Calibri" w:cs="Calibri"/>
          <w:i/>
          <w:iCs/>
          <w:lang w:val="en-US"/>
        </w:rPr>
        <w:t>Ecological Economics</w:t>
      </w:r>
      <w:r w:rsidRPr="00453ED3">
        <w:rPr>
          <w:rFonts w:ascii="Calibri" w:hAnsi="Calibri" w:cs="Calibri"/>
          <w:lang w:val="en-US"/>
        </w:rPr>
        <w:t>, 198, 107463.</w:t>
      </w:r>
    </w:p>
    <w:p w14:paraId="15144D36"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Finger, R., Zachmann, L., and McCallum, C., 2022. Short supply chains and the adoption of fungus‐resistant grapevine varieties. </w:t>
      </w:r>
      <w:r w:rsidRPr="00453ED3">
        <w:rPr>
          <w:rFonts w:ascii="Calibri" w:hAnsi="Calibri" w:cs="Calibri"/>
          <w:i/>
          <w:iCs/>
          <w:lang w:val="en-US"/>
        </w:rPr>
        <w:t>Applied Economic Perspectives and Policy</w:t>
      </w:r>
      <w:r w:rsidRPr="00453ED3">
        <w:rPr>
          <w:rFonts w:ascii="Calibri" w:hAnsi="Calibri" w:cs="Calibri"/>
          <w:lang w:val="en-US"/>
        </w:rPr>
        <w:t>, aepp.13337.</w:t>
      </w:r>
    </w:p>
    <w:p w14:paraId="46E2C5BE"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Foster, A.D. and Rosenzweig, M.R., 2010. Microeconomics of Technology Adoption. </w:t>
      </w:r>
      <w:r w:rsidRPr="00453ED3">
        <w:rPr>
          <w:rFonts w:ascii="Calibri" w:hAnsi="Calibri" w:cs="Calibri"/>
          <w:i/>
          <w:iCs/>
          <w:lang w:val="en-US"/>
        </w:rPr>
        <w:t>Annual Review of Economics</w:t>
      </w:r>
      <w:r w:rsidRPr="00453ED3">
        <w:rPr>
          <w:rFonts w:ascii="Calibri" w:hAnsi="Calibri" w:cs="Calibri"/>
          <w:lang w:val="en-US"/>
        </w:rPr>
        <w:t>, 2 (1), 395–424.</w:t>
      </w:r>
    </w:p>
    <w:p w14:paraId="04C8DB8D"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French, B.C. and Matthews, J.L., 1971. A Supply Response Model for Perennial Crops. </w:t>
      </w:r>
      <w:r w:rsidRPr="00453ED3">
        <w:rPr>
          <w:rFonts w:ascii="Calibri" w:hAnsi="Calibri" w:cs="Calibri"/>
          <w:i/>
          <w:iCs/>
          <w:lang w:val="en-US"/>
        </w:rPr>
        <w:t>American Journal of Agricultural Economics</w:t>
      </w:r>
      <w:r w:rsidRPr="00453ED3">
        <w:rPr>
          <w:rFonts w:ascii="Calibri" w:hAnsi="Calibri" w:cs="Calibri"/>
          <w:lang w:val="en-US"/>
        </w:rPr>
        <w:t>, 53 (3), 478–490.</w:t>
      </w:r>
    </w:p>
    <w:p w14:paraId="289B5550"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Frick, F. and Sauer, J., 2021. Technological Change in Dairy Farming with Increased Price Volatility. </w:t>
      </w:r>
      <w:r w:rsidRPr="00453ED3">
        <w:rPr>
          <w:rFonts w:ascii="Calibri" w:hAnsi="Calibri" w:cs="Calibri"/>
          <w:i/>
          <w:iCs/>
          <w:lang w:val="en-US"/>
        </w:rPr>
        <w:t>Journal of Agricultural Economics</w:t>
      </w:r>
      <w:r w:rsidRPr="00453ED3">
        <w:rPr>
          <w:rFonts w:ascii="Calibri" w:hAnsi="Calibri" w:cs="Calibri"/>
          <w:lang w:val="en-US"/>
        </w:rPr>
        <w:t>, 72 (2), 564–588.</w:t>
      </w:r>
    </w:p>
    <w:p w14:paraId="6A24B487"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Gardebroek, C. and Oude Lansink, A.G.J.M., 2004. Farm-specific Adjustment Costs in Dutch Pig Farming. </w:t>
      </w:r>
      <w:r w:rsidRPr="00453ED3">
        <w:rPr>
          <w:rFonts w:ascii="Calibri" w:hAnsi="Calibri" w:cs="Calibri"/>
          <w:i/>
          <w:iCs/>
          <w:lang w:val="en-US"/>
        </w:rPr>
        <w:t>Journal of Agricultural Economics</w:t>
      </w:r>
      <w:r w:rsidRPr="00453ED3">
        <w:rPr>
          <w:rFonts w:ascii="Calibri" w:hAnsi="Calibri" w:cs="Calibri"/>
          <w:lang w:val="en-US"/>
        </w:rPr>
        <w:t>, 55 (1), 3–24.</w:t>
      </w:r>
    </w:p>
    <w:p w14:paraId="1D2E9069"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Guimier, S., Delmotte, F., Miclot, A.S., Fabre, F., Mazet, I., Couture, C., Schneider, C., and Delière, L., 2019. OSCAR, a national observatory to support the durable deployment of disease-resistant grapevine cultivars. </w:t>
      </w:r>
      <w:r w:rsidRPr="00453ED3">
        <w:rPr>
          <w:rFonts w:ascii="Calibri" w:hAnsi="Calibri" w:cs="Calibri"/>
          <w:i/>
          <w:iCs/>
          <w:lang w:val="en-US"/>
        </w:rPr>
        <w:t>Acta Horticulturae</w:t>
      </w:r>
      <w:r w:rsidRPr="00453ED3">
        <w:rPr>
          <w:rFonts w:ascii="Calibri" w:hAnsi="Calibri" w:cs="Calibri"/>
          <w:lang w:val="en-US"/>
        </w:rPr>
        <w:t>, (1248), 21–34.</w:t>
      </w:r>
    </w:p>
    <w:p w14:paraId="1E66DF2B"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Hardaker, J.B., Lien, G., Anderson, J.R., and Huirne, R.B.M., 2015. </w:t>
      </w:r>
      <w:r w:rsidRPr="00453ED3">
        <w:rPr>
          <w:rFonts w:ascii="Calibri" w:hAnsi="Calibri" w:cs="Calibri"/>
          <w:i/>
          <w:iCs/>
          <w:lang w:val="en-US"/>
        </w:rPr>
        <w:t>Coping with risk in agriculture: applied decision analysis</w:t>
      </w:r>
      <w:r w:rsidRPr="00453ED3">
        <w:rPr>
          <w:rFonts w:ascii="Calibri" w:hAnsi="Calibri" w:cs="Calibri"/>
          <w:lang w:val="en-US"/>
        </w:rPr>
        <w:t>. Third edition. Boston, MA: CABI.</w:t>
      </w:r>
    </w:p>
    <w:p w14:paraId="6B8C31FC"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Inwood, S.M. and Sharp, J.S., 2012. Farm persistence and adaptation at the rural–urban interface: Succession and farm adjustment. </w:t>
      </w:r>
      <w:r w:rsidRPr="00453ED3">
        <w:rPr>
          <w:rFonts w:ascii="Calibri" w:hAnsi="Calibri" w:cs="Calibri"/>
          <w:i/>
          <w:iCs/>
          <w:lang w:val="en-US"/>
        </w:rPr>
        <w:t>Journal of Rural Studies</w:t>
      </w:r>
      <w:r w:rsidRPr="00453ED3">
        <w:rPr>
          <w:rFonts w:ascii="Calibri" w:hAnsi="Calibri" w:cs="Calibri"/>
          <w:lang w:val="en-US"/>
        </w:rPr>
        <w:t>, 28 (1), 107–117.</w:t>
      </w:r>
    </w:p>
    <w:p w14:paraId="7C6687AE"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Iyer, P., Bozzola, M., Hirsch, S., Meraner, M., and Finger, R., 2020. Measuring Farmer Risk Preferences in Europe: A Systematic Review. </w:t>
      </w:r>
      <w:r w:rsidRPr="00453ED3">
        <w:rPr>
          <w:rFonts w:ascii="Calibri" w:hAnsi="Calibri" w:cs="Calibri"/>
          <w:i/>
          <w:iCs/>
          <w:lang w:val="en-US"/>
        </w:rPr>
        <w:t>Journal of Agricultural Economics</w:t>
      </w:r>
      <w:r w:rsidRPr="00453ED3">
        <w:rPr>
          <w:rFonts w:ascii="Calibri" w:hAnsi="Calibri" w:cs="Calibri"/>
          <w:lang w:val="en-US"/>
        </w:rPr>
        <w:t>, 71 (1), 3–26.</w:t>
      </w:r>
    </w:p>
    <w:p w14:paraId="04701739"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lastRenderedPageBreak/>
        <w:t xml:space="preserve">Knapp, L., Mazzi, D., and Finger, R., 2019. Management strategies against Drosophila suzukii: insights into Swiss grape growers choices. </w:t>
      </w:r>
      <w:r w:rsidRPr="00453ED3">
        <w:rPr>
          <w:rFonts w:ascii="Calibri" w:hAnsi="Calibri" w:cs="Calibri"/>
          <w:i/>
          <w:iCs/>
          <w:lang w:val="en-US"/>
        </w:rPr>
        <w:t>Pest Management Science</w:t>
      </w:r>
      <w:r w:rsidRPr="00453ED3">
        <w:rPr>
          <w:rFonts w:ascii="Calibri" w:hAnsi="Calibri" w:cs="Calibri"/>
          <w:lang w:val="en-US"/>
        </w:rPr>
        <w:t>, 75 (10), 2820–2829.</w:t>
      </w:r>
    </w:p>
    <w:p w14:paraId="5B37A6AB"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Knapp, L., Wuepper, D., and Finger, R., 2021. Preferences, personality, aspirations, and farmer behavior. </w:t>
      </w:r>
      <w:r w:rsidRPr="00453ED3">
        <w:rPr>
          <w:rFonts w:ascii="Calibri" w:hAnsi="Calibri" w:cs="Calibri"/>
          <w:i/>
          <w:iCs/>
          <w:lang w:val="en-US"/>
        </w:rPr>
        <w:t>Agricultural Economics</w:t>
      </w:r>
      <w:r w:rsidRPr="00453ED3">
        <w:rPr>
          <w:rFonts w:ascii="Calibri" w:hAnsi="Calibri" w:cs="Calibri"/>
          <w:lang w:val="en-US"/>
        </w:rPr>
        <w:t>, agec.12669.</w:t>
      </w:r>
    </w:p>
    <w:p w14:paraId="0101DA79"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Mao, H., Zhou, L., Ying, R., and Pan, D., 2021. Time Preferences and green agricultural technology adoption: Field evidence from rice farmers in China. </w:t>
      </w:r>
      <w:r w:rsidRPr="00453ED3">
        <w:rPr>
          <w:rFonts w:ascii="Calibri" w:hAnsi="Calibri" w:cs="Calibri"/>
          <w:i/>
          <w:iCs/>
          <w:lang w:val="en-US"/>
        </w:rPr>
        <w:t>Land Use Policy</w:t>
      </w:r>
      <w:r w:rsidRPr="00453ED3">
        <w:rPr>
          <w:rFonts w:ascii="Calibri" w:hAnsi="Calibri" w:cs="Calibri"/>
          <w:lang w:val="en-US"/>
        </w:rPr>
        <w:t>, 109, 105627.</w:t>
      </w:r>
    </w:p>
    <w:p w14:paraId="3F26FA19"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Masset, P. and Weisskopf, J.-P., 2019. Producing and Consuming Locally: Switzerland as a Local Market. </w:t>
      </w:r>
      <w:r w:rsidRPr="00453ED3">
        <w:rPr>
          <w:rFonts w:ascii="Calibri" w:hAnsi="Calibri" w:cs="Calibri"/>
          <w:i/>
          <w:iCs/>
          <w:lang w:val="en-US"/>
        </w:rPr>
        <w:t>In</w:t>
      </w:r>
      <w:r w:rsidRPr="00453ED3">
        <w:rPr>
          <w:rFonts w:ascii="Calibri" w:hAnsi="Calibri" w:cs="Calibri"/>
          <w:lang w:val="en-US"/>
        </w:rPr>
        <w:t xml:space="preserve">: A. Alonso Ugaglia, J.-M. Cardebat, and A. Corsi, eds. </w:t>
      </w:r>
      <w:r w:rsidRPr="00453ED3">
        <w:rPr>
          <w:rFonts w:ascii="Calibri" w:hAnsi="Calibri" w:cs="Calibri"/>
          <w:i/>
          <w:iCs/>
          <w:lang w:val="en-US"/>
        </w:rPr>
        <w:t>The Palgrave Handbook of Wine Industry Economics</w:t>
      </w:r>
      <w:r w:rsidRPr="00453ED3">
        <w:rPr>
          <w:rFonts w:ascii="Calibri" w:hAnsi="Calibri" w:cs="Calibri"/>
          <w:lang w:val="en-US"/>
        </w:rPr>
        <w:t>. Cham: Springer International Publishing, 507–522.</w:t>
      </w:r>
    </w:p>
    <w:p w14:paraId="55555604"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Morris, W., Henley, A., and Dowell, D., 2017. Farm diversification, entrepreneurship and technology adoption: Analysis of upland farmers in Wales. </w:t>
      </w:r>
      <w:r w:rsidRPr="00453ED3">
        <w:rPr>
          <w:rFonts w:ascii="Calibri" w:hAnsi="Calibri" w:cs="Calibri"/>
          <w:i/>
          <w:iCs/>
          <w:lang w:val="en-US"/>
        </w:rPr>
        <w:t>Journal of Rural Studies</w:t>
      </w:r>
      <w:r w:rsidRPr="00453ED3">
        <w:rPr>
          <w:rFonts w:ascii="Calibri" w:hAnsi="Calibri" w:cs="Calibri"/>
          <w:lang w:val="en-US"/>
        </w:rPr>
        <w:t>, 53, 132–143.</w:t>
      </w:r>
    </w:p>
    <w:p w14:paraId="45D1C0F4"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Pedneault, K. and Provost, C., 2016. Fungus resistant grape varieties as a suitable alternative for organic wine production: Benefits, limits, and challenges. </w:t>
      </w:r>
      <w:r w:rsidRPr="00453ED3">
        <w:rPr>
          <w:rFonts w:ascii="Calibri" w:hAnsi="Calibri" w:cs="Calibri"/>
          <w:i/>
          <w:iCs/>
          <w:lang w:val="en-US"/>
        </w:rPr>
        <w:t>Scientia Horticulturae</w:t>
      </w:r>
      <w:r w:rsidRPr="00453ED3">
        <w:rPr>
          <w:rFonts w:ascii="Calibri" w:hAnsi="Calibri" w:cs="Calibri"/>
          <w:lang w:val="en-US"/>
        </w:rPr>
        <w:t>, 208, 57–77.</w:t>
      </w:r>
    </w:p>
    <w:p w14:paraId="1AE420E4"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Pertot, I., Caffi, T., Rossi, V., Mugnai, L., Hoffmann, C., Grando, M.S., Gary, C., Lafond, D., Duso, C., Thiery, D., Mazzoni, V., and Anfora, G., 2017. A critical review of plant protection tools for reducing pesticide use on grapevine and new perspectives for the implementation of IPM in viticulture. </w:t>
      </w:r>
      <w:r w:rsidRPr="00453ED3">
        <w:rPr>
          <w:rFonts w:ascii="Calibri" w:hAnsi="Calibri" w:cs="Calibri"/>
          <w:i/>
          <w:iCs/>
          <w:lang w:val="en-US"/>
        </w:rPr>
        <w:t>Crop Protection</w:t>
      </w:r>
      <w:r w:rsidRPr="00453ED3">
        <w:rPr>
          <w:rFonts w:ascii="Calibri" w:hAnsi="Calibri" w:cs="Calibri"/>
          <w:lang w:val="en-US"/>
        </w:rPr>
        <w:t>, 97, 70–84.</w:t>
      </w:r>
    </w:p>
    <w:p w14:paraId="3CCE92E9"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Piñeiro, V., Arias, J., Dürr, J., Elverdin, P., Ibáñez, A.M., Kinengyere, A., Opazo, C.M., Owoo, N., Page, J.R., Prager, S.D., and Torero, M., 2020. A scoping review on incentives for adoption of sustainable agricultural practices and their outcomes. </w:t>
      </w:r>
      <w:r w:rsidRPr="00453ED3">
        <w:rPr>
          <w:rFonts w:ascii="Calibri" w:hAnsi="Calibri" w:cs="Calibri"/>
          <w:i/>
          <w:iCs/>
          <w:lang w:val="en-US"/>
        </w:rPr>
        <w:t>Nature Sustainability</w:t>
      </w:r>
      <w:r w:rsidRPr="00453ED3">
        <w:rPr>
          <w:rFonts w:ascii="Calibri" w:hAnsi="Calibri" w:cs="Calibri"/>
          <w:lang w:val="en-US"/>
        </w:rPr>
        <w:t>, 3 (10), 809–820.</w:t>
      </w:r>
    </w:p>
    <w:p w14:paraId="5BE6C471" w14:textId="77777777" w:rsidR="00453ED3" w:rsidRPr="00453ED3" w:rsidRDefault="00453ED3" w:rsidP="00453ED3">
      <w:pPr>
        <w:pStyle w:val="Bibliography"/>
        <w:rPr>
          <w:rFonts w:ascii="Calibri" w:hAnsi="Calibri" w:cs="Calibri"/>
          <w:lang w:val="it-IT"/>
        </w:rPr>
      </w:pPr>
      <w:r w:rsidRPr="00453ED3">
        <w:rPr>
          <w:rFonts w:ascii="Calibri" w:hAnsi="Calibri" w:cs="Calibri"/>
          <w:lang w:val="en-US"/>
        </w:rPr>
        <w:t xml:space="preserve">Polson, R.A. and Spencer, D.S.C., 1991. The technology adoption process in subsistence agriculture: The case of cassava in Southwestern Nigeria. </w:t>
      </w:r>
      <w:r w:rsidRPr="00453ED3">
        <w:rPr>
          <w:rFonts w:ascii="Calibri" w:hAnsi="Calibri" w:cs="Calibri"/>
          <w:i/>
          <w:iCs/>
          <w:lang w:val="it-IT"/>
        </w:rPr>
        <w:t>Agricultural Systems</w:t>
      </w:r>
      <w:r w:rsidRPr="00453ED3">
        <w:rPr>
          <w:rFonts w:ascii="Calibri" w:hAnsi="Calibri" w:cs="Calibri"/>
          <w:lang w:val="it-IT"/>
        </w:rPr>
        <w:t>, 36 (1), 65–78.</w:t>
      </w:r>
    </w:p>
    <w:p w14:paraId="3F0B0E0C" w14:textId="77777777" w:rsidR="00453ED3" w:rsidRPr="00453ED3" w:rsidRDefault="00453ED3" w:rsidP="00453ED3">
      <w:pPr>
        <w:pStyle w:val="Bibliography"/>
        <w:rPr>
          <w:rFonts w:ascii="Calibri" w:hAnsi="Calibri" w:cs="Calibri"/>
          <w:lang w:val="it-IT"/>
        </w:rPr>
      </w:pPr>
      <w:r w:rsidRPr="00453ED3">
        <w:rPr>
          <w:rFonts w:ascii="Calibri" w:hAnsi="Calibri" w:cs="Calibri"/>
          <w:lang w:val="it-IT"/>
        </w:rPr>
        <w:t xml:space="preserve">Poni, S., Chiari, G., Caffi, T., Bove, F., Tombesi, S., Moncalvo, A., and Gatti, M., 2017. </w:t>
      </w:r>
      <w:r w:rsidRPr="00453ED3">
        <w:rPr>
          <w:rFonts w:ascii="Calibri" w:hAnsi="Calibri" w:cs="Calibri"/>
          <w:lang w:val="en-US"/>
        </w:rPr>
        <w:t xml:space="preserve">Canopy physiology, vine performance and host-pathogen interaction in a fungi resistant cv. </w:t>
      </w:r>
      <w:r w:rsidRPr="00453ED3">
        <w:rPr>
          <w:rFonts w:ascii="Calibri" w:hAnsi="Calibri" w:cs="Calibri"/>
          <w:lang w:val="it-IT"/>
        </w:rPr>
        <w:t xml:space="preserve">Sangiovese x Bianca accession vs. a susceptible clone. </w:t>
      </w:r>
      <w:r w:rsidRPr="00453ED3">
        <w:rPr>
          <w:rFonts w:ascii="Calibri" w:hAnsi="Calibri" w:cs="Calibri"/>
          <w:i/>
          <w:iCs/>
          <w:lang w:val="it-IT"/>
        </w:rPr>
        <w:t>Scientific Reports</w:t>
      </w:r>
      <w:r w:rsidRPr="00453ED3">
        <w:rPr>
          <w:rFonts w:ascii="Calibri" w:hAnsi="Calibri" w:cs="Calibri"/>
          <w:lang w:val="it-IT"/>
        </w:rPr>
        <w:t>, 7 (1), 6092.</w:t>
      </w:r>
    </w:p>
    <w:p w14:paraId="2626CAE3" w14:textId="77777777" w:rsidR="00453ED3" w:rsidRPr="00453ED3" w:rsidRDefault="00453ED3" w:rsidP="00453ED3">
      <w:pPr>
        <w:pStyle w:val="Bibliography"/>
        <w:rPr>
          <w:rFonts w:ascii="Calibri" w:hAnsi="Calibri" w:cs="Calibri"/>
          <w:lang w:val="en-US"/>
        </w:rPr>
      </w:pPr>
      <w:r w:rsidRPr="00453ED3">
        <w:rPr>
          <w:rFonts w:ascii="Calibri" w:hAnsi="Calibri" w:cs="Calibri"/>
        </w:rPr>
        <w:t xml:space="preserve">Reiff, J.M., Ehringer, M., Hoffmann, C., and Entling, M.H., 2021. </w:t>
      </w:r>
      <w:r w:rsidRPr="00453ED3">
        <w:rPr>
          <w:rFonts w:ascii="Calibri" w:hAnsi="Calibri" w:cs="Calibri"/>
          <w:lang w:val="en-US"/>
        </w:rPr>
        <w:t xml:space="preserve">Fungicide reduction favors the control of phytophagous mites under both organic and conventional viticulture. </w:t>
      </w:r>
      <w:r w:rsidRPr="00453ED3">
        <w:rPr>
          <w:rFonts w:ascii="Calibri" w:hAnsi="Calibri" w:cs="Calibri"/>
          <w:i/>
          <w:iCs/>
          <w:lang w:val="en-US"/>
        </w:rPr>
        <w:t>Agriculture, Ecosystems &amp; Environment</w:t>
      </w:r>
      <w:r w:rsidRPr="00453ED3">
        <w:rPr>
          <w:rFonts w:ascii="Calibri" w:hAnsi="Calibri" w:cs="Calibri"/>
          <w:lang w:val="en-US"/>
        </w:rPr>
        <w:t>, 305, 107172.</w:t>
      </w:r>
    </w:p>
    <w:p w14:paraId="394228DA"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Rola‐Rubzen, M.F., Paris, T., Hawkins, J., and Sapkota, B., 2020. Improving Gender Participation in Agricultural Technology Adoption in Asia: From Rhetoric to Practical Action. </w:t>
      </w:r>
      <w:r w:rsidRPr="00453ED3">
        <w:rPr>
          <w:rFonts w:ascii="Calibri" w:hAnsi="Calibri" w:cs="Calibri"/>
          <w:i/>
          <w:iCs/>
          <w:lang w:val="en-US"/>
        </w:rPr>
        <w:t>Applied Economic Perspectives and Policy</w:t>
      </w:r>
      <w:r w:rsidRPr="00453ED3">
        <w:rPr>
          <w:rFonts w:ascii="Calibri" w:hAnsi="Calibri" w:cs="Calibri"/>
          <w:lang w:val="en-US"/>
        </w:rPr>
        <w:t>, 42 (1), 113–125.</w:t>
      </w:r>
    </w:p>
    <w:p w14:paraId="3A260A7D" w14:textId="77777777" w:rsidR="00453ED3" w:rsidRPr="00453ED3" w:rsidRDefault="00453ED3" w:rsidP="00453ED3">
      <w:pPr>
        <w:pStyle w:val="Bibliography"/>
        <w:rPr>
          <w:rFonts w:ascii="Calibri" w:hAnsi="Calibri" w:cs="Calibri"/>
          <w:lang w:val="fr-CH"/>
        </w:rPr>
      </w:pPr>
      <w:r w:rsidRPr="00453ED3">
        <w:rPr>
          <w:rFonts w:ascii="Calibri" w:hAnsi="Calibri" w:cs="Calibri"/>
          <w:lang w:val="en-US"/>
        </w:rPr>
        <w:t xml:space="preserve">Rommel, J., Hermann, D., Müller, M., and Musshoff, O., 2019. Contextual Framing and Monetary Incentives in Field Experiments on Risk Preferences: Evidence from German Farmers. </w:t>
      </w:r>
      <w:r w:rsidRPr="00453ED3">
        <w:rPr>
          <w:rFonts w:ascii="Calibri" w:hAnsi="Calibri" w:cs="Calibri"/>
          <w:i/>
          <w:iCs/>
          <w:lang w:val="fr-CH"/>
        </w:rPr>
        <w:t>Journal of Agricultural Economics</w:t>
      </w:r>
      <w:r w:rsidRPr="00453ED3">
        <w:rPr>
          <w:rFonts w:ascii="Calibri" w:hAnsi="Calibri" w:cs="Calibri"/>
          <w:lang w:val="fr-CH"/>
        </w:rPr>
        <w:t>, 70 (2), 408–425.</w:t>
      </w:r>
    </w:p>
    <w:p w14:paraId="606D2856" w14:textId="77777777" w:rsidR="00453ED3" w:rsidRPr="00453ED3" w:rsidRDefault="00453ED3" w:rsidP="00453ED3">
      <w:pPr>
        <w:pStyle w:val="Bibliography"/>
        <w:rPr>
          <w:rFonts w:ascii="Calibri" w:hAnsi="Calibri" w:cs="Calibri"/>
          <w:lang w:val="en-US"/>
        </w:rPr>
      </w:pPr>
      <w:r w:rsidRPr="00453ED3">
        <w:rPr>
          <w:rFonts w:ascii="Calibri" w:hAnsi="Calibri" w:cs="Calibri"/>
          <w:lang w:val="fr-CH"/>
        </w:rPr>
        <w:t xml:space="preserve">Rousseau, J., Chanfreau, S., Hallerau, C., and Pozzo di Borgo, C., 2013. </w:t>
      </w:r>
      <w:r w:rsidRPr="00453ED3">
        <w:rPr>
          <w:rFonts w:ascii="Calibri" w:hAnsi="Calibri" w:cs="Calibri"/>
          <w:i/>
          <w:iCs/>
          <w:lang w:val="fr-CH"/>
        </w:rPr>
        <w:t>Les cépages résistants aux maladies :  panorama européen</w:t>
      </w:r>
      <w:r w:rsidRPr="00453ED3">
        <w:rPr>
          <w:rFonts w:ascii="Calibri" w:hAnsi="Calibri" w:cs="Calibri"/>
          <w:lang w:val="fr-CH"/>
        </w:rPr>
        <w:t xml:space="preserve">. </w:t>
      </w:r>
      <w:r w:rsidRPr="00453ED3">
        <w:rPr>
          <w:rFonts w:ascii="Calibri" w:hAnsi="Calibri" w:cs="Calibri"/>
          <w:lang w:val="en-US"/>
        </w:rPr>
        <w:t>Bordeaux: Groupe ICV.</w:t>
      </w:r>
    </w:p>
    <w:p w14:paraId="56B15DA8"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Toma, L. and Mathijs, E., 2007. Environmental risk perception, environmental concern and propensity to participate in organic farming programmes. </w:t>
      </w:r>
      <w:r w:rsidRPr="00453ED3">
        <w:rPr>
          <w:rFonts w:ascii="Calibri" w:hAnsi="Calibri" w:cs="Calibri"/>
          <w:i/>
          <w:iCs/>
          <w:lang w:val="en-US"/>
        </w:rPr>
        <w:t>Journal of Environmental Management</w:t>
      </w:r>
      <w:r w:rsidRPr="00453ED3">
        <w:rPr>
          <w:rFonts w:ascii="Calibri" w:hAnsi="Calibri" w:cs="Calibri"/>
          <w:lang w:val="en-US"/>
        </w:rPr>
        <w:t>, 83 (2), 145–157.</w:t>
      </w:r>
    </w:p>
    <w:p w14:paraId="6D62DDE1"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Viret, O., Spring, J.-L., Zufferey, V., Gindro, K., Linder, C., Gaume, A., and Murisier, F., 2019. Past and future of sustainable viticulture in Switzerland. </w:t>
      </w:r>
      <w:r w:rsidRPr="00453ED3">
        <w:rPr>
          <w:rFonts w:ascii="Calibri" w:hAnsi="Calibri" w:cs="Calibri"/>
          <w:i/>
          <w:iCs/>
          <w:lang w:val="en-US"/>
        </w:rPr>
        <w:t>BIO Web of Conferences</w:t>
      </w:r>
      <w:r w:rsidRPr="00453ED3">
        <w:rPr>
          <w:rFonts w:ascii="Calibri" w:hAnsi="Calibri" w:cs="Calibri"/>
          <w:lang w:val="en-US"/>
        </w:rPr>
        <w:t>, 15, 01013.</w:t>
      </w:r>
    </w:p>
    <w:p w14:paraId="04E6F781"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Weber, E.U., Blais, A.-R., and Betz, N.E., 2002. A domain-specific risk-attitude scale: measuring risk perceptions and risk behaviors. </w:t>
      </w:r>
      <w:r w:rsidRPr="00453ED3">
        <w:rPr>
          <w:rFonts w:ascii="Calibri" w:hAnsi="Calibri" w:cs="Calibri"/>
          <w:i/>
          <w:iCs/>
          <w:lang w:val="en-US"/>
        </w:rPr>
        <w:t>Journal of Behavioral Decision Making</w:t>
      </w:r>
      <w:r w:rsidRPr="00453ED3">
        <w:rPr>
          <w:rFonts w:ascii="Calibri" w:hAnsi="Calibri" w:cs="Calibri"/>
          <w:lang w:val="en-US"/>
        </w:rPr>
        <w:t>, 15 (4), 263–290.</w:t>
      </w:r>
    </w:p>
    <w:p w14:paraId="2BB1BF98"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Weersink, A. and Fulton, M., 2020. Limits to Profit Maximization as a Guide to Behavior Change. </w:t>
      </w:r>
      <w:r w:rsidRPr="00453ED3">
        <w:rPr>
          <w:rFonts w:ascii="Calibri" w:hAnsi="Calibri" w:cs="Calibri"/>
          <w:i/>
          <w:iCs/>
          <w:lang w:val="en-US"/>
        </w:rPr>
        <w:t>Applied Economic Perspectives and Policy</w:t>
      </w:r>
      <w:r w:rsidRPr="00453ED3">
        <w:rPr>
          <w:rFonts w:ascii="Calibri" w:hAnsi="Calibri" w:cs="Calibri"/>
          <w:lang w:val="en-US"/>
        </w:rPr>
        <w:t>, 42 (1), 67–79.</w:t>
      </w:r>
    </w:p>
    <w:p w14:paraId="5D0FF8BE"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Wuepper, D. and Lybbert, T.J., 2017. Perceived Self-Efficacy, Poverty, and Economic Development. </w:t>
      </w:r>
      <w:r w:rsidRPr="00453ED3">
        <w:rPr>
          <w:rFonts w:ascii="Calibri" w:hAnsi="Calibri" w:cs="Calibri"/>
          <w:i/>
          <w:iCs/>
          <w:lang w:val="en-US"/>
        </w:rPr>
        <w:t>Annual Review of Resource Economics</w:t>
      </w:r>
      <w:r w:rsidRPr="00453ED3">
        <w:rPr>
          <w:rFonts w:ascii="Calibri" w:hAnsi="Calibri" w:cs="Calibri"/>
          <w:lang w:val="en-US"/>
        </w:rPr>
        <w:t>, 9 (1), 383–404.</w:t>
      </w:r>
    </w:p>
    <w:p w14:paraId="48C678A6"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Xu, C., Shengxiong, W., Zhijian, Z., and Wei, S., 2012. A model for analysis of supply reaction to price applied to grapes in China. </w:t>
      </w:r>
      <w:r w:rsidRPr="00453ED3">
        <w:rPr>
          <w:rFonts w:ascii="Calibri" w:hAnsi="Calibri" w:cs="Calibri"/>
          <w:i/>
          <w:iCs/>
          <w:lang w:val="en-US"/>
        </w:rPr>
        <w:t>In</w:t>
      </w:r>
      <w:r w:rsidRPr="00453ED3">
        <w:rPr>
          <w:rFonts w:ascii="Calibri" w:hAnsi="Calibri" w:cs="Calibri"/>
          <w:lang w:val="en-US"/>
        </w:rPr>
        <w:t xml:space="preserve">: </w:t>
      </w:r>
      <w:r w:rsidRPr="00453ED3">
        <w:rPr>
          <w:rFonts w:ascii="Calibri" w:hAnsi="Calibri" w:cs="Calibri"/>
          <w:i/>
          <w:iCs/>
          <w:lang w:val="en-US"/>
        </w:rPr>
        <w:t>2012 International Conference on Systems and Informatics (ICSAI2012)</w:t>
      </w:r>
      <w:r w:rsidRPr="00453ED3">
        <w:rPr>
          <w:rFonts w:ascii="Calibri" w:hAnsi="Calibri" w:cs="Calibri"/>
          <w:lang w:val="en-US"/>
        </w:rPr>
        <w:t>. Presented at the 2012 International Conference on Systems and Informatics (ICSAI), Yantai, China: IEEE, 2559–2562.</w:t>
      </w:r>
    </w:p>
    <w:p w14:paraId="010F5A2A" w14:textId="77777777" w:rsidR="00453ED3" w:rsidRPr="00453ED3" w:rsidRDefault="00453ED3" w:rsidP="00453ED3">
      <w:pPr>
        <w:pStyle w:val="Bibliography"/>
        <w:rPr>
          <w:rFonts w:ascii="Calibri" w:hAnsi="Calibri" w:cs="Calibri"/>
          <w:lang w:val="en-US"/>
        </w:rPr>
      </w:pPr>
      <w:r w:rsidRPr="00453ED3">
        <w:rPr>
          <w:rFonts w:ascii="Calibri" w:hAnsi="Calibri" w:cs="Calibri"/>
          <w:lang w:val="en-US"/>
        </w:rPr>
        <w:t xml:space="preserve">Zachmann, L., McCallum, C., and Finger, R., 2022. The Effect of Geographical Denomination on the Uptake of Fungus-resistant Grapevines. </w:t>
      </w:r>
      <w:r w:rsidRPr="00453ED3">
        <w:rPr>
          <w:rFonts w:ascii="Calibri" w:hAnsi="Calibri" w:cs="Calibri"/>
          <w:i/>
          <w:iCs/>
          <w:lang w:val="en-US"/>
        </w:rPr>
        <w:t>prepared</w:t>
      </w:r>
      <w:r w:rsidRPr="00453ED3">
        <w:rPr>
          <w:rFonts w:ascii="Calibri" w:hAnsi="Calibri" w:cs="Calibri"/>
          <w:lang w:val="en-US"/>
        </w:rPr>
        <w:t>.</w:t>
      </w:r>
    </w:p>
    <w:p w14:paraId="064FD423" w14:textId="148A9F3B" w:rsidR="00CA0D30" w:rsidRPr="00CA0D30" w:rsidRDefault="00453ED3" w:rsidP="00E76B6C">
      <w:pPr>
        <w:rPr>
          <w:lang w:val="en-US"/>
        </w:rPr>
      </w:pPr>
      <w:r>
        <w:rPr>
          <w:lang w:val="en-US"/>
        </w:rPr>
        <w:lastRenderedPageBreak/>
        <w:fldChar w:fldCharType="end"/>
      </w:r>
    </w:p>
    <w:sectPr w:rsidR="00CA0D30" w:rsidRPr="00CA0D30" w:rsidSect="00B83D4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319A" w14:textId="77777777" w:rsidR="00F27229" w:rsidRDefault="00F27229" w:rsidP="00927750">
      <w:pPr>
        <w:spacing w:after="0" w:line="240" w:lineRule="auto"/>
      </w:pPr>
      <w:r>
        <w:separator/>
      </w:r>
    </w:p>
  </w:endnote>
  <w:endnote w:type="continuationSeparator" w:id="0">
    <w:p w14:paraId="66F9F2BA" w14:textId="77777777" w:rsidR="00F27229" w:rsidRDefault="00F27229" w:rsidP="00927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05B7" w14:textId="77777777" w:rsidR="00F27229" w:rsidRDefault="00F27229" w:rsidP="00927750">
      <w:pPr>
        <w:spacing w:after="0" w:line="240" w:lineRule="auto"/>
      </w:pPr>
      <w:r>
        <w:separator/>
      </w:r>
    </w:p>
  </w:footnote>
  <w:footnote w:type="continuationSeparator" w:id="0">
    <w:p w14:paraId="2AFB7FC6" w14:textId="77777777" w:rsidR="00F27229" w:rsidRDefault="00F27229" w:rsidP="00927750">
      <w:pPr>
        <w:spacing w:after="0" w:line="240" w:lineRule="auto"/>
      </w:pPr>
      <w:r>
        <w:continuationSeparator/>
      </w:r>
    </w:p>
  </w:footnote>
  <w:footnote w:id="1">
    <w:p w14:paraId="70C7884F" w14:textId="567AD869" w:rsidR="00942BC6" w:rsidRPr="00F052F7" w:rsidRDefault="00942BC6" w:rsidP="00942BC6">
      <w:pPr>
        <w:pStyle w:val="FootnoteText"/>
        <w:rPr>
          <w:lang w:val="en-US"/>
        </w:rPr>
      </w:pPr>
      <w:r w:rsidRPr="00D5743A">
        <w:rPr>
          <w:rStyle w:val="FootnoteReference"/>
        </w:rPr>
        <w:footnoteRef/>
      </w:r>
      <w:r w:rsidRPr="00F052F7">
        <w:rPr>
          <w:lang w:val="en-US"/>
        </w:rPr>
        <w:t xml:space="preserve"> </w:t>
      </w:r>
      <w:r>
        <w:rPr>
          <w:lang w:val="en-US"/>
        </w:rPr>
        <w:t>Our conceptual framework is inspired by</w:t>
      </w:r>
      <w:r w:rsidRPr="00F052F7">
        <w:rPr>
          <w:lang w:val="en-US"/>
        </w:rPr>
        <w:t xml:space="preserve"> French and Matthews </w:t>
      </w:r>
      <w:r w:rsidRPr="00F052F7">
        <w:rPr>
          <w:lang w:val="en-US"/>
        </w:rPr>
        <w:fldChar w:fldCharType="begin"/>
      </w:r>
      <w:r w:rsidR="00453ED3">
        <w:rPr>
          <w:lang w:val="en-US"/>
        </w:rPr>
        <w:instrText xml:space="preserve"> ADDIN ZOTERO_ITEM CSL_CITATION {"citationID":"1s4Pr6Cf","properties":{"formattedCitation":"(1971)","plainCitation":"(1971)","noteIndex":1},"citationItems":[{"id":"tLCbn4GR/S1HX7NmC","uris":["http://zotero.org/users/8375139/items/5TIMSHY4"],"uri":["http://zotero.org/users/8375139/items/5TIMSHY4"],"itemData":{"id":1208,"type":"article-journal","abstract":"The production of perennial crops involves planting, removal, yield, and time dimensions not similarly encountered in annual crops. A model is developed to provide a structural base for estimating response relationships that encompass these dimensions. The model rests on assumptions of rational producer behavior which takes account of possible actions of other producers and of the aggregate effect of these actions on total production and profits. Because important data series often are not available, modifications of the basic model are suggested to facilitate estimation within a more restricted empirical framework. The model is illustrated by an application to asparagus, a perennial vegetable crop.","container-title":"American Journal of Agricultural Economics","DOI":"10.2307/1238225","ISSN":"0002-9092","issue":"3","note":"publisher: [Agricultural &amp; Applied Economics Association, Oxford University Press]","page":"478-490","source":"JSTOR","title":"A Supply Response Model for Perennial Crops","volume":"53","author":[{"family":"French","given":"Ben C."},{"family":"Matthews","given":"Jim L."}],"issued":{"date-parts":[["1971"]]}},"label":"page","suppress-author":true}],"schema":"https://github.com/citation-style-language/schema/raw/master/csl-citation.json"} </w:instrText>
      </w:r>
      <w:r w:rsidRPr="00F052F7">
        <w:rPr>
          <w:lang w:val="en-US"/>
        </w:rPr>
        <w:fldChar w:fldCharType="separate"/>
      </w:r>
      <w:r w:rsidRPr="003C4066">
        <w:rPr>
          <w:rFonts w:ascii="Calibri" w:hAnsi="Calibri" w:cs="Calibri"/>
          <w:lang w:val="en-US"/>
        </w:rPr>
        <w:t>(1971)</w:t>
      </w:r>
      <w:r w:rsidRPr="00F052F7">
        <w:rPr>
          <w:lang w:val="en-US"/>
        </w:rPr>
        <w:fldChar w:fldCharType="end"/>
      </w:r>
      <w:r>
        <w:rPr>
          <w:lang w:val="en-US"/>
        </w:rPr>
        <w:t xml:space="preserve"> and is adapted to grapevine growing</w:t>
      </w:r>
      <w:r w:rsidRPr="00F052F7">
        <w:rPr>
          <w:lang w:val="en-US"/>
        </w:rPr>
        <w:t xml:space="preserve">. </w:t>
      </w:r>
      <w:r>
        <w:rPr>
          <w:lang w:val="en-US"/>
        </w:rPr>
        <w:t xml:space="preserve">We extend their framework by considering utility (instead of profit) maximization </w:t>
      </w:r>
      <w:r>
        <w:rPr>
          <w:lang w:val="en-US"/>
        </w:rPr>
        <w:fldChar w:fldCharType="begin"/>
      </w:r>
      <w:r w:rsidR="00453ED3">
        <w:rPr>
          <w:lang w:val="en-US"/>
        </w:rPr>
        <w:instrText xml:space="preserve"> ADDIN ZOTERO_ITEM CSL_CITATION {"citationID":"2HsICBF7","properties":{"formattedCitation":"(e.g. Weersink and Fulton 2020)","plainCitation":"(e.g. Weersink and Fulton 2020)","noteIndex":1},"citationItems":[{"id":716,"uris":["http://zotero.org/users/8375139/items/MVX6YDCI"],"uri":["http://zotero.org/users/8375139/items/MVX6YDCI"],"itemData":{"id":716,"type":"article-journal","container-title":"Applied Economic Perspectives and Policy","DOI":"10.1002/aepp.13004","ISSN":"2040-5790, 2040-5804","issue":"1","journalAbbreviation":"Applied Economic Perspectives and Policy","language":"en","page":"67-79","source":"DOI.org (Crossref)","title":"Limits to Profit Maximization as a Guide to Behavior Change","volume":"42","author":[{"family":"Weersink","given":"Alfons"},{"family":"Fulton","given":"Murray"}],"issued":{"date-parts":[["2020",3]]}},"label":"page","prefix":"e.g."}],"schema":"https://github.com/citation-style-language/schema/raw/master/csl-citation.json"} </w:instrText>
      </w:r>
      <w:r>
        <w:rPr>
          <w:lang w:val="en-US"/>
        </w:rPr>
        <w:fldChar w:fldCharType="separate"/>
      </w:r>
      <w:r w:rsidRPr="003C4066">
        <w:rPr>
          <w:rFonts w:ascii="Calibri" w:hAnsi="Calibri" w:cs="Calibri"/>
          <w:lang w:val="en-US"/>
        </w:rPr>
        <w:t>(e.g. Weersink and Fulton 2020)</w:t>
      </w:r>
      <w:r>
        <w:rPr>
          <w:lang w:val="en-US"/>
        </w:rPr>
        <w:fldChar w:fldCharType="end"/>
      </w:r>
      <w:r>
        <w:rPr>
          <w:lang w:val="en-US"/>
        </w:rPr>
        <w:t xml:space="preserve"> as well as a farm-level (instead of an aggregative) perspective. T</w:t>
      </w:r>
      <w:r w:rsidRPr="001801D8">
        <w:rPr>
          <w:lang w:val="en-US"/>
        </w:rPr>
        <w:t>o our knowledge, only a few studies look at supply response</w:t>
      </w:r>
      <w:r>
        <w:rPr>
          <w:lang w:val="en-US"/>
        </w:rPr>
        <w:t>s</w:t>
      </w:r>
      <w:r w:rsidRPr="001801D8">
        <w:rPr>
          <w:lang w:val="en-US"/>
        </w:rPr>
        <w:t xml:space="preserve"> in grapevines </w:t>
      </w:r>
      <w:r>
        <w:rPr>
          <w:lang w:val="en-US"/>
        </w:rPr>
        <w:fldChar w:fldCharType="begin"/>
      </w:r>
      <w:r w:rsidR="00453ED3">
        <w:rPr>
          <w:lang w:val="en-US"/>
        </w:rPr>
        <w:instrText xml:space="preserve"> ADDIN ZOTERO_ITEM CSL_CITATION {"citationID":"GvUD5hni","properties":{"formattedCitation":"(Xu {\\i{}et al.} 2012, e.g. Consoli {\\i{}et al.} 2021)","plainCitation":"(Xu et al. 2012, e.g. Consoli et al. 2021)","noteIndex":1},"citationItems":[{"id":887,"uris":["http://zotero.org/users/8375139/items/F624IQ2V"],"uri":["http://zotero.org/users/8375139/items/F624IQ2V"],"itemData":{"id":887,"type":"article-journal","abstract":"Abstract\n            \n              This paper explores growers’ supply response to the 2005 “\n              Sideways\n              effect” demand shock (Cuellar, Karnowsky, and Acosta, 2009) triggered by the 2004 release of the movie\n              Sideways\n              . We use a modified difference-in-difference approach to evaluate the supply response in California and regional supply response differences within California. We use U.S. Department of Agriculture data for the period 1999–2012 and find evidence of a supply response in the post-release period that is consistent with the “\n              Sideways\n              effect” on wine demand. The positive supply response for Pinot Noir is stronger than the negative response for Merlot and concentrated in lower value Central Valley vineyards. (JEL Classifications: D25, Q12)","container-title":"Journal of Wine Economics","DOI":"10.1017/jwe.2021.26","ISSN":"1931-4361, 1931-437X","journalAbbreviation":"J Wine Econ","language":"en","page":"1-22","source":"DOI.org (Crossref)","title":"A “Sideways” Supply Response in California Winegrapes","author":[{"family":"Consoli","given":"Sarah"},{"family":"Fraysse","given":"Elizabeth A."},{"family":"Slipchenko","given":"Natalya"},{"family":"Wang","given":"Yi"},{"family":"Amirebrahimi","given":"Jahon"},{"family":"Qin","given":"Zhiran"},{"family":"Yazma","given":"Neil"},{"family":"Lybbert","given":"Travis J."}],"issued":{"date-parts":[["2021",11,9]]}},"label":"page","prefix":"e.g."},{"id":1245,"uris":["http://zotero.org/users/8375139/items/NHNMYP9C"],"uri":["http://zotero.org/users/8375139/items/NHNMYP9C"],"itemData":{"id":1245,"type":"paper-conference","container-title":"2012 International Conference on Systems and Informatics (ICSAI2012)","DOI":"10.1109/ICSAI.2012.6223576","event":"2012 International Conference on Systems and Informatics (ICSAI)","event-place":"Yantai, China","ISBN":"978-1-4673-0199-2","page":"2559-2562","publisher":"IEEE","publisher-place":"Yantai, China","source":"DOI.org (Crossref)","title":"A model for analysis of supply reaction to price applied to grapes in China","URL":"http://ieeexplore.ieee.org/document/6223576/","author":[{"family":"Xu","given":"Chen"},{"family":"Shengxiong","given":"Wang"},{"family":"Zhijian","given":"Zhou"},{"family":"Wei","given":"Sun"}],"accessed":{"date-parts":[["2022",10,5]]},"issued":{"date-parts":[["2012",5]]}}}],"schema":"https://github.com/citation-style-language/schema/raw/master/csl-citation.json"} </w:instrText>
      </w:r>
      <w:r>
        <w:rPr>
          <w:lang w:val="en-US"/>
        </w:rPr>
        <w:fldChar w:fldCharType="separate"/>
      </w:r>
      <w:r w:rsidRPr="00205E48">
        <w:rPr>
          <w:rFonts w:ascii="Calibri" w:hAnsi="Calibri" w:cs="Calibri"/>
          <w:szCs w:val="24"/>
          <w:lang w:val="en-US"/>
        </w:rPr>
        <w:t xml:space="preserve">(Xu </w:t>
      </w:r>
      <w:r w:rsidRPr="00205E48">
        <w:rPr>
          <w:rFonts w:ascii="Calibri" w:hAnsi="Calibri" w:cs="Calibri"/>
          <w:i/>
          <w:iCs/>
          <w:szCs w:val="24"/>
          <w:lang w:val="en-US"/>
        </w:rPr>
        <w:t>et al.</w:t>
      </w:r>
      <w:r w:rsidRPr="00205E48">
        <w:rPr>
          <w:rFonts w:ascii="Calibri" w:hAnsi="Calibri" w:cs="Calibri"/>
          <w:szCs w:val="24"/>
          <w:lang w:val="en-US"/>
        </w:rPr>
        <w:t xml:space="preserve"> 2012, e.g. Consoli </w:t>
      </w:r>
      <w:r w:rsidRPr="00205E48">
        <w:rPr>
          <w:rFonts w:ascii="Calibri" w:hAnsi="Calibri" w:cs="Calibri"/>
          <w:i/>
          <w:iCs/>
          <w:szCs w:val="24"/>
          <w:lang w:val="en-US"/>
        </w:rPr>
        <w:t>et al.</w:t>
      </w:r>
      <w:r w:rsidRPr="00205E48">
        <w:rPr>
          <w:rFonts w:ascii="Calibri" w:hAnsi="Calibri" w:cs="Calibri"/>
          <w:szCs w:val="24"/>
          <w:lang w:val="en-US"/>
        </w:rPr>
        <w:t xml:space="preserve"> 2021)</w:t>
      </w:r>
      <w:r>
        <w:rPr>
          <w:lang w:val="en-US"/>
        </w:rPr>
        <w:fldChar w:fldCharType="end"/>
      </w:r>
      <w:r>
        <w:rPr>
          <w:lang w:val="en-US"/>
        </w:rPr>
        <w:t>.</w:t>
      </w:r>
    </w:p>
  </w:footnote>
  <w:footnote w:id="2">
    <w:p w14:paraId="31C542A6" w14:textId="77777777" w:rsidR="00942BC6" w:rsidRPr="00D7229C" w:rsidRDefault="00942BC6" w:rsidP="00942BC6">
      <w:pPr>
        <w:pStyle w:val="FootnoteText"/>
        <w:rPr>
          <w:lang w:val="en-US"/>
        </w:rPr>
      </w:pPr>
      <w:r w:rsidRPr="00D5743A">
        <w:rPr>
          <w:rStyle w:val="FootnoteReference"/>
        </w:rPr>
        <w:footnoteRef/>
      </w:r>
      <w:r w:rsidRPr="00D7229C">
        <w:rPr>
          <w:lang w:val="en-US"/>
        </w:rPr>
        <w:t xml:space="preserve"> </w:t>
      </w:r>
      <w:r w:rsidRPr="00D7229C">
        <w:rPr>
          <w:rFonts w:eastAsiaTheme="minorEastAsia"/>
          <w:iCs/>
          <w:lang w:val="en-US"/>
        </w:rPr>
        <w:t>A complete list of included variables</w:t>
      </w:r>
      <w:r>
        <w:rPr>
          <w:rFonts w:eastAsiaTheme="minorEastAsia"/>
          <w:iCs/>
          <w:lang w:val="en-US"/>
        </w:rPr>
        <w:t xml:space="preserve">, their description and expected effects are </w:t>
      </w:r>
      <w:r w:rsidRPr="00D7229C">
        <w:rPr>
          <w:rFonts w:eastAsiaTheme="minorEastAsia"/>
          <w:iCs/>
          <w:lang w:val="en-US"/>
        </w:rPr>
        <w:t xml:space="preserve">in </w:t>
      </w:r>
      <w:r>
        <w:rPr>
          <w:rFonts w:eastAsiaTheme="minorEastAsia"/>
          <w:iCs/>
          <w:lang w:val="en-US"/>
        </w:rPr>
        <w:t>Table 1.</w:t>
      </w:r>
    </w:p>
  </w:footnote>
  <w:footnote w:id="3">
    <w:p w14:paraId="779AAF32" w14:textId="77777777" w:rsidR="00942BC6" w:rsidRPr="00D50CC5" w:rsidRDefault="00942BC6" w:rsidP="00942BC6">
      <w:pPr>
        <w:pStyle w:val="FootnoteText"/>
        <w:rPr>
          <w:lang w:val="en-US"/>
        </w:rPr>
      </w:pPr>
      <w:r w:rsidRPr="00D5743A">
        <w:rPr>
          <w:rStyle w:val="FootnoteReference"/>
        </w:rPr>
        <w:footnoteRef/>
      </w:r>
      <w:r w:rsidRPr="00D50CC5">
        <w:rPr>
          <w:lang w:val="en-US"/>
        </w:rPr>
        <w:t xml:space="preserve"> </w:t>
      </w:r>
      <w:r>
        <w:rPr>
          <w:lang w:val="en-US"/>
        </w:rPr>
        <w:t xml:space="preserve">Note that a decrease in the land share devoted to </w:t>
      </w:r>
      <m:oMath>
        <m:r>
          <w:rPr>
            <w:rFonts w:ascii="Cambria Math" w:hAnsi="Cambria Math"/>
            <w:lang w:val="en-US"/>
          </w:rPr>
          <m:t>FRG</m:t>
        </m:r>
      </m:oMath>
      <w:r>
        <w:rPr>
          <w:rFonts w:eastAsiaTheme="minorEastAsia"/>
          <w:iCs/>
          <w:lang w:val="en-US"/>
        </w:rPr>
        <w:t xml:space="preserve"> implies an increase in the land share devoted to the sole alternative, in this case the share of land devoted to </w:t>
      </w:r>
      <m:oMath>
        <m:r>
          <w:rPr>
            <w:rFonts w:ascii="Cambria Math" w:eastAsiaTheme="minorEastAsia" w:hAnsi="Cambria Math"/>
            <w:lang w:val="en-US"/>
          </w:rPr>
          <m:t>TRAD</m:t>
        </m:r>
      </m:oMath>
      <w:r>
        <w:rPr>
          <w:rFonts w:eastAsiaTheme="minorEastAsia"/>
          <w:iCs/>
          <w:lang w:val="en-US"/>
        </w:rPr>
        <w:t xml:space="preserve"> (since </w:t>
      </w:r>
      <m:oMath>
        <m:sSub>
          <m:sSubPr>
            <m:ctrlPr>
              <w:rPr>
                <w:rFonts w:ascii="Cambria Math" w:eastAsiaTheme="minorEastAsia" w:hAnsi="Cambria Math"/>
                <w:iCs/>
                <w:lang w:val="en-US"/>
              </w:rPr>
            </m:ctrlPr>
          </m:sSubPr>
          <m:e>
            <m:r>
              <w:rPr>
                <w:rFonts w:ascii="Cambria Math" w:eastAsiaTheme="minorEastAsia" w:hAnsi="Cambria Math"/>
                <w:lang w:val="en-US"/>
              </w:rPr>
              <m:t>A</m:t>
            </m:r>
          </m:e>
          <m:sub>
            <m:r>
              <w:rPr>
                <w:rFonts w:ascii="Cambria Math" w:eastAsiaTheme="minorEastAsia" w:hAnsi="Cambria Math"/>
                <w:lang w:val="en-US"/>
              </w:rPr>
              <m:t>FRG</m:t>
            </m:r>
          </m:sub>
        </m:sSub>
      </m:oMath>
      <w:r>
        <w:rPr>
          <w:rFonts w:eastAsiaTheme="minorEastAsia"/>
          <w:iCs/>
          <w:lang w:val="en-US"/>
        </w:rPr>
        <w:t xml:space="preserve"> + </w:t>
      </w:r>
      <m:oMath>
        <m:sSub>
          <m:sSubPr>
            <m:ctrlPr>
              <w:rPr>
                <w:rFonts w:ascii="Cambria Math" w:eastAsiaTheme="minorEastAsia" w:hAnsi="Cambria Math"/>
                <w:iCs/>
                <w:lang w:val="en-US"/>
              </w:rPr>
            </m:ctrlPr>
          </m:sSubPr>
          <m:e>
            <m:r>
              <w:rPr>
                <w:rFonts w:ascii="Cambria Math" w:eastAsiaTheme="minorEastAsia" w:hAnsi="Cambria Math"/>
                <w:lang w:val="en-US"/>
              </w:rPr>
              <m:t>A</m:t>
            </m:r>
          </m:e>
          <m:sub>
            <m:r>
              <w:rPr>
                <w:rFonts w:ascii="Cambria Math" w:eastAsiaTheme="minorEastAsia" w:hAnsi="Cambria Math"/>
                <w:lang w:val="en-US"/>
              </w:rPr>
              <m:t>TRAD</m:t>
            </m:r>
          </m:sub>
        </m:sSub>
        <m:r>
          <w:rPr>
            <w:rFonts w:ascii="Cambria Math" w:eastAsiaTheme="minorEastAsia" w:hAnsi="Cambria Math"/>
            <w:lang w:val="en-US"/>
          </w:rPr>
          <m:t>=1</m:t>
        </m:r>
      </m:oMath>
      <w:r>
        <w:rPr>
          <w:rFonts w:eastAsiaTheme="minorEastAsia"/>
          <w:iCs/>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BD9"/>
    <w:multiLevelType w:val="hybridMultilevel"/>
    <w:tmpl w:val="7E3C600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58B5004"/>
    <w:multiLevelType w:val="multilevel"/>
    <w:tmpl w:val="59CC6DEE"/>
    <w:numStyleLink w:val="Style1"/>
  </w:abstractNum>
  <w:abstractNum w:abstractNumId="2" w15:restartNumberingAfterBreak="0">
    <w:nsid w:val="05FE152E"/>
    <w:multiLevelType w:val="hybridMultilevel"/>
    <w:tmpl w:val="8488D72A"/>
    <w:lvl w:ilvl="0" w:tplc="5D2A8E8E">
      <w:numFmt w:val="bullet"/>
      <w:lvlText w:val=""/>
      <w:lvlJc w:val="left"/>
      <w:pPr>
        <w:ind w:left="720" w:hanging="360"/>
      </w:pPr>
      <w:rPr>
        <w:rFonts w:ascii="Wingdings" w:eastAsiaTheme="minorEastAsia"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A962A0"/>
    <w:multiLevelType w:val="hybridMultilevel"/>
    <w:tmpl w:val="ACBE725A"/>
    <w:lvl w:ilvl="0" w:tplc="9398A4D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3CF2C9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B64E23"/>
    <w:multiLevelType w:val="multilevel"/>
    <w:tmpl w:val="0807001F"/>
    <w:numStyleLink w:val="Style2"/>
  </w:abstractNum>
  <w:abstractNum w:abstractNumId="6" w15:restartNumberingAfterBreak="0">
    <w:nsid w:val="17A70EAE"/>
    <w:multiLevelType w:val="hybridMultilevel"/>
    <w:tmpl w:val="970876A2"/>
    <w:lvl w:ilvl="0" w:tplc="82800D0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FA7F36"/>
    <w:multiLevelType w:val="hybridMultilevel"/>
    <w:tmpl w:val="D496394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D9341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CD401F"/>
    <w:multiLevelType w:val="hybridMultilevel"/>
    <w:tmpl w:val="ADCE51F6"/>
    <w:lvl w:ilvl="0" w:tplc="FFFFFFFF">
      <w:start w:val="1"/>
      <w:numFmt w:val="decimal"/>
      <w:lvlText w:val="A%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A77452"/>
    <w:multiLevelType w:val="hybridMultilevel"/>
    <w:tmpl w:val="8972429E"/>
    <w:lvl w:ilvl="0" w:tplc="C40A38C0">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C545BC3"/>
    <w:multiLevelType w:val="hybridMultilevel"/>
    <w:tmpl w:val="E3280B90"/>
    <w:lvl w:ilvl="0" w:tplc="FFFFFFFF">
      <w:start w:val="1"/>
      <w:numFmt w:val="decimal"/>
      <w:lvlText w:val="A%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9D2E73"/>
    <w:multiLevelType w:val="multilevel"/>
    <w:tmpl w:val="0807001F"/>
    <w:styleLink w:val="Style2"/>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AB7685"/>
    <w:multiLevelType w:val="hybridMultilevel"/>
    <w:tmpl w:val="3064F92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BD80FC7"/>
    <w:multiLevelType w:val="hybridMultilevel"/>
    <w:tmpl w:val="F5E84AF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EBA22E9"/>
    <w:multiLevelType w:val="multilevel"/>
    <w:tmpl w:val="59CC6DEE"/>
    <w:styleLink w:val="Style1"/>
    <w:lvl w:ilvl="0">
      <w:start w:val="1"/>
      <w:numFmt w:val="upperLetter"/>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BA6788"/>
    <w:multiLevelType w:val="multilevel"/>
    <w:tmpl w:val="EB26D94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4929F5"/>
    <w:multiLevelType w:val="hybridMultilevel"/>
    <w:tmpl w:val="817624D8"/>
    <w:lvl w:ilvl="0" w:tplc="82800D0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025317"/>
    <w:multiLevelType w:val="hybridMultilevel"/>
    <w:tmpl w:val="8236BC60"/>
    <w:lvl w:ilvl="0" w:tplc="FFFFFFFF">
      <w:start w:val="1"/>
      <w:numFmt w:val="decimal"/>
      <w:lvlText w:val="A%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89956E7"/>
    <w:multiLevelType w:val="hybridMultilevel"/>
    <w:tmpl w:val="614CF89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0C54CEB"/>
    <w:multiLevelType w:val="hybridMultilevel"/>
    <w:tmpl w:val="20B049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7F223D8"/>
    <w:multiLevelType w:val="hybridMultilevel"/>
    <w:tmpl w:val="D6B69034"/>
    <w:lvl w:ilvl="0" w:tplc="FFFFFFFF">
      <w:start w:val="1"/>
      <w:numFmt w:val="decimal"/>
      <w:lvlText w:val="A%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8574CB4"/>
    <w:multiLevelType w:val="hybridMultilevel"/>
    <w:tmpl w:val="C1E4CE44"/>
    <w:lvl w:ilvl="0" w:tplc="FFFFFFFF">
      <w:start w:val="1"/>
      <w:numFmt w:val="decimal"/>
      <w:lvlText w:val="A%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90D16F4"/>
    <w:multiLevelType w:val="hybridMultilevel"/>
    <w:tmpl w:val="31CCAC9C"/>
    <w:lvl w:ilvl="0" w:tplc="82800D0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AF817B5"/>
    <w:multiLevelType w:val="hybridMultilevel"/>
    <w:tmpl w:val="3D9E4AB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1B2296F"/>
    <w:multiLevelType w:val="hybridMultilevel"/>
    <w:tmpl w:val="59CC6DEE"/>
    <w:lvl w:ilvl="0" w:tplc="C40A38C0">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4F259B6"/>
    <w:multiLevelType w:val="hybridMultilevel"/>
    <w:tmpl w:val="193EBA9C"/>
    <w:lvl w:ilvl="0" w:tplc="FFFFFFFF">
      <w:start w:val="1"/>
      <w:numFmt w:val="decimal"/>
      <w:lvlText w:val="A%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3427605"/>
    <w:multiLevelType w:val="hybridMultilevel"/>
    <w:tmpl w:val="DC146F6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EF97855"/>
    <w:multiLevelType w:val="hybridMultilevel"/>
    <w:tmpl w:val="67AA7D9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254819344">
    <w:abstractNumId w:val="23"/>
  </w:num>
  <w:num w:numId="2" w16cid:durableId="1825703622">
    <w:abstractNumId w:val="16"/>
  </w:num>
  <w:num w:numId="3" w16cid:durableId="1245920216">
    <w:abstractNumId w:val="7"/>
  </w:num>
  <w:num w:numId="4" w16cid:durableId="641036758">
    <w:abstractNumId w:val="13"/>
  </w:num>
  <w:num w:numId="5" w16cid:durableId="1294408654">
    <w:abstractNumId w:val="14"/>
  </w:num>
  <w:num w:numId="6" w16cid:durableId="876892269">
    <w:abstractNumId w:val="27"/>
  </w:num>
  <w:num w:numId="7" w16cid:durableId="1676228216">
    <w:abstractNumId w:val="24"/>
  </w:num>
  <w:num w:numId="8" w16cid:durableId="2029519693">
    <w:abstractNumId w:val="19"/>
  </w:num>
  <w:num w:numId="9" w16cid:durableId="418794507">
    <w:abstractNumId w:val="25"/>
  </w:num>
  <w:num w:numId="10" w16cid:durableId="886258933">
    <w:abstractNumId w:val="22"/>
  </w:num>
  <w:num w:numId="11" w16cid:durableId="1760908168">
    <w:abstractNumId w:val="3"/>
  </w:num>
  <w:num w:numId="12" w16cid:durableId="1156873417">
    <w:abstractNumId w:val="6"/>
  </w:num>
  <w:num w:numId="13" w16cid:durableId="517962167">
    <w:abstractNumId w:val="17"/>
  </w:num>
  <w:num w:numId="14" w16cid:durableId="867134983">
    <w:abstractNumId w:val="21"/>
  </w:num>
  <w:num w:numId="15" w16cid:durableId="1745571055">
    <w:abstractNumId w:val="20"/>
  </w:num>
  <w:num w:numId="16" w16cid:durableId="375467464">
    <w:abstractNumId w:val="10"/>
  </w:num>
  <w:num w:numId="17" w16cid:durableId="1611739523">
    <w:abstractNumId w:val="11"/>
  </w:num>
  <w:num w:numId="18" w16cid:durableId="1305431875">
    <w:abstractNumId w:val="18"/>
  </w:num>
  <w:num w:numId="19" w16cid:durableId="1481267151">
    <w:abstractNumId w:val="26"/>
  </w:num>
  <w:num w:numId="20" w16cid:durableId="1114833232">
    <w:abstractNumId w:val="9"/>
  </w:num>
  <w:num w:numId="21" w16cid:durableId="1445031991">
    <w:abstractNumId w:val="15"/>
  </w:num>
  <w:num w:numId="22" w16cid:durableId="907300655">
    <w:abstractNumId w:val="1"/>
  </w:num>
  <w:num w:numId="23" w16cid:durableId="1199734608">
    <w:abstractNumId w:val="5"/>
  </w:num>
  <w:num w:numId="24" w16cid:durableId="1995254840">
    <w:abstractNumId w:val="12"/>
  </w:num>
  <w:num w:numId="25" w16cid:durableId="1944796834">
    <w:abstractNumId w:val="8"/>
  </w:num>
  <w:num w:numId="26" w16cid:durableId="425730991">
    <w:abstractNumId w:val="4"/>
  </w:num>
  <w:num w:numId="27" w16cid:durableId="1529181408">
    <w:abstractNumId w:val="0"/>
  </w:num>
  <w:num w:numId="28" w16cid:durableId="1231505388">
    <w:abstractNumId w:val="28"/>
  </w:num>
  <w:num w:numId="29" w16cid:durableId="1081022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EAE"/>
    <w:rsid w:val="000003DE"/>
    <w:rsid w:val="00000980"/>
    <w:rsid w:val="000016D9"/>
    <w:rsid w:val="00001BBC"/>
    <w:rsid w:val="00002DA5"/>
    <w:rsid w:val="00003A3D"/>
    <w:rsid w:val="00004776"/>
    <w:rsid w:val="00004991"/>
    <w:rsid w:val="000061FC"/>
    <w:rsid w:val="00006DED"/>
    <w:rsid w:val="00006F81"/>
    <w:rsid w:val="00007BFA"/>
    <w:rsid w:val="00007F01"/>
    <w:rsid w:val="000107C7"/>
    <w:rsid w:val="00010838"/>
    <w:rsid w:val="00011A15"/>
    <w:rsid w:val="00017C50"/>
    <w:rsid w:val="00021404"/>
    <w:rsid w:val="00023C93"/>
    <w:rsid w:val="000246D6"/>
    <w:rsid w:val="00024F7A"/>
    <w:rsid w:val="000253D2"/>
    <w:rsid w:val="000254DF"/>
    <w:rsid w:val="000300B2"/>
    <w:rsid w:val="0003223B"/>
    <w:rsid w:val="00033E30"/>
    <w:rsid w:val="00035A34"/>
    <w:rsid w:val="00035B4B"/>
    <w:rsid w:val="000372E9"/>
    <w:rsid w:val="00041D7B"/>
    <w:rsid w:val="000427DF"/>
    <w:rsid w:val="000436E1"/>
    <w:rsid w:val="00044226"/>
    <w:rsid w:val="0004454A"/>
    <w:rsid w:val="0004745A"/>
    <w:rsid w:val="00050D2C"/>
    <w:rsid w:val="00051002"/>
    <w:rsid w:val="000529FC"/>
    <w:rsid w:val="000531EF"/>
    <w:rsid w:val="000552B5"/>
    <w:rsid w:val="00056CD3"/>
    <w:rsid w:val="0005725A"/>
    <w:rsid w:val="00057D30"/>
    <w:rsid w:val="00060FB8"/>
    <w:rsid w:val="000612D1"/>
    <w:rsid w:val="000615EB"/>
    <w:rsid w:val="00061B3E"/>
    <w:rsid w:val="00062246"/>
    <w:rsid w:val="0006247C"/>
    <w:rsid w:val="00062480"/>
    <w:rsid w:val="000633B6"/>
    <w:rsid w:val="000634F9"/>
    <w:rsid w:val="00064247"/>
    <w:rsid w:val="0006637F"/>
    <w:rsid w:val="00066A9A"/>
    <w:rsid w:val="00066DA1"/>
    <w:rsid w:val="000703CD"/>
    <w:rsid w:val="00070D2E"/>
    <w:rsid w:val="00070EC2"/>
    <w:rsid w:val="00071A40"/>
    <w:rsid w:val="00071D19"/>
    <w:rsid w:val="000727FA"/>
    <w:rsid w:val="00073562"/>
    <w:rsid w:val="00073D1F"/>
    <w:rsid w:val="00073EC1"/>
    <w:rsid w:val="00074B1B"/>
    <w:rsid w:val="00074D9A"/>
    <w:rsid w:val="00074DC1"/>
    <w:rsid w:val="00076E15"/>
    <w:rsid w:val="000800B1"/>
    <w:rsid w:val="00084082"/>
    <w:rsid w:val="00084422"/>
    <w:rsid w:val="00084B61"/>
    <w:rsid w:val="00084CD0"/>
    <w:rsid w:val="0008655A"/>
    <w:rsid w:val="00086DB3"/>
    <w:rsid w:val="00087EB1"/>
    <w:rsid w:val="00091593"/>
    <w:rsid w:val="00091D33"/>
    <w:rsid w:val="00092EF6"/>
    <w:rsid w:val="0009370B"/>
    <w:rsid w:val="0009422C"/>
    <w:rsid w:val="00095AA5"/>
    <w:rsid w:val="000972EC"/>
    <w:rsid w:val="00097424"/>
    <w:rsid w:val="000A1802"/>
    <w:rsid w:val="000A2476"/>
    <w:rsid w:val="000A30E4"/>
    <w:rsid w:val="000A34E9"/>
    <w:rsid w:val="000A470B"/>
    <w:rsid w:val="000A6CD9"/>
    <w:rsid w:val="000A7C50"/>
    <w:rsid w:val="000B108C"/>
    <w:rsid w:val="000B1275"/>
    <w:rsid w:val="000B134E"/>
    <w:rsid w:val="000B36AA"/>
    <w:rsid w:val="000B41AB"/>
    <w:rsid w:val="000B5DD7"/>
    <w:rsid w:val="000B6491"/>
    <w:rsid w:val="000C0325"/>
    <w:rsid w:val="000C09A9"/>
    <w:rsid w:val="000C1767"/>
    <w:rsid w:val="000C2908"/>
    <w:rsid w:val="000C2B2B"/>
    <w:rsid w:val="000C44D4"/>
    <w:rsid w:val="000C53F8"/>
    <w:rsid w:val="000C570B"/>
    <w:rsid w:val="000C763E"/>
    <w:rsid w:val="000C7696"/>
    <w:rsid w:val="000C7FA6"/>
    <w:rsid w:val="000D02F0"/>
    <w:rsid w:val="000D0705"/>
    <w:rsid w:val="000D1646"/>
    <w:rsid w:val="000D170C"/>
    <w:rsid w:val="000D281B"/>
    <w:rsid w:val="000D41D1"/>
    <w:rsid w:val="000D4F5D"/>
    <w:rsid w:val="000D5708"/>
    <w:rsid w:val="000D6106"/>
    <w:rsid w:val="000D7E9D"/>
    <w:rsid w:val="000E06AF"/>
    <w:rsid w:val="000E09DC"/>
    <w:rsid w:val="000E1C36"/>
    <w:rsid w:val="000E2C73"/>
    <w:rsid w:val="000E36DC"/>
    <w:rsid w:val="000E3A04"/>
    <w:rsid w:val="000E4459"/>
    <w:rsid w:val="000E5949"/>
    <w:rsid w:val="000E725E"/>
    <w:rsid w:val="000E7776"/>
    <w:rsid w:val="000E7C75"/>
    <w:rsid w:val="000F02AA"/>
    <w:rsid w:val="000F05C1"/>
    <w:rsid w:val="000F245D"/>
    <w:rsid w:val="000F2F9B"/>
    <w:rsid w:val="000F3513"/>
    <w:rsid w:val="000F5346"/>
    <w:rsid w:val="0010193E"/>
    <w:rsid w:val="00102A82"/>
    <w:rsid w:val="0010340C"/>
    <w:rsid w:val="001043BF"/>
    <w:rsid w:val="00104B91"/>
    <w:rsid w:val="00104CFC"/>
    <w:rsid w:val="001065B6"/>
    <w:rsid w:val="00106F02"/>
    <w:rsid w:val="00110316"/>
    <w:rsid w:val="0011031F"/>
    <w:rsid w:val="00110A2E"/>
    <w:rsid w:val="001115A1"/>
    <w:rsid w:val="00111CF5"/>
    <w:rsid w:val="0011397C"/>
    <w:rsid w:val="00113DC0"/>
    <w:rsid w:val="0011429E"/>
    <w:rsid w:val="00115147"/>
    <w:rsid w:val="0011521E"/>
    <w:rsid w:val="00116002"/>
    <w:rsid w:val="0011789C"/>
    <w:rsid w:val="00117A14"/>
    <w:rsid w:val="00117EAE"/>
    <w:rsid w:val="00120F87"/>
    <w:rsid w:val="00121C83"/>
    <w:rsid w:val="00126935"/>
    <w:rsid w:val="00126BFD"/>
    <w:rsid w:val="0013020E"/>
    <w:rsid w:val="0013059A"/>
    <w:rsid w:val="00131397"/>
    <w:rsid w:val="00134027"/>
    <w:rsid w:val="001346A0"/>
    <w:rsid w:val="00134E41"/>
    <w:rsid w:val="00134F8B"/>
    <w:rsid w:val="001350A0"/>
    <w:rsid w:val="00137297"/>
    <w:rsid w:val="001377C2"/>
    <w:rsid w:val="001416A5"/>
    <w:rsid w:val="00143485"/>
    <w:rsid w:val="001439A7"/>
    <w:rsid w:val="001442BC"/>
    <w:rsid w:val="00145890"/>
    <w:rsid w:val="0014676D"/>
    <w:rsid w:val="00147B11"/>
    <w:rsid w:val="0015082F"/>
    <w:rsid w:val="00151D88"/>
    <w:rsid w:val="00152B3F"/>
    <w:rsid w:val="00153A2E"/>
    <w:rsid w:val="00154C21"/>
    <w:rsid w:val="001579BC"/>
    <w:rsid w:val="0016003B"/>
    <w:rsid w:val="00160D3E"/>
    <w:rsid w:val="00160F21"/>
    <w:rsid w:val="0016105C"/>
    <w:rsid w:val="001676B8"/>
    <w:rsid w:val="001679B2"/>
    <w:rsid w:val="00167D0C"/>
    <w:rsid w:val="00171242"/>
    <w:rsid w:val="001718BD"/>
    <w:rsid w:val="001718C5"/>
    <w:rsid w:val="00173289"/>
    <w:rsid w:val="00175F8D"/>
    <w:rsid w:val="0017662F"/>
    <w:rsid w:val="00177405"/>
    <w:rsid w:val="00177A49"/>
    <w:rsid w:val="001801D8"/>
    <w:rsid w:val="0018182F"/>
    <w:rsid w:val="001819A8"/>
    <w:rsid w:val="00182125"/>
    <w:rsid w:val="0018265D"/>
    <w:rsid w:val="0018495D"/>
    <w:rsid w:val="0018665C"/>
    <w:rsid w:val="00187014"/>
    <w:rsid w:val="001903C3"/>
    <w:rsid w:val="0019065D"/>
    <w:rsid w:val="00190D77"/>
    <w:rsid w:val="00191F2A"/>
    <w:rsid w:val="00194ACA"/>
    <w:rsid w:val="00195169"/>
    <w:rsid w:val="00196156"/>
    <w:rsid w:val="00197F56"/>
    <w:rsid w:val="001A04EC"/>
    <w:rsid w:val="001A17FF"/>
    <w:rsid w:val="001A208C"/>
    <w:rsid w:val="001A3D99"/>
    <w:rsid w:val="001A4623"/>
    <w:rsid w:val="001A4B1D"/>
    <w:rsid w:val="001A5AC3"/>
    <w:rsid w:val="001A5E7B"/>
    <w:rsid w:val="001A5FF9"/>
    <w:rsid w:val="001A7C40"/>
    <w:rsid w:val="001B00FF"/>
    <w:rsid w:val="001B2C22"/>
    <w:rsid w:val="001B4279"/>
    <w:rsid w:val="001B42B9"/>
    <w:rsid w:val="001B60B2"/>
    <w:rsid w:val="001B7BAB"/>
    <w:rsid w:val="001B7F62"/>
    <w:rsid w:val="001C0877"/>
    <w:rsid w:val="001C1395"/>
    <w:rsid w:val="001C3CC7"/>
    <w:rsid w:val="001C6102"/>
    <w:rsid w:val="001C6A8F"/>
    <w:rsid w:val="001C6CED"/>
    <w:rsid w:val="001C6E23"/>
    <w:rsid w:val="001C6E91"/>
    <w:rsid w:val="001C7209"/>
    <w:rsid w:val="001C7BED"/>
    <w:rsid w:val="001D1C4E"/>
    <w:rsid w:val="001D1FB8"/>
    <w:rsid w:val="001D54C6"/>
    <w:rsid w:val="001D57F9"/>
    <w:rsid w:val="001D6C58"/>
    <w:rsid w:val="001D7057"/>
    <w:rsid w:val="001D7D64"/>
    <w:rsid w:val="001E0911"/>
    <w:rsid w:val="001E0A69"/>
    <w:rsid w:val="001E1787"/>
    <w:rsid w:val="001E1AFD"/>
    <w:rsid w:val="001E271B"/>
    <w:rsid w:val="001E2E54"/>
    <w:rsid w:val="001E3B98"/>
    <w:rsid w:val="001E4464"/>
    <w:rsid w:val="001E50B4"/>
    <w:rsid w:val="001E5D03"/>
    <w:rsid w:val="001E7439"/>
    <w:rsid w:val="001F166F"/>
    <w:rsid w:val="001F2758"/>
    <w:rsid w:val="001F6734"/>
    <w:rsid w:val="002015FC"/>
    <w:rsid w:val="0020173B"/>
    <w:rsid w:val="00202071"/>
    <w:rsid w:val="00202791"/>
    <w:rsid w:val="00202D39"/>
    <w:rsid w:val="002034C9"/>
    <w:rsid w:val="002036C1"/>
    <w:rsid w:val="00204078"/>
    <w:rsid w:val="00204287"/>
    <w:rsid w:val="0020494E"/>
    <w:rsid w:val="00204AF9"/>
    <w:rsid w:val="00204F30"/>
    <w:rsid w:val="00205C7E"/>
    <w:rsid w:val="00205E48"/>
    <w:rsid w:val="002065CB"/>
    <w:rsid w:val="0021052B"/>
    <w:rsid w:val="0021069C"/>
    <w:rsid w:val="00211B4B"/>
    <w:rsid w:val="00213915"/>
    <w:rsid w:val="00216022"/>
    <w:rsid w:val="0021677E"/>
    <w:rsid w:val="00216C58"/>
    <w:rsid w:val="0021756A"/>
    <w:rsid w:val="00217DE4"/>
    <w:rsid w:val="00220292"/>
    <w:rsid w:val="002202AE"/>
    <w:rsid w:val="00221882"/>
    <w:rsid w:val="00222AC6"/>
    <w:rsid w:val="002236F2"/>
    <w:rsid w:val="00223C9C"/>
    <w:rsid w:val="00225669"/>
    <w:rsid w:val="00227688"/>
    <w:rsid w:val="002314F0"/>
    <w:rsid w:val="00233713"/>
    <w:rsid w:val="00234A45"/>
    <w:rsid w:val="00235A80"/>
    <w:rsid w:val="00237518"/>
    <w:rsid w:val="002401F8"/>
    <w:rsid w:val="0024079F"/>
    <w:rsid w:val="0024142B"/>
    <w:rsid w:val="00241AF1"/>
    <w:rsid w:val="00241D95"/>
    <w:rsid w:val="00241DAD"/>
    <w:rsid w:val="00243687"/>
    <w:rsid w:val="00243E7F"/>
    <w:rsid w:val="00244079"/>
    <w:rsid w:val="00245BB2"/>
    <w:rsid w:val="00246E2A"/>
    <w:rsid w:val="002476EE"/>
    <w:rsid w:val="00247CE1"/>
    <w:rsid w:val="00250A9F"/>
    <w:rsid w:val="00250D89"/>
    <w:rsid w:val="00250F40"/>
    <w:rsid w:val="0025114B"/>
    <w:rsid w:val="00252555"/>
    <w:rsid w:val="002539C2"/>
    <w:rsid w:val="00254688"/>
    <w:rsid w:val="002564D5"/>
    <w:rsid w:val="00260F7F"/>
    <w:rsid w:val="00261A91"/>
    <w:rsid w:val="00261DF9"/>
    <w:rsid w:val="00261F36"/>
    <w:rsid w:val="0026237B"/>
    <w:rsid w:val="002623B3"/>
    <w:rsid w:val="00262436"/>
    <w:rsid w:val="0026468E"/>
    <w:rsid w:val="00264CC6"/>
    <w:rsid w:val="00264DB2"/>
    <w:rsid w:val="0026539F"/>
    <w:rsid w:val="00265551"/>
    <w:rsid w:val="002662EE"/>
    <w:rsid w:val="0027069A"/>
    <w:rsid w:val="00271CE5"/>
    <w:rsid w:val="00271CF6"/>
    <w:rsid w:val="00273BED"/>
    <w:rsid w:val="00273EB1"/>
    <w:rsid w:val="002749A9"/>
    <w:rsid w:val="00274DDC"/>
    <w:rsid w:val="00275CC0"/>
    <w:rsid w:val="00280016"/>
    <w:rsid w:val="0028163B"/>
    <w:rsid w:val="00283C1B"/>
    <w:rsid w:val="00284928"/>
    <w:rsid w:val="002864D5"/>
    <w:rsid w:val="00290466"/>
    <w:rsid w:val="0029066E"/>
    <w:rsid w:val="0029129A"/>
    <w:rsid w:val="00291BF0"/>
    <w:rsid w:val="00291E51"/>
    <w:rsid w:val="00292772"/>
    <w:rsid w:val="002937B7"/>
    <w:rsid w:val="00294D26"/>
    <w:rsid w:val="00295E37"/>
    <w:rsid w:val="00297213"/>
    <w:rsid w:val="002972E9"/>
    <w:rsid w:val="00297CE4"/>
    <w:rsid w:val="00297DF1"/>
    <w:rsid w:val="002A06AB"/>
    <w:rsid w:val="002A2611"/>
    <w:rsid w:val="002A2E81"/>
    <w:rsid w:val="002A3391"/>
    <w:rsid w:val="002A36EC"/>
    <w:rsid w:val="002A3EAA"/>
    <w:rsid w:val="002A6507"/>
    <w:rsid w:val="002A679E"/>
    <w:rsid w:val="002A703A"/>
    <w:rsid w:val="002B288D"/>
    <w:rsid w:val="002B2CA4"/>
    <w:rsid w:val="002B2E5D"/>
    <w:rsid w:val="002B6ACE"/>
    <w:rsid w:val="002B6ADB"/>
    <w:rsid w:val="002C160A"/>
    <w:rsid w:val="002C2AC3"/>
    <w:rsid w:val="002C4FC4"/>
    <w:rsid w:val="002C5290"/>
    <w:rsid w:val="002C708E"/>
    <w:rsid w:val="002C79A2"/>
    <w:rsid w:val="002D09B2"/>
    <w:rsid w:val="002D16B6"/>
    <w:rsid w:val="002D1E01"/>
    <w:rsid w:val="002D2348"/>
    <w:rsid w:val="002D558E"/>
    <w:rsid w:val="002D5DDC"/>
    <w:rsid w:val="002D639F"/>
    <w:rsid w:val="002D683F"/>
    <w:rsid w:val="002E01E4"/>
    <w:rsid w:val="002E030C"/>
    <w:rsid w:val="002E063A"/>
    <w:rsid w:val="002E0816"/>
    <w:rsid w:val="002E28A7"/>
    <w:rsid w:val="002E2B5E"/>
    <w:rsid w:val="002E2E8F"/>
    <w:rsid w:val="002E3094"/>
    <w:rsid w:val="002E357D"/>
    <w:rsid w:val="002E443C"/>
    <w:rsid w:val="002E56E4"/>
    <w:rsid w:val="002E66CE"/>
    <w:rsid w:val="002E6AB4"/>
    <w:rsid w:val="002E73DF"/>
    <w:rsid w:val="002E7883"/>
    <w:rsid w:val="002F0BB5"/>
    <w:rsid w:val="002F13EC"/>
    <w:rsid w:val="002F1671"/>
    <w:rsid w:val="002F1868"/>
    <w:rsid w:val="002F3188"/>
    <w:rsid w:val="002F446F"/>
    <w:rsid w:val="002F517F"/>
    <w:rsid w:val="002F589E"/>
    <w:rsid w:val="002F6F95"/>
    <w:rsid w:val="00300DF5"/>
    <w:rsid w:val="00302845"/>
    <w:rsid w:val="00302DC9"/>
    <w:rsid w:val="0030307C"/>
    <w:rsid w:val="0030333D"/>
    <w:rsid w:val="00303386"/>
    <w:rsid w:val="00305409"/>
    <w:rsid w:val="00305D0F"/>
    <w:rsid w:val="00305E7C"/>
    <w:rsid w:val="00306842"/>
    <w:rsid w:val="00307466"/>
    <w:rsid w:val="00310FFD"/>
    <w:rsid w:val="00313440"/>
    <w:rsid w:val="0031416C"/>
    <w:rsid w:val="0031430B"/>
    <w:rsid w:val="003143F9"/>
    <w:rsid w:val="00315719"/>
    <w:rsid w:val="00316D60"/>
    <w:rsid w:val="00317AF1"/>
    <w:rsid w:val="00317DD6"/>
    <w:rsid w:val="00321F1E"/>
    <w:rsid w:val="00323E12"/>
    <w:rsid w:val="00324ACF"/>
    <w:rsid w:val="00325341"/>
    <w:rsid w:val="003253C8"/>
    <w:rsid w:val="0032565B"/>
    <w:rsid w:val="00325772"/>
    <w:rsid w:val="003257EC"/>
    <w:rsid w:val="0032614C"/>
    <w:rsid w:val="003265A7"/>
    <w:rsid w:val="00330AF9"/>
    <w:rsid w:val="003316AC"/>
    <w:rsid w:val="00332866"/>
    <w:rsid w:val="0033330E"/>
    <w:rsid w:val="00337C8F"/>
    <w:rsid w:val="003405BB"/>
    <w:rsid w:val="00340F30"/>
    <w:rsid w:val="00342355"/>
    <w:rsid w:val="00343BE7"/>
    <w:rsid w:val="00345BF0"/>
    <w:rsid w:val="003469E6"/>
    <w:rsid w:val="003518A3"/>
    <w:rsid w:val="003522A3"/>
    <w:rsid w:val="00352D72"/>
    <w:rsid w:val="00353FD7"/>
    <w:rsid w:val="00354890"/>
    <w:rsid w:val="003562E1"/>
    <w:rsid w:val="00356A8E"/>
    <w:rsid w:val="00356E52"/>
    <w:rsid w:val="00357DFF"/>
    <w:rsid w:val="00362C60"/>
    <w:rsid w:val="0036469F"/>
    <w:rsid w:val="00367395"/>
    <w:rsid w:val="00367563"/>
    <w:rsid w:val="00367D89"/>
    <w:rsid w:val="0037076C"/>
    <w:rsid w:val="00370E3B"/>
    <w:rsid w:val="003727DC"/>
    <w:rsid w:val="0037309E"/>
    <w:rsid w:val="003749D8"/>
    <w:rsid w:val="00374B37"/>
    <w:rsid w:val="00375950"/>
    <w:rsid w:val="00376346"/>
    <w:rsid w:val="00377725"/>
    <w:rsid w:val="00384B07"/>
    <w:rsid w:val="00390AB5"/>
    <w:rsid w:val="003918F8"/>
    <w:rsid w:val="003922F7"/>
    <w:rsid w:val="003941CD"/>
    <w:rsid w:val="00396B35"/>
    <w:rsid w:val="00396DA5"/>
    <w:rsid w:val="003A20C9"/>
    <w:rsid w:val="003A324A"/>
    <w:rsid w:val="003A3ACC"/>
    <w:rsid w:val="003A3FFC"/>
    <w:rsid w:val="003A4608"/>
    <w:rsid w:val="003A4953"/>
    <w:rsid w:val="003A4E92"/>
    <w:rsid w:val="003A5432"/>
    <w:rsid w:val="003A54F7"/>
    <w:rsid w:val="003A5BD9"/>
    <w:rsid w:val="003A6539"/>
    <w:rsid w:val="003A6716"/>
    <w:rsid w:val="003A68FC"/>
    <w:rsid w:val="003A7416"/>
    <w:rsid w:val="003A745C"/>
    <w:rsid w:val="003A754D"/>
    <w:rsid w:val="003A7759"/>
    <w:rsid w:val="003A7C0C"/>
    <w:rsid w:val="003B1760"/>
    <w:rsid w:val="003B1B7C"/>
    <w:rsid w:val="003B25B5"/>
    <w:rsid w:val="003B2AD4"/>
    <w:rsid w:val="003B33C4"/>
    <w:rsid w:val="003B36A2"/>
    <w:rsid w:val="003B42BD"/>
    <w:rsid w:val="003B4966"/>
    <w:rsid w:val="003B4DF4"/>
    <w:rsid w:val="003B736A"/>
    <w:rsid w:val="003B7B70"/>
    <w:rsid w:val="003C2D43"/>
    <w:rsid w:val="003C4066"/>
    <w:rsid w:val="003C4CE1"/>
    <w:rsid w:val="003C6423"/>
    <w:rsid w:val="003C6715"/>
    <w:rsid w:val="003C7839"/>
    <w:rsid w:val="003D13AC"/>
    <w:rsid w:val="003D1CEE"/>
    <w:rsid w:val="003D2407"/>
    <w:rsid w:val="003D432C"/>
    <w:rsid w:val="003D4A36"/>
    <w:rsid w:val="003D4E96"/>
    <w:rsid w:val="003D4EED"/>
    <w:rsid w:val="003D4F5C"/>
    <w:rsid w:val="003D6998"/>
    <w:rsid w:val="003D7670"/>
    <w:rsid w:val="003D78E0"/>
    <w:rsid w:val="003D7D85"/>
    <w:rsid w:val="003E0EB7"/>
    <w:rsid w:val="003E18F7"/>
    <w:rsid w:val="003E2C1E"/>
    <w:rsid w:val="003E36B4"/>
    <w:rsid w:val="003E5578"/>
    <w:rsid w:val="003E5696"/>
    <w:rsid w:val="003E5AF9"/>
    <w:rsid w:val="003E798E"/>
    <w:rsid w:val="003F006A"/>
    <w:rsid w:val="003F0511"/>
    <w:rsid w:val="003F2AFB"/>
    <w:rsid w:val="003F4B25"/>
    <w:rsid w:val="003F50CC"/>
    <w:rsid w:val="003F6BC7"/>
    <w:rsid w:val="004043BF"/>
    <w:rsid w:val="00404CAB"/>
    <w:rsid w:val="004056BB"/>
    <w:rsid w:val="00405859"/>
    <w:rsid w:val="00405F2C"/>
    <w:rsid w:val="0040760A"/>
    <w:rsid w:val="0041049A"/>
    <w:rsid w:val="0041083E"/>
    <w:rsid w:val="00410E5C"/>
    <w:rsid w:val="00413D25"/>
    <w:rsid w:val="00416040"/>
    <w:rsid w:val="00416A4C"/>
    <w:rsid w:val="00423F21"/>
    <w:rsid w:val="0042416E"/>
    <w:rsid w:val="00424D38"/>
    <w:rsid w:val="00425B41"/>
    <w:rsid w:val="00425DCC"/>
    <w:rsid w:val="0042763A"/>
    <w:rsid w:val="00427EBC"/>
    <w:rsid w:val="004309EF"/>
    <w:rsid w:val="0043314B"/>
    <w:rsid w:val="00433424"/>
    <w:rsid w:val="004336C6"/>
    <w:rsid w:val="00433820"/>
    <w:rsid w:val="004349B7"/>
    <w:rsid w:val="00436CF7"/>
    <w:rsid w:val="00436D2D"/>
    <w:rsid w:val="00436E8E"/>
    <w:rsid w:val="004372F0"/>
    <w:rsid w:val="0043797E"/>
    <w:rsid w:val="00440ED7"/>
    <w:rsid w:val="00442920"/>
    <w:rsid w:val="00442BCC"/>
    <w:rsid w:val="00445F2B"/>
    <w:rsid w:val="004467D5"/>
    <w:rsid w:val="004474F9"/>
    <w:rsid w:val="00447E42"/>
    <w:rsid w:val="004526ED"/>
    <w:rsid w:val="00453ED3"/>
    <w:rsid w:val="004544A9"/>
    <w:rsid w:val="0045493B"/>
    <w:rsid w:val="00455336"/>
    <w:rsid w:val="0045550C"/>
    <w:rsid w:val="004555A0"/>
    <w:rsid w:val="0045581E"/>
    <w:rsid w:val="00456B8F"/>
    <w:rsid w:val="00456C43"/>
    <w:rsid w:val="004575D9"/>
    <w:rsid w:val="00460C73"/>
    <w:rsid w:val="00463AA7"/>
    <w:rsid w:val="00464E18"/>
    <w:rsid w:val="0046579B"/>
    <w:rsid w:val="00465D45"/>
    <w:rsid w:val="004667BD"/>
    <w:rsid w:val="00467318"/>
    <w:rsid w:val="00467551"/>
    <w:rsid w:val="00470B03"/>
    <w:rsid w:val="00470D6F"/>
    <w:rsid w:val="00470E7F"/>
    <w:rsid w:val="00471333"/>
    <w:rsid w:val="004723E1"/>
    <w:rsid w:val="00473525"/>
    <w:rsid w:val="00474C46"/>
    <w:rsid w:val="00476795"/>
    <w:rsid w:val="00477C67"/>
    <w:rsid w:val="00480155"/>
    <w:rsid w:val="00481ADC"/>
    <w:rsid w:val="00482014"/>
    <w:rsid w:val="004830A2"/>
    <w:rsid w:val="004838E1"/>
    <w:rsid w:val="00483B42"/>
    <w:rsid w:val="00483D29"/>
    <w:rsid w:val="00483F00"/>
    <w:rsid w:val="00484123"/>
    <w:rsid w:val="00484AB6"/>
    <w:rsid w:val="00484B71"/>
    <w:rsid w:val="004873D8"/>
    <w:rsid w:val="0048789A"/>
    <w:rsid w:val="00491238"/>
    <w:rsid w:val="00491E21"/>
    <w:rsid w:val="0049275C"/>
    <w:rsid w:val="00492CC5"/>
    <w:rsid w:val="004943E2"/>
    <w:rsid w:val="00495944"/>
    <w:rsid w:val="0049622A"/>
    <w:rsid w:val="004967D8"/>
    <w:rsid w:val="004A1007"/>
    <w:rsid w:val="004A13EA"/>
    <w:rsid w:val="004A18DE"/>
    <w:rsid w:val="004A19E7"/>
    <w:rsid w:val="004A1C7A"/>
    <w:rsid w:val="004A33A0"/>
    <w:rsid w:val="004A433B"/>
    <w:rsid w:val="004A461E"/>
    <w:rsid w:val="004A5CD6"/>
    <w:rsid w:val="004A7182"/>
    <w:rsid w:val="004A7B7A"/>
    <w:rsid w:val="004B05D1"/>
    <w:rsid w:val="004B1A33"/>
    <w:rsid w:val="004B3742"/>
    <w:rsid w:val="004B3EE1"/>
    <w:rsid w:val="004B667C"/>
    <w:rsid w:val="004B6BC8"/>
    <w:rsid w:val="004B74F4"/>
    <w:rsid w:val="004C00A5"/>
    <w:rsid w:val="004C0D3D"/>
    <w:rsid w:val="004C25C5"/>
    <w:rsid w:val="004C4109"/>
    <w:rsid w:val="004C7F8F"/>
    <w:rsid w:val="004D6418"/>
    <w:rsid w:val="004E06F9"/>
    <w:rsid w:val="004E09A5"/>
    <w:rsid w:val="004E0EF2"/>
    <w:rsid w:val="004E12B7"/>
    <w:rsid w:val="004E1A92"/>
    <w:rsid w:val="004E2410"/>
    <w:rsid w:val="004E2422"/>
    <w:rsid w:val="004E38DF"/>
    <w:rsid w:val="004E7602"/>
    <w:rsid w:val="004F0278"/>
    <w:rsid w:val="004F0CF8"/>
    <w:rsid w:val="004F1230"/>
    <w:rsid w:val="004F3084"/>
    <w:rsid w:val="004F322C"/>
    <w:rsid w:val="004F3F2F"/>
    <w:rsid w:val="004F4483"/>
    <w:rsid w:val="004F4B70"/>
    <w:rsid w:val="004F4EF3"/>
    <w:rsid w:val="004F4F1C"/>
    <w:rsid w:val="004F6222"/>
    <w:rsid w:val="004F693C"/>
    <w:rsid w:val="004F7BCF"/>
    <w:rsid w:val="004F7DBF"/>
    <w:rsid w:val="005003C8"/>
    <w:rsid w:val="005003F5"/>
    <w:rsid w:val="00500FC1"/>
    <w:rsid w:val="00501CD3"/>
    <w:rsid w:val="00501F34"/>
    <w:rsid w:val="00502665"/>
    <w:rsid w:val="00503760"/>
    <w:rsid w:val="005040D4"/>
    <w:rsid w:val="00504636"/>
    <w:rsid w:val="00505730"/>
    <w:rsid w:val="00505C0E"/>
    <w:rsid w:val="00505EE4"/>
    <w:rsid w:val="00506CF1"/>
    <w:rsid w:val="005075CF"/>
    <w:rsid w:val="00510AC2"/>
    <w:rsid w:val="00512941"/>
    <w:rsid w:val="00512F3B"/>
    <w:rsid w:val="0051342B"/>
    <w:rsid w:val="0051402D"/>
    <w:rsid w:val="00517AC3"/>
    <w:rsid w:val="00517D51"/>
    <w:rsid w:val="00521398"/>
    <w:rsid w:val="0052218D"/>
    <w:rsid w:val="005225C6"/>
    <w:rsid w:val="00524C66"/>
    <w:rsid w:val="005254F8"/>
    <w:rsid w:val="00525571"/>
    <w:rsid w:val="00527DE7"/>
    <w:rsid w:val="00532351"/>
    <w:rsid w:val="00532577"/>
    <w:rsid w:val="00533846"/>
    <w:rsid w:val="00535E3D"/>
    <w:rsid w:val="00536262"/>
    <w:rsid w:val="00541B13"/>
    <w:rsid w:val="00542096"/>
    <w:rsid w:val="005422AC"/>
    <w:rsid w:val="0054359B"/>
    <w:rsid w:val="00544B54"/>
    <w:rsid w:val="0054649D"/>
    <w:rsid w:val="005477C7"/>
    <w:rsid w:val="00547BAA"/>
    <w:rsid w:val="00547C26"/>
    <w:rsid w:val="00547F45"/>
    <w:rsid w:val="00550858"/>
    <w:rsid w:val="00550A84"/>
    <w:rsid w:val="00550E4D"/>
    <w:rsid w:val="00551EF1"/>
    <w:rsid w:val="005525CC"/>
    <w:rsid w:val="00553C18"/>
    <w:rsid w:val="00554F1C"/>
    <w:rsid w:val="00556BC7"/>
    <w:rsid w:val="005571A6"/>
    <w:rsid w:val="0055798E"/>
    <w:rsid w:val="00560C7A"/>
    <w:rsid w:val="005656B1"/>
    <w:rsid w:val="00567FCE"/>
    <w:rsid w:val="00570751"/>
    <w:rsid w:val="00573555"/>
    <w:rsid w:val="00574B47"/>
    <w:rsid w:val="00574C5C"/>
    <w:rsid w:val="00575B77"/>
    <w:rsid w:val="005774E9"/>
    <w:rsid w:val="00580573"/>
    <w:rsid w:val="00580A67"/>
    <w:rsid w:val="0058216A"/>
    <w:rsid w:val="0058339B"/>
    <w:rsid w:val="005844B8"/>
    <w:rsid w:val="005876AF"/>
    <w:rsid w:val="0058791C"/>
    <w:rsid w:val="00590296"/>
    <w:rsid w:val="0059050F"/>
    <w:rsid w:val="005914DB"/>
    <w:rsid w:val="00593E13"/>
    <w:rsid w:val="00594005"/>
    <w:rsid w:val="005940DE"/>
    <w:rsid w:val="00596642"/>
    <w:rsid w:val="005A09CF"/>
    <w:rsid w:val="005A1694"/>
    <w:rsid w:val="005A1DE1"/>
    <w:rsid w:val="005A2B6D"/>
    <w:rsid w:val="005A3C5D"/>
    <w:rsid w:val="005A4D48"/>
    <w:rsid w:val="005A551F"/>
    <w:rsid w:val="005A589F"/>
    <w:rsid w:val="005A7F3B"/>
    <w:rsid w:val="005B0663"/>
    <w:rsid w:val="005B06A0"/>
    <w:rsid w:val="005B1467"/>
    <w:rsid w:val="005B1824"/>
    <w:rsid w:val="005B2139"/>
    <w:rsid w:val="005B2749"/>
    <w:rsid w:val="005B2CD7"/>
    <w:rsid w:val="005B2F3D"/>
    <w:rsid w:val="005B30C8"/>
    <w:rsid w:val="005B340C"/>
    <w:rsid w:val="005B4AE2"/>
    <w:rsid w:val="005B5077"/>
    <w:rsid w:val="005B53E8"/>
    <w:rsid w:val="005B53F1"/>
    <w:rsid w:val="005B58D8"/>
    <w:rsid w:val="005B680E"/>
    <w:rsid w:val="005B68D3"/>
    <w:rsid w:val="005B7554"/>
    <w:rsid w:val="005C06C9"/>
    <w:rsid w:val="005C0B06"/>
    <w:rsid w:val="005C1535"/>
    <w:rsid w:val="005C1890"/>
    <w:rsid w:val="005C272F"/>
    <w:rsid w:val="005C71CB"/>
    <w:rsid w:val="005C7DD8"/>
    <w:rsid w:val="005D17D6"/>
    <w:rsid w:val="005D2CD4"/>
    <w:rsid w:val="005D3530"/>
    <w:rsid w:val="005D36A3"/>
    <w:rsid w:val="005D3C4B"/>
    <w:rsid w:val="005D47B4"/>
    <w:rsid w:val="005D5C86"/>
    <w:rsid w:val="005D76C0"/>
    <w:rsid w:val="005D7C52"/>
    <w:rsid w:val="005E03E8"/>
    <w:rsid w:val="005E067D"/>
    <w:rsid w:val="005E0791"/>
    <w:rsid w:val="005E0DE7"/>
    <w:rsid w:val="005E4A8E"/>
    <w:rsid w:val="005E4DB0"/>
    <w:rsid w:val="005E6A5B"/>
    <w:rsid w:val="005E73B5"/>
    <w:rsid w:val="005F0E60"/>
    <w:rsid w:val="005F3044"/>
    <w:rsid w:val="005F45A1"/>
    <w:rsid w:val="005F4F47"/>
    <w:rsid w:val="005F69B2"/>
    <w:rsid w:val="005F6CE3"/>
    <w:rsid w:val="005F7F2C"/>
    <w:rsid w:val="0060030C"/>
    <w:rsid w:val="00600BE3"/>
    <w:rsid w:val="00601883"/>
    <w:rsid w:val="006035A9"/>
    <w:rsid w:val="00603831"/>
    <w:rsid w:val="0060598B"/>
    <w:rsid w:val="006059F2"/>
    <w:rsid w:val="006060B7"/>
    <w:rsid w:val="00610DD1"/>
    <w:rsid w:val="00611097"/>
    <w:rsid w:val="00611CF2"/>
    <w:rsid w:val="0061204E"/>
    <w:rsid w:val="00612495"/>
    <w:rsid w:val="006125FC"/>
    <w:rsid w:val="0061408D"/>
    <w:rsid w:val="0061596E"/>
    <w:rsid w:val="00615C07"/>
    <w:rsid w:val="00617119"/>
    <w:rsid w:val="00617F4C"/>
    <w:rsid w:val="00621402"/>
    <w:rsid w:val="006214CD"/>
    <w:rsid w:val="00621A47"/>
    <w:rsid w:val="00621AF7"/>
    <w:rsid w:val="00621D3C"/>
    <w:rsid w:val="00621DD5"/>
    <w:rsid w:val="0062252E"/>
    <w:rsid w:val="00624610"/>
    <w:rsid w:val="00624E6B"/>
    <w:rsid w:val="006250AB"/>
    <w:rsid w:val="00625881"/>
    <w:rsid w:val="00625EAD"/>
    <w:rsid w:val="00627935"/>
    <w:rsid w:val="0063176E"/>
    <w:rsid w:val="006324A8"/>
    <w:rsid w:val="00633625"/>
    <w:rsid w:val="006340CB"/>
    <w:rsid w:val="006351A8"/>
    <w:rsid w:val="00635C83"/>
    <w:rsid w:val="006368A4"/>
    <w:rsid w:val="00637C66"/>
    <w:rsid w:val="00640E6F"/>
    <w:rsid w:val="00641CC8"/>
    <w:rsid w:val="00641F61"/>
    <w:rsid w:val="00642862"/>
    <w:rsid w:val="006428D8"/>
    <w:rsid w:val="00643FE2"/>
    <w:rsid w:val="0064405C"/>
    <w:rsid w:val="0064493B"/>
    <w:rsid w:val="00645FEC"/>
    <w:rsid w:val="006478EF"/>
    <w:rsid w:val="00650828"/>
    <w:rsid w:val="00651638"/>
    <w:rsid w:val="00651CA4"/>
    <w:rsid w:val="00651F2E"/>
    <w:rsid w:val="00652B3D"/>
    <w:rsid w:val="00652ECD"/>
    <w:rsid w:val="00653244"/>
    <w:rsid w:val="00653314"/>
    <w:rsid w:val="00656A67"/>
    <w:rsid w:val="006571E3"/>
    <w:rsid w:val="006613F1"/>
    <w:rsid w:val="00661E6B"/>
    <w:rsid w:val="00662DC4"/>
    <w:rsid w:val="00665455"/>
    <w:rsid w:val="0066604E"/>
    <w:rsid w:val="00666BFF"/>
    <w:rsid w:val="006674EB"/>
    <w:rsid w:val="00667859"/>
    <w:rsid w:val="00667C5F"/>
    <w:rsid w:val="006714B1"/>
    <w:rsid w:val="00671F67"/>
    <w:rsid w:val="00672E75"/>
    <w:rsid w:val="00672EF8"/>
    <w:rsid w:val="00672EF9"/>
    <w:rsid w:val="006741C3"/>
    <w:rsid w:val="00674A81"/>
    <w:rsid w:val="00675FA7"/>
    <w:rsid w:val="00676FAA"/>
    <w:rsid w:val="00677BD4"/>
    <w:rsid w:val="00682816"/>
    <w:rsid w:val="00682DCF"/>
    <w:rsid w:val="00683683"/>
    <w:rsid w:val="0068368E"/>
    <w:rsid w:val="00683BDE"/>
    <w:rsid w:val="006843E7"/>
    <w:rsid w:val="006908C6"/>
    <w:rsid w:val="00691626"/>
    <w:rsid w:val="00691995"/>
    <w:rsid w:val="00691C57"/>
    <w:rsid w:val="00692A45"/>
    <w:rsid w:val="00692BB7"/>
    <w:rsid w:val="00695256"/>
    <w:rsid w:val="00695478"/>
    <w:rsid w:val="006A010D"/>
    <w:rsid w:val="006A174E"/>
    <w:rsid w:val="006A4D91"/>
    <w:rsid w:val="006A5803"/>
    <w:rsid w:val="006A5FC1"/>
    <w:rsid w:val="006A6721"/>
    <w:rsid w:val="006A6AE2"/>
    <w:rsid w:val="006A6B13"/>
    <w:rsid w:val="006B0D12"/>
    <w:rsid w:val="006B11D4"/>
    <w:rsid w:val="006B19A7"/>
    <w:rsid w:val="006B1AEF"/>
    <w:rsid w:val="006B1E6C"/>
    <w:rsid w:val="006B2397"/>
    <w:rsid w:val="006B2484"/>
    <w:rsid w:val="006B3E58"/>
    <w:rsid w:val="006B5A3E"/>
    <w:rsid w:val="006B62D0"/>
    <w:rsid w:val="006B6BA6"/>
    <w:rsid w:val="006B6CFB"/>
    <w:rsid w:val="006B779C"/>
    <w:rsid w:val="006C083F"/>
    <w:rsid w:val="006C1206"/>
    <w:rsid w:val="006C148F"/>
    <w:rsid w:val="006C1531"/>
    <w:rsid w:val="006C1C9B"/>
    <w:rsid w:val="006C2815"/>
    <w:rsid w:val="006C6AD0"/>
    <w:rsid w:val="006D0192"/>
    <w:rsid w:val="006D24DC"/>
    <w:rsid w:val="006D26DC"/>
    <w:rsid w:val="006D4D39"/>
    <w:rsid w:val="006D7B82"/>
    <w:rsid w:val="006E02E5"/>
    <w:rsid w:val="006E3337"/>
    <w:rsid w:val="006E3B7E"/>
    <w:rsid w:val="006E49A8"/>
    <w:rsid w:val="006E4E99"/>
    <w:rsid w:val="006E62C3"/>
    <w:rsid w:val="006E63F5"/>
    <w:rsid w:val="006E72CB"/>
    <w:rsid w:val="006F09D0"/>
    <w:rsid w:val="006F0D04"/>
    <w:rsid w:val="006F10B8"/>
    <w:rsid w:val="006F23AE"/>
    <w:rsid w:val="006F584C"/>
    <w:rsid w:val="006F5DDC"/>
    <w:rsid w:val="00700DA0"/>
    <w:rsid w:val="00704DF8"/>
    <w:rsid w:val="00705625"/>
    <w:rsid w:val="007072B6"/>
    <w:rsid w:val="007073FA"/>
    <w:rsid w:val="0071076D"/>
    <w:rsid w:val="0071097D"/>
    <w:rsid w:val="00711626"/>
    <w:rsid w:val="00711E92"/>
    <w:rsid w:val="00712D98"/>
    <w:rsid w:val="00714254"/>
    <w:rsid w:val="00714B7A"/>
    <w:rsid w:val="0071728B"/>
    <w:rsid w:val="00720728"/>
    <w:rsid w:val="007213CC"/>
    <w:rsid w:val="0072163C"/>
    <w:rsid w:val="0072169F"/>
    <w:rsid w:val="0072195F"/>
    <w:rsid w:val="0072205C"/>
    <w:rsid w:val="00722DA2"/>
    <w:rsid w:val="00723BAB"/>
    <w:rsid w:val="00723DC7"/>
    <w:rsid w:val="00725402"/>
    <w:rsid w:val="007259AF"/>
    <w:rsid w:val="0072609A"/>
    <w:rsid w:val="007261AD"/>
    <w:rsid w:val="007267BD"/>
    <w:rsid w:val="00726E18"/>
    <w:rsid w:val="00734FC1"/>
    <w:rsid w:val="007350EE"/>
    <w:rsid w:val="00735B8E"/>
    <w:rsid w:val="007365FB"/>
    <w:rsid w:val="007379BA"/>
    <w:rsid w:val="00740EBC"/>
    <w:rsid w:val="0074152C"/>
    <w:rsid w:val="00741977"/>
    <w:rsid w:val="00743ED3"/>
    <w:rsid w:val="00744F71"/>
    <w:rsid w:val="0074617F"/>
    <w:rsid w:val="00747B8D"/>
    <w:rsid w:val="0075169E"/>
    <w:rsid w:val="007529CC"/>
    <w:rsid w:val="007534D5"/>
    <w:rsid w:val="0075402D"/>
    <w:rsid w:val="007549E2"/>
    <w:rsid w:val="00754FC0"/>
    <w:rsid w:val="0075682D"/>
    <w:rsid w:val="00756C97"/>
    <w:rsid w:val="00757960"/>
    <w:rsid w:val="00757C19"/>
    <w:rsid w:val="00757F2A"/>
    <w:rsid w:val="00760338"/>
    <w:rsid w:val="00761780"/>
    <w:rsid w:val="00765525"/>
    <w:rsid w:val="0076676A"/>
    <w:rsid w:val="00767BE3"/>
    <w:rsid w:val="007704C5"/>
    <w:rsid w:val="0077155B"/>
    <w:rsid w:val="007715FC"/>
    <w:rsid w:val="00771A81"/>
    <w:rsid w:val="00773533"/>
    <w:rsid w:val="007739B3"/>
    <w:rsid w:val="00776896"/>
    <w:rsid w:val="00776C74"/>
    <w:rsid w:val="00776C84"/>
    <w:rsid w:val="00781223"/>
    <w:rsid w:val="00783AFA"/>
    <w:rsid w:val="007844D5"/>
    <w:rsid w:val="0078629E"/>
    <w:rsid w:val="00786EE4"/>
    <w:rsid w:val="0079036E"/>
    <w:rsid w:val="00790ADA"/>
    <w:rsid w:val="00791470"/>
    <w:rsid w:val="00791FAC"/>
    <w:rsid w:val="00794F71"/>
    <w:rsid w:val="00795377"/>
    <w:rsid w:val="007959F4"/>
    <w:rsid w:val="00795B81"/>
    <w:rsid w:val="007961BB"/>
    <w:rsid w:val="00797465"/>
    <w:rsid w:val="007A0E40"/>
    <w:rsid w:val="007A1678"/>
    <w:rsid w:val="007A2605"/>
    <w:rsid w:val="007A2633"/>
    <w:rsid w:val="007A3A77"/>
    <w:rsid w:val="007A4A3C"/>
    <w:rsid w:val="007A4CB0"/>
    <w:rsid w:val="007A5515"/>
    <w:rsid w:val="007A5AB7"/>
    <w:rsid w:val="007A7A55"/>
    <w:rsid w:val="007B041B"/>
    <w:rsid w:val="007B1083"/>
    <w:rsid w:val="007B23B0"/>
    <w:rsid w:val="007B3193"/>
    <w:rsid w:val="007B39FC"/>
    <w:rsid w:val="007B46D9"/>
    <w:rsid w:val="007B4BD8"/>
    <w:rsid w:val="007B5050"/>
    <w:rsid w:val="007B5F00"/>
    <w:rsid w:val="007B6D6A"/>
    <w:rsid w:val="007C1EB2"/>
    <w:rsid w:val="007C3AE3"/>
    <w:rsid w:val="007C4640"/>
    <w:rsid w:val="007C6328"/>
    <w:rsid w:val="007D1185"/>
    <w:rsid w:val="007D1C97"/>
    <w:rsid w:val="007D1EBB"/>
    <w:rsid w:val="007D3685"/>
    <w:rsid w:val="007D3E65"/>
    <w:rsid w:val="007D4615"/>
    <w:rsid w:val="007D4B0B"/>
    <w:rsid w:val="007D4CF4"/>
    <w:rsid w:val="007D5189"/>
    <w:rsid w:val="007D59D5"/>
    <w:rsid w:val="007D6DA1"/>
    <w:rsid w:val="007E0AA0"/>
    <w:rsid w:val="007E124B"/>
    <w:rsid w:val="007E4F63"/>
    <w:rsid w:val="007E7461"/>
    <w:rsid w:val="007E746F"/>
    <w:rsid w:val="007E7A19"/>
    <w:rsid w:val="007F1446"/>
    <w:rsid w:val="007F1C93"/>
    <w:rsid w:val="007F1D22"/>
    <w:rsid w:val="007F24B7"/>
    <w:rsid w:val="007F45D2"/>
    <w:rsid w:val="007F489E"/>
    <w:rsid w:val="007F5E42"/>
    <w:rsid w:val="007F6C1D"/>
    <w:rsid w:val="007F70C6"/>
    <w:rsid w:val="007F75EA"/>
    <w:rsid w:val="007F7EF8"/>
    <w:rsid w:val="008030C0"/>
    <w:rsid w:val="00803FE3"/>
    <w:rsid w:val="008049A4"/>
    <w:rsid w:val="00805080"/>
    <w:rsid w:val="0080668E"/>
    <w:rsid w:val="008101AA"/>
    <w:rsid w:val="0081059E"/>
    <w:rsid w:val="00810E06"/>
    <w:rsid w:val="008116F8"/>
    <w:rsid w:val="0081182B"/>
    <w:rsid w:val="00812239"/>
    <w:rsid w:val="00812A15"/>
    <w:rsid w:val="00812B6A"/>
    <w:rsid w:val="00812D66"/>
    <w:rsid w:val="00813E11"/>
    <w:rsid w:val="00814658"/>
    <w:rsid w:val="00815094"/>
    <w:rsid w:val="00817A12"/>
    <w:rsid w:val="00817FE1"/>
    <w:rsid w:val="00822578"/>
    <w:rsid w:val="00823C53"/>
    <w:rsid w:val="0082501F"/>
    <w:rsid w:val="00827AF9"/>
    <w:rsid w:val="00827BA2"/>
    <w:rsid w:val="00834558"/>
    <w:rsid w:val="0083609C"/>
    <w:rsid w:val="00836EC1"/>
    <w:rsid w:val="00837476"/>
    <w:rsid w:val="00840BFE"/>
    <w:rsid w:val="008410D6"/>
    <w:rsid w:val="00843805"/>
    <w:rsid w:val="00843894"/>
    <w:rsid w:val="00844680"/>
    <w:rsid w:val="00844E40"/>
    <w:rsid w:val="008456AA"/>
    <w:rsid w:val="008458BB"/>
    <w:rsid w:val="0084653E"/>
    <w:rsid w:val="0084713E"/>
    <w:rsid w:val="008508EC"/>
    <w:rsid w:val="00850CCC"/>
    <w:rsid w:val="00850E6D"/>
    <w:rsid w:val="008538D0"/>
    <w:rsid w:val="00854260"/>
    <w:rsid w:val="00855240"/>
    <w:rsid w:val="0085596B"/>
    <w:rsid w:val="008559DC"/>
    <w:rsid w:val="0085736B"/>
    <w:rsid w:val="00857564"/>
    <w:rsid w:val="00857F3D"/>
    <w:rsid w:val="00860386"/>
    <w:rsid w:val="00860D15"/>
    <w:rsid w:val="00861106"/>
    <w:rsid w:val="008620DA"/>
    <w:rsid w:val="00863A45"/>
    <w:rsid w:val="00864899"/>
    <w:rsid w:val="00865257"/>
    <w:rsid w:val="00865677"/>
    <w:rsid w:val="00865A04"/>
    <w:rsid w:val="00867856"/>
    <w:rsid w:val="008717F2"/>
    <w:rsid w:val="00874FEA"/>
    <w:rsid w:val="008769BC"/>
    <w:rsid w:val="0088176D"/>
    <w:rsid w:val="008839B5"/>
    <w:rsid w:val="00884636"/>
    <w:rsid w:val="00886228"/>
    <w:rsid w:val="00886660"/>
    <w:rsid w:val="008876B1"/>
    <w:rsid w:val="0089188A"/>
    <w:rsid w:val="008918F6"/>
    <w:rsid w:val="00892559"/>
    <w:rsid w:val="0089370C"/>
    <w:rsid w:val="00894361"/>
    <w:rsid w:val="00894678"/>
    <w:rsid w:val="008947C8"/>
    <w:rsid w:val="00894AC2"/>
    <w:rsid w:val="00895440"/>
    <w:rsid w:val="00895C2E"/>
    <w:rsid w:val="008972CE"/>
    <w:rsid w:val="008A0D30"/>
    <w:rsid w:val="008A2DEB"/>
    <w:rsid w:val="008A3079"/>
    <w:rsid w:val="008A3806"/>
    <w:rsid w:val="008A6CDC"/>
    <w:rsid w:val="008A7AE2"/>
    <w:rsid w:val="008B3117"/>
    <w:rsid w:val="008B5336"/>
    <w:rsid w:val="008B5B97"/>
    <w:rsid w:val="008B64D4"/>
    <w:rsid w:val="008B77EF"/>
    <w:rsid w:val="008C040B"/>
    <w:rsid w:val="008C052F"/>
    <w:rsid w:val="008C2B2D"/>
    <w:rsid w:val="008C535F"/>
    <w:rsid w:val="008C54BE"/>
    <w:rsid w:val="008C5730"/>
    <w:rsid w:val="008C669B"/>
    <w:rsid w:val="008C679F"/>
    <w:rsid w:val="008C7316"/>
    <w:rsid w:val="008C79BB"/>
    <w:rsid w:val="008D0198"/>
    <w:rsid w:val="008D0725"/>
    <w:rsid w:val="008D0A67"/>
    <w:rsid w:val="008D0C89"/>
    <w:rsid w:val="008D356C"/>
    <w:rsid w:val="008D3586"/>
    <w:rsid w:val="008D359E"/>
    <w:rsid w:val="008D5313"/>
    <w:rsid w:val="008D5473"/>
    <w:rsid w:val="008D740E"/>
    <w:rsid w:val="008D7497"/>
    <w:rsid w:val="008E0438"/>
    <w:rsid w:val="008E0F9E"/>
    <w:rsid w:val="008E383D"/>
    <w:rsid w:val="008E4243"/>
    <w:rsid w:val="008E5614"/>
    <w:rsid w:val="008E6BF4"/>
    <w:rsid w:val="008F023C"/>
    <w:rsid w:val="008F0EA8"/>
    <w:rsid w:val="008F10E1"/>
    <w:rsid w:val="008F1432"/>
    <w:rsid w:val="008F159D"/>
    <w:rsid w:val="008F1999"/>
    <w:rsid w:val="008F1D00"/>
    <w:rsid w:val="008F2342"/>
    <w:rsid w:val="008F2C2F"/>
    <w:rsid w:val="008F3A65"/>
    <w:rsid w:val="008F474F"/>
    <w:rsid w:val="008F488F"/>
    <w:rsid w:val="008F4D63"/>
    <w:rsid w:val="008F5141"/>
    <w:rsid w:val="008F68E7"/>
    <w:rsid w:val="0090184D"/>
    <w:rsid w:val="00903191"/>
    <w:rsid w:val="009039CC"/>
    <w:rsid w:val="00903EA0"/>
    <w:rsid w:val="0091115D"/>
    <w:rsid w:val="00911FA9"/>
    <w:rsid w:val="00912722"/>
    <w:rsid w:val="00913EC8"/>
    <w:rsid w:val="00914D26"/>
    <w:rsid w:val="00915F20"/>
    <w:rsid w:val="0091605A"/>
    <w:rsid w:val="009169D3"/>
    <w:rsid w:val="00916B77"/>
    <w:rsid w:val="00917E46"/>
    <w:rsid w:val="00917F3B"/>
    <w:rsid w:val="009200A3"/>
    <w:rsid w:val="00920436"/>
    <w:rsid w:val="00921ABA"/>
    <w:rsid w:val="00922543"/>
    <w:rsid w:val="0092293A"/>
    <w:rsid w:val="00923CCD"/>
    <w:rsid w:val="00924AC4"/>
    <w:rsid w:val="00924EAE"/>
    <w:rsid w:val="00925941"/>
    <w:rsid w:val="00925F72"/>
    <w:rsid w:val="00926F8F"/>
    <w:rsid w:val="00927750"/>
    <w:rsid w:val="00927B1D"/>
    <w:rsid w:val="009308DE"/>
    <w:rsid w:val="00931B58"/>
    <w:rsid w:val="00934427"/>
    <w:rsid w:val="009344CA"/>
    <w:rsid w:val="00934B88"/>
    <w:rsid w:val="00935409"/>
    <w:rsid w:val="009373D6"/>
    <w:rsid w:val="00937ABF"/>
    <w:rsid w:val="00942BC6"/>
    <w:rsid w:val="009432E7"/>
    <w:rsid w:val="009438AC"/>
    <w:rsid w:val="00944DFC"/>
    <w:rsid w:val="009452D0"/>
    <w:rsid w:val="009523EE"/>
    <w:rsid w:val="00953536"/>
    <w:rsid w:val="009553E3"/>
    <w:rsid w:val="009559B8"/>
    <w:rsid w:val="00957012"/>
    <w:rsid w:val="00960CC2"/>
    <w:rsid w:val="00960F2B"/>
    <w:rsid w:val="00961516"/>
    <w:rsid w:val="00961EFA"/>
    <w:rsid w:val="009625BA"/>
    <w:rsid w:val="00962E16"/>
    <w:rsid w:val="0096580F"/>
    <w:rsid w:val="00965FC6"/>
    <w:rsid w:val="0096606D"/>
    <w:rsid w:val="009661ED"/>
    <w:rsid w:val="00967A82"/>
    <w:rsid w:val="009704EE"/>
    <w:rsid w:val="00971AE4"/>
    <w:rsid w:val="0097424F"/>
    <w:rsid w:val="00974428"/>
    <w:rsid w:val="00975327"/>
    <w:rsid w:val="00977B8E"/>
    <w:rsid w:val="00980369"/>
    <w:rsid w:val="00980AE9"/>
    <w:rsid w:val="00982C95"/>
    <w:rsid w:val="0098383B"/>
    <w:rsid w:val="009839E4"/>
    <w:rsid w:val="00986190"/>
    <w:rsid w:val="00987613"/>
    <w:rsid w:val="00987862"/>
    <w:rsid w:val="00987E95"/>
    <w:rsid w:val="00987F73"/>
    <w:rsid w:val="00987FBE"/>
    <w:rsid w:val="00990288"/>
    <w:rsid w:val="00990499"/>
    <w:rsid w:val="00990713"/>
    <w:rsid w:val="00990A55"/>
    <w:rsid w:val="00991892"/>
    <w:rsid w:val="009919BC"/>
    <w:rsid w:val="00991DF3"/>
    <w:rsid w:val="00993EA0"/>
    <w:rsid w:val="00995381"/>
    <w:rsid w:val="00995ABE"/>
    <w:rsid w:val="009969C6"/>
    <w:rsid w:val="009A0CED"/>
    <w:rsid w:val="009A14E5"/>
    <w:rsid w:val="009A1B0A"/>
    <w:rsid w:val="009A235D"/>
    <w:rsid w:val="009A23FE"/>
    <w:rsid w:val="009A277B"/>
    <w:rsid w:val="009A3E29"/>
    <w:rsid w:val="009A4505"/>
    <w:rsid w:val="009A4588"/>
    <w:rsid w:val="009A4A0C"/>
    <w:rsid w:val="009A4A58"/>
    <w:rsid w:val="009A65A3"/>
    <w:rsid w:val="009B0276"/>
    <w:rsid w:val="009B0364"/>
    <w:rsid w:val="009B23DF"/>
    <w:rsid w:val="009B3D10"/>
    <w:rsid w:val="009B3D30"/>
    <w:rsid w:val="009B43BD"/>
    <w:rsid w:val="009C0296"/>
    <w:rsid w:val="009C03AA"/>
    <w:rsid w:val="009C2109"/>
    <w:rsid w:val="009C3CA9"/>
    <w:rsid w:val="009C3DC4"/>
    <w:rsid w:val="009C57F7"/>
    <w:rsid w:val="009C5A60"/>
    <w:rsid w:val="009C5B88"/>
    <w:rsid w:val="009C673C"/>
    <w:rsid w:val="009C6A74"/>
    <w:rsid w:val="009C70C4"/>
    <w:rsid w:val="009D06CD"/>
    <w:rsid w:val="009D0C25"/>
    <w:rsid w:val="009D0FC8"/>
    <w:rsid w:val="009D2E3A"/>
    <w:rsid w:val="009D3002"/>
    <w:rsid w:val="009D37AB"/>
    <w:rsid w:val="009D3DB5"/>
    <w:rsid w:val="009D5994"/>
    <w:rsid w:val="009D655D"/>
    <w:rsid w:val="009D7283"/>
    <w:rsid w:val="009D7478"/>
    <w:rsid w:val="009E0B64"/>
    <w:rsid w:val="009E0B6D"/>
    <w:rsid w:val="009E0E4E"/>
    <w:rsid w:val="009E21E2"/>
    <w:rsid w:val="009E3A14"/>
    <w:rsid w:val="009E59A4"/>
    <w:rsid w:val="009E5BDB"/>
    <w:rsid w:val="009E6103"/>
    <w:rsid w:val="009E6C12"/>
    <w:rsid w:val="009E799B"/>
    <w:rsid w:val="009F0B41"/>
    <w:rsid w:val="009F1CCB"/>
    <w:rsid w:val="009F4332"/>
    <w:rsid w:val="009F5A5A"/>
    <w:rsid w:val="009F734C"/>
    <w:rsid w:val="00A00389"/>
    <w:rsid w:val="00A008BA"/>
    <w:rsid w:val="00A00948"/>
    <w:rsid w:val="00A01AEC"/>
    <w:rsid w:val="00A035F4"/>
    <w:rsid w:val="00A0367A"/>
    <w:rsid w:val="00A06A41"/>
    <w:rsid w:val="00A07227"/>
    <w:rsid w:val="00A073C9"/>
    <w:rsid w:val="00A11F99"/>
    <w:rsid w:val="00A13BF3"/>
    <w:rsid w:val="00A14740"/>
    <w:rsid w:val="00A15CCF"/>
    <w:rsid w:val="00A16A3B"/>
    <w:rsid w:val="00A16E73"/>
    <w:rsid w:val="00A17711"/>
    <w:rsid w:val="00A2134C"/>
    <w:rsid w:val="00A22189"/>
    <w:rsid w:val="00A22A98"/>
    <w:rsid w:val="00A2398B"/>
    <w:rsid w:val="00A23C00"/>
    <w:rsid w:val="00A24333"/>
    <w:rsid w:val="00A2444D"/>
    <w:rsid w:val="00A264FF"/>
    <w:rsid w:val="00A2656A"/>
    <w:rsid w:val="00A26FEC"/>
    <w:rsid w:val="00A27943"/>
    <w:rsid w:val="00A30EDA"/>
    <w:rsid w:val="00A32FE8"/>
    <w:rsid w:val="00A344CF"/>
    <w:rsid w:val="00A3495C"/>
    <w:rsid w:val="00A41910"/>
    <w:rsid w:val="00A42479"/>
    <w:rsid w:val="00A42616"/>
    <w:rsid w:val="00A43EAE"/>
    <w:rsid w:val="00A44102"/>
    <w:rsid w:val="00A44ADA"/>
    <w:rsid w:val="00A450F2"/>
    <w:rsid w:val="00A4526A"/>
    <w:rsid w:val="00A453D6"/>
    <w:rsid w:val="00A4602B"/>
    <w:rsid w:val="00A47023"/>
    <w:rsid w:val="00A512BB"/>
    <w:rsid w:val="00A5158D"/>
    <w:rsid w:val="00A5323F"/>
    <w:rsid w:val="00A541C6"/>
    <w:rsid w:val="00A54C63"/>
    <w:rsid w:val="00A554C4"/>
    <w:rsid w:val="00A562AA"/>
    <w:rsid w:val="00A57F5F"/>
    <w:rsid w:val="00A6025D"/>
    <w:rsid w:val="00A6210E"/>
    <w:rsid w:val="00A62A30"/>
    <w:rsid w:val="00A636FE"/>
    <w:rsid w:val="00A6376D"/>
    <w:rsid w:val="00A64DB3"/>
    <w:rsid w:val="00A659B6"/>
    <w:rsid w:val="00A661DB"/>
    <w:rsid w:val="00A678AD"/>
    <w:rsid w:val="00A71E32"/>
    <w:rsid w:val="00A7248F"/>
    <w:rsid w:val="00A73E8B"/>
    <w:rsid w:val="00A73EEA"/>
    <w:rsid w:val="00A741B2"/>
    <w:rsid w:val="00A754FA"/>
    <w:rsid w:val="00A760C7"/>
    <w:rsid w:val="00A765FC"/>
    <w:rsid w:val="00A775A6"/>
    <w:rsid w:val="00A8094A"/>
    <w:rsid w:val="00A80B73"/>
    <w:rsid w:val="00A8157F"/>
    <w:rsid w:val="00A83D7E"/>
    <w:rsid w:val="00A8498C"/>
    <w:rsid w:val="00A85308"/>
    <w:rsid w:val="00A85656"/>
    <w:rsid w:val="00A8571B"/>
    <w:rsid w:val="00A86171"/>
    <w:rsid w:val="00A87759"/>
    <w:rsid w:val="00A87C24"/>
    <w:rsid w:val="00A90B19"/>
    <w:rsid w:val="00A92D53"/>
    <w:rsid w:val="00A93F6A"/>
    <w:rsid w:val="00A94129"/>
    <w:rsid w:val="00A942CE"/>
    <w:rsid w:val="00A95050"/>
    <w:rsid w:val="00A95E8E"/>
    <w:rsid w:val="00A966C1"/>
    <w:rsid w:val="00AA0070"/>
    <w:rsid w:val="00AA18C0"/>
    <w:rsid w:val="00AA2874"/>
    <w:rsid w:val="00AA2B0E"/>
    <w:rsid w:val="00AA2BBD"/>
    <w:rsid w:val="00AA6353"/>
    <w:rsid w:val="00AB0189"/>
    <w:rsid w:val="00AB1206"/>
    <w:rsid w:val="00AB139F"/>
    <w:rsid w:val="00AB305A"/>
    <w:rsid w:val="00AB3125"/>
    <w:rsid w:val="00AB3D93"/>
    <w:rsid w:val="00AB5036"/>
    <w:rsid w:val="00AB5182"/>
    <w:rsid w:val="00AB51C7"/>
    <w:rsid w:val="00AB7DE1"/>
    <w:rsid w:val="00AC0EAC"/>
    <w:rsid w:val="00AC2666"/>
    <w:rsid w:val="00AC27D6"/>
    <w:rsid w:val="00AC3E9C"/>
    <w:rsid w:val="00AC43DB"/>
    <w:rsid w:val="00AC45A0"/>
    <w:rsid w:val="00AC4DC4"/>
    <w:rsid w:val="00AC5776"/>
    <w:rsid w:val="00AD1199"/>
    <w:rsid w:val="00AD1C07"/>
    <w:rsid w:val="00AD1CD4"/>
    <w:rsid w:val="00AD1E0E"/>
    <w:rsid w:val="00AD33CE"/>
    <w:rsid w:val="00AD53FA"/>
    <w:rsid w:val="00AD5504"/>
    <w:rsid w:val="00AD680D"/>
    <w:rsid w:val="00AD7FFB"/>
    <w:rsid w:val="00AE02C6"/>
    <w:rsid w:val="00AE154B"/>
    <w:rsid w:val="00AE1824"/>
    <w:rsid w:val="00AE405B"/>
    <w:rsid w:val="00AE4278"/>
    <w:rsid w:val="00AE5047"/>
    <w:rsid w:val="00AE629E"/>
    <w:rsid w:val="00AE67E2"/>
    <w:rsid w:val="00AE6801"/>
    <w:rsid w:val="00AE7689"/>
    <w:rsid w:val="00AE7EF7"/>
    <w:rsid w:val="00AF0A94"/>
    <w:rsid w:val="00AF1DB8"/>
    <w:rsid w:val="00AF3353"/>
    <w:rsid w:val="00AF4989"/>
    <w:rsid w:val="00AF57B4"/>
    <w:rsid w:val="00AF6CAF"/>
    <w:rsid w:val="00AF7022"/>
    <w:rsid w:val="00AF70A5"/>
    <w:rsid w:val="00AF796B"/>
    <w:rsid w:val="00AF7BFF"/>
    <w:rsid w:val="00AF7DC3"/>
    <w:rsid w:val="00B00335"/>
    <w:rsid w:val="00B00682"/>
    <w:rsid w:val="00B00C29"/>
    <w:rsid w:val="00B00C38"/>
    <w:rsid w:val="00B00CE5"/>
    <w:rsid w:val="00B0167A"/>
    <w:rsid w:val="00B028E2"/>
    <w:rsid w:val="00B03129"/>
    <w:rsid w:val="00B03671"/>
    <w:rsid w:val="00B04031"/>
    <w:rsid w:val="00B05199"/>
    <w:rsid w:val="00B05D7C"/>
    <w:rsid w:val="00B07813"/>
    <w:rsid w:val="00B07F78"/>
    <w:rsid w:val="00B10521"/>
    <w:rsid w:val="00B11B98"/>
    <w:rsid w:val="00B11C72"/>
    <w:rsid w:val="00B12EFD"/>
    <w:rsid w:val="00B130FA"/>
    <w:rsid w:val="00B13339"/>
    <w:rsid w:val="00B14C5B"/>
    <w:rsid w:val="00B1579E"/>
    <w:rsid w:val="00B16B0C"/>
    <w:rsid w:val="00B2055A"/>
    <w:rsid w:val="00B20CE4"/>
    <w:rsid w:val="00B22906"/>
    <w:rsid w:val="00B23212"/>
    <w:rsid w:val="00B249AD"/>
    <w:rsid w:val="00B24A9C"/>
    <w:rsid w:val="00B24F94"/>
    <w:rsid w:val="00B25136"/>
    <w:rsid w:val="00B2523C"/>
    <w:rsid w:val="00B252C1"/>
    <w:rsid w:val="00B269ED"/>
    <w:rsid w:val="00B26D01"/>
    <w:rsid w:val="00B270D1"/>
    <w:rsid w:val="00B27D0F"/>
    <w:rsid w:val="00B3053D"/>
    <w:rsid w:val="00B309F5"/>
    <w:rsid w:val="00B31898"/>
    <w:rsid w:val="00B32705"/>
    <w:rsid w:val="00B33CFB"/>
    <w:rsid w:val="00B34017"/>
    <w:rsid w:val="00B34A8D"/>
    <w:rsid w:val="00B34FEA"/>
    <w:rsid w:val="00B35006"/>
    <w:rsid w:val="00B378CC"/>
    <w:rsid w:val="00B40907"/>
    <w:rsid w:val="00B41DC2"/>
    <w:rsid w:val="00B423F3"/>
    <w:rsid w:val="00B4648C"/>
    <w:rsid w:val="00B510B0"/>
    <w:rsid w:val="00B515D2"/>
    <w:rsid w:val="00B52F6E"/>
    <w:rsid w:val="00B53FD3"/>
    <w:rsid w:val="00B54ECF"/>
    <w:rsid w:val="00B56516"/>
    <w:rsid w:val="00B5658B"/>
    <w:rsid w:val="00B56CFA"/>
    <w:rsid w:val="00B57E2E"/>
    <w:rsid w:val="00B60AB7"/>
    <w:rsid w:val="00B60ECA"/>
    <w:rsid w:val="00B61DCA"/>
    <w:rsid w:val="00B61F9B"/>
    <w:rsid w:val="00B620BE"/>
    <w:rsid w:val="00B623CD"/>
    <w:rsid w:val="00B6367B"/>
    <w:rsid w:val="00B641E0"/>
    <w:rsid w:val="00B64B44"/>
    <w:rsid w:val="00B67A55"/>
    <w:rsid w:val="00B67F5D"/>
    <w:rsid w:val="00B701DC"/>
    <w:rsid w:val="00B70EB0"/>
    <w:rsid w:val="00B70FA0"/>
    <w:rsid w:val="00B7138C"/>
    <w:rsid w:val="00B717A1"/>
    <w:rsid w:val="00B7186A"/>
    <w:rsid w:val="00B73203"/>
    <w:rsid w:val="00B73471"/>
    <w:rsid w:val="00B7437F"/>
    <w:rsid w:val="00B746A3"/>
    <w:rsid w:val="00B746B0"/>
    <w:rsid w:val="00B7573F"/>
    <w:rsid w:val="00B75858"/>
    <w:rsid w:val="00B76DB3"/>
    <w:rsid w:val="00B7732C"/>
    <w:rsid w:val="00B77BDD"/>
    <w:rsid w:val="00B80208"/>
    <w:rsid w:val="00B808FD"/>
    <w:rsid w:val="00B811EE"/>
    <w:rsid w:val="00B8191C"/>
    <w:rsid w:val="00B81A35"/>
    <w:rsid w:val="00B82A08"/>
    <w:rsid w:val="00B83559"/>
    <w:rsid w:val="00B83D49"/>
    <w:rsid w:val="00B849B5"/>
    <w:rsid w:val="00B84E59"/>
    <w:rsid w:val="00B85082"/>
    <w:rsid w:val="00B858BA"/>
    <w:rsid w:val="00B873C7"/>
    <w:rsid w:val="00B90961"/>
    <w:rsid w:val="00B90AF4"/>
    <w:rsid w:val="00B9121F"/>
    <w:rsid w:val="00B91991"/>
    <w:rsid w:val="00B9230E"/>
    <w:rsid w:val="00B92B96"/>
    <w:rsid w:val="00B9376E"/>
    <w:rsid w:val="00B940E9"/>
    <w:rsid w:val="00B94C52"/>
    <w:rsid w:val="00B95400"/>
    <w:rsid w:val="00B95A5F"/>
    <w:rsid w:val="00B95CF6"/>
    <w:rsid w:val="00B96C3C"/>
    <w:rsid w:val="00B9701E"/>
    <w:rsid w:val="00B97171"/>
    <w:rsid w:val="00BA0BC4"/>
    <w:rsid w:val="00BA2269"/>
    <w:rsid w:val="00BA2BCB"/>
    <w:rsid w:val="00BA33DA"/>
    <w:rsid w:val="00BA504E"/>
    <w:rsid w:val="00BA5EA0"/>
    <w:rsid w:val="00BA74C0"/>
    <w:rsid w:val="00BA7F8A"/>
    <w:rsid w:val="00BB3499"/>
    <w:rsid w:val="00BB6C6E"/>
    <w:rsid w:val="00BB70AF"/>
    <w:rsid w:val="00BC0980"/>
    <w:rsid w:val="00BC10DF"/>
    <w:rsid w:val="00BC12A3"/>
    <w:rsid w:val="00BC1C44"/>
    <w:rsid w:val="00BC29A1"/>
    <w:rsid w:val="00BC2BFC"/>
    <w:rsid w:val="00BC3142"/>
    <w:rsid w:val="00BC3393"/>
    <w:rsid w:val="00BC5221"/>
    <w:rsid w:val="00BC5985"/>
    <w:rsid w:val="00BC5E50"/>
    <w:rsid w:val="00BC6612"/>
    <w:rsid w:val="00BD05B0"/>
    <w:rsid w:val="00BD06DF"/>
    <w:rsid w:val="00BD1278"/>
    <w:rsid w:val="00BD16BE"/>
    <w:rsid w:val="00BD359B"/>
    <w:rsid w:val="00BD394A"/>
    <w:rsid w:val="00BD5560"/>
    <w:rsid w:val="00BD5568"/>
    <w:rsid w:val="00BD70EF"/>
    <w:rsid w:val="00BD79D3"/>
    <w:rsid w:val="00BE02B9"/>
    <w:rsid w:val="00BE0725"/>
    <w:rsid w:val="00BE10B4"/>
    <w:rsid w:val="00BE1B20"/>
    <w:rsid w:val="00BE296F"/>
    <w:rsid w:val="00BE3524"/>
    <w:rsid w:val="00BE4442"/>
    <w:rsid w:val="00BF0480"/>
    <w:rsid w:val="00BF0A91"/>
    <w:rsid w:val="00BF3A54"/>
    <w:rsid w:val="00BF5B05"/>
    <w:rsid w:val="00BF5CE3"/>
    <w:rsid w:val="00BF71B3"/>
    <w:rsid w:val="00BF7BB7"/>
    <w:rsid w:val="00BF7E78"/>
    <w:rsid w:val="00C01A7F"/>
    <w:rsid w:val="00C01EEF"/>
    <w:rsid w:val="00C02101"/>
    <w:rsid w:val="00C02113"/>
    <w:rsid w:val="00C02A50"/>
    <w:rsid w:val="00C031C4"/>
    <w:rsid w:val="00C03464"/>
    <w:rsid w:val="00C03E6E"/>
    <w:rsid w:val="00C03FD1"/>
    <w:rsid w:val="00C049E6"/>
    <w:rsid w:val="00C04B83"/>
    <w:rsid w:val="00C05C67"/>
    <w:rsid w:val="00C05FFE"/>
    <w:rsid w:val="00C104DE"/>
    <w:rsid w:val="00C10A6D"/>
    <w:rsid w:val="00C10BE6"/>
    <w:rsid w:val="00C13525"/>
    <w:rsid w:val="00C14C46"/>
    <w:rsid w:val="00C15515"/>
    <w:rsid w:val="00C1634C"/>
    <w:rsid w:val="00C21023"/>
    <w:rsid w:val="00C223D6"/>
    <w:rsid w:val="00C248E4"/>
    <w:rsid w:val="00C26D71"/>
    <w:rsid w:val="00C307B4"/>
    <w:rsid w:val="00C3107A"/>
    <w:rsid w:val="00C31B34"/>
    <w:rsid w:val="00C322C8"/>
    <w:rsid w:val="00C32923"/>
    <w:rsid w:val="00C33066"/>
    <w:rsid w:val="00C3348B"/>
    <w:rsid w:val="00C337C3"/>
    <w:rsid w:val="00C34B33"/>
    <w:rsid w:val="00C35686"/>
    <w:rsid w:val="00C359A5"/>
    <w:rsid w:val="00C359C6"/>
    <w:rsid w:val="00C35A0D"/>
    <w:rsid w:val="00C35E11"/>
    <w:rsid w:val="00C365F4"/>
    <w:rsid w:val="00C370E0"/>
    <w:rsid w:val="00C374D7"/>
    <w:rsid w:val="00C40060"/>
    <w:rsid w:val="00C40B66"/>
    <w:rsid w:val="00C40D97"/>
    <w:rsid w:val="00C40DBF"/>
    <w:rsid w:val="00C42A95"/>
    <w:rsid w:val="00C43262"/>
    <w:rsid w:val="00C437C9"/>
    <w:rsid w:val="00C43960"/>
    <w:rsid w:val="00C45DA0"/>
    <w:rsid w:val="00C45E86"/>
    <w:rsid w:val="00C473B7"/>
    <w:rsid w:val="00C47845"/>
    <w:rsid w:val="00C502D5"/>
    <w:rsid w:val="00C515D1"/>
    <w:rsid w:val="00C517C9"/>
    <w:rsid w:val="00C52131"/>
    <w:rsid w:val="00C54CA0"/>
    <w:rsid w:val="00C56102"/>
    <w:rsid w:val="00C56167"/>
    <w:rsid w:val="00C56D40"/>
    <w:rsid w:val="00C6060A"/>
    <w:rsid w:val="00C60F64"/>
    <w:rsid w:val="00C63F46"/>
    <w:rsid w:val="00C63FCB"/>
    <w:rsid w:val="00C6784F"/>
    <w:rsid w:val="00C7118B"/>
    <w:rsid w:val="00C71C0C"/>
    <w:rsid w:val="00C73377"/>
    <w:rsid w:val="00C757B8"/>
    <w:rsid w:val="00C778AE"/>
    <w:rsid w:val="00C77AB9"/>
    <w:rsid w:val="00C77D3C"/>
    <w:rsid w:val="00C800BF"/>
    <w:rsid w:val="00C809B3"/>
    <w:rsid w:val="00C80E07"/>
    <w:rsid w:val="00C81108"/>
    <w:rsid w:val="00C82CA2"/>
    <w:rsid w:val="00C8768D"/>
    <w:rsid w:val="00C90396"/>
    <w:rsid w:val="00C90853"/>
    <w:rsid w:val="00C9151A"/>
    <w:rsid w:val="00C916C6"/>
    <w:rsid w:val="00C92846"/>
    <w:rsid w:val="00C928CA"/>
    <w:rsid w:val="00C92C55"/>
    <w:rsid w:val="00C93C04"/>
    <w:rsid w:val="00C94268"/>
    <w:rsid w:val="00C94DE3"/>
    <w:rsid w:val="00C97B08"/>
    <w:rsid w:val="00CA0BA4"/>
    <w:rsid w:val="00CA0D30"/>
    <w:rsid w:val="00CA0FDE"/>
    <w:rsid w:val="00CA2728"/>
    <w:rsid w:val="00CA2BE4"/>
    <w:rsid w:val="00CA31FD"/>
    <w:rsid w:val="00CA4987"/>
    <w:rsid w:val="00CA55DA"/>
    <w:rsid w:val="00CB0AA1"/>
    <w:rsid w:val="00CB0B93"/>
    <w:rsid w:val="00CB1778"/>
    <w:rsid w:val="00CB25F4"/>
    <w:rsid w:val="00CB30F5"/>
    <w:rsid w:val="00CB381C"/>
    <w:rsid w:val="00CB3C5B"/>
    <w:rsid w:val="00CB413F"/>
    <w:rsid w:val="00CB4B3A"/>
    <w:rsid w:val="00CB55FA"/>
    <w:rsid w:val="00CB5D45"/>
    <w:rsid w:val="00CB64C0"/>
    <w:rsid w:val="00CB64EA"/>
    <w:rsid w:val="00CB7138"/>
    <w:rsid w:val="00CC1135"/>
    <w:rsid w:val="00CC17E4"/>
    <w:rsid w:val="00CC3611"/>
    <w:rsid w:val="00CC537F"/>
    <w:rsid w:val="00CC54B6"/>
    <w:rsid w:val="00CC5BF1"/>
    <w:rsid w:val="00CC5C1D"/>
    <w:rsid w:val="00CC6AF5"/>
    <w:rsid w:val="00CC6B3A"/>
    <w:rsid w:val="00CC7082"/>
    <w:rsid w:val="00CC74B7"/>
    <w:rsid w:val="00CD2B47"/>
    <w:rsid w:val="00CD378F"/>
    <w:rsid w:val="00CD4BAE"/>
    <w:rsid w:val="00CD4E8E"/>
    <w:rsid w:val="00CD53CA"/>
    <w:rsid w:val="00CD6A64"/>
    <w:rsid w:val="00CD76EE"/>
    <w:rsid w:val="00CE003F"/>
    <w:rsid w:val="00CE0F9A"/>
    <w:rsid w:val="00CE11B2"/>
    <w:rsid w:val="00CE2688"/>
    <w:rsid w:val="00CE3DBA"/>
    <w:rsid w:val="00CE3E0E"/>
    <w:rsid w:val="00CE453D"/>
    <w:rsid w:val="00CE5050"/>
    <w:rsid w:val="00CE5947"/>
    <w:rsid w:val="00CE6334"/>
    <w:rsid w:val="00CE63D0"/>
    <w:rsid w:val="00CE692E"/>
    <w:rsid w:val="00CE75D4"/>
    <w:rsid w:val="00CF1A28"/>
    <w:rsid w:val="00CF1DC9"/>
    <w:rsid w:val="00CF2693"/>
    <w:rsid w:val="00CF2F42"/>
    <w:rsid w:val="00CF616F"/>
    <w:rsid w:val="00CF7FE4"/>
    <w:rsid w:val="00D00221"/>
    <w:rsid w:val="00D00B61"/>
    <w:rsid w:val="00D010AA"/>
    <w:rsid w:val="00D02125"/>
    <w:rsid w:val="00D02E49"/>
    <w:rsid w:val="00D030A0"/>
    <w:rsid w:val="00D033AA"/>
    <w:rsid w:val="00D0684B"/>
    <w:rsid w:val="00D0726A"/>
    <w:rsid w:val="00D072D6"/>
    <w:rsid w:val="00D07A8B"/>
    <w:rsid w:val="00D11741"/>
    <w:rsid w:val="00D12D7F"/>
    <w:rsid w:val="00D14ED8"/>
    <w:rsid w:val="00D16DD3"/>
    <w:rsid w:val="00D17995"/>
    <w:rsid w:val="00D17D91"/>
    <w:rsid w:val="00D202F5"/>
    <w:rsid w:val="00D20571"/>
    <w:rsid w:val="00D2075C"/>
    <w:rsid w:val="00D20C48"/>
    <w:rsid w:val="00D24EC1"/>
    <w:rsid w:val="00D26B1F"/>
    <w:rsid w:val="00D30B4E"/>
    <w:rsid w:val="00D31AA5"/>
    <w:rsid w:val="00D32063"/>
    <w:rsid w:val="00D32D5D"/>
    <w:rsid w:val="00D345C9"/>
    <w:rsid w:val="00D3565A"/>
    <w:rsid w:val="00D414CE"/>
    <w:rsid w:val="00D415E7"/>
    <w:rsid w:val="00D41C33"/>
    <w:rsid w:val="00D426FF"/>
    <w:rsid w:val="00D42FF8"/>
    <w:rsid w:val="00D44129"/>
    <w:rsid w:val="00D46091"/>
    <w:rsid w:val="00D46206"/>
    <w:rsid w:val="00D473A0"/>
    <w:rsid w:val="00D47653"/>
    <w:rsid w:val="00D50034"/>
    <w:rsid w:val="00D50CC5"/>
    <w:rsid w:val="00D511D0"/>
    <w:rsid w:val="00D52229"/>
    <w:rsid w:val="00D53B4E"/>
    <w:rsid w:val="00D548B4"/>
    <w:rsid w:val="00D54B4A"/>
    <w:rsid w:val="00D5569E"/>
    <w:rsid w:val="00D556CF"/>
    <w:rsid w:val="00D55EE1"/>
    <w:rsid w:val="00D55F77"/>
    <w:rsid w:val="00D563C3"/>
    <w:rsid w:val="00D5695F"/>
    <w:rsid w:val="00D56A17"/>
    <w:rsid w:val="00D56CBF"/>
    <w:rsid w:val="00D56D0F"/>
    <w:rsid w:val="00D57240"/>
    <w:rsid w:val="00D5743A"/>
    <w:rsid w:val="00D60871"/>
    <w:rsid w:val="00D61B9D"/>
    <w:rsid w:val="00D622F8"/>
    <w:rsid w:val="00D62F49"/>
    <w:rsid w:val="00D6391F"/>
    <w:rsid w:val="00D63EF4"/>
    <w:rsid w:val="00D66217"/>
    <w:rsid w:val="00D662BC"/>
    <w:rsid w:val="00D66E49"/>
    <w:rsid w:val="00D6728C"/>
    <w:rsid w:val="00D67883"/>
    <w:rsid w:val="00D715D6"/>
    <w:rsid w:val="00D715EC"/>
    <w:rsid w:val="00D719C1"/>
    <w:rsid w:val="00D7229C"/>
    <w:rsid w:val="00D72B3F"/>
    <w:rsid w:val="00D745DE"/>
    <w:rsid w:val="00D746D6"/>
    <w:rsid w:val="00D74759"/>
    <w:rsid w:val="00D77680"/>
    <w:rsid w:val="00D80C52"/>
    <w:rsid w:val="00D81028"/>
    <w:rsid w:val="00D81917"/>
    <w:rsid w:val="00D82334"/>
    <w:rsid w:val="00D82C60"/>
    <w:rsid w:val="00D83998"/>
    <w:rsid w:val="00D86149"/>
    <w:rsid w:val="00D8764C"/>
    <w:rsid w:val="00D91348"/>
    <w:rsid w:val="00D92A1B"/>
    <w:rsid w:val="00D944E7"/>
    <w:rsid w:val="00D963FA"/>
    <w:rsid w:val="00D96E18"/>
    <w:rsid w:val="00D970F6"/>
    <w:rsid w:val="00D97817"/>
    <w:rsid w:val="00D97B41"/>
    <w:rsid w:val="00DA05B0"/>
    <w:rsid w:val="00DA0F99"/>
    <w:rsid w:val="00DA255F"/>
    <w:rsid w:val="00DA279C"/>
    <w:rsid w:val="00DA2A83"/>
    <w:rsid w:val="00DA376C"/>
    <w:rsid w:val="00DA79DA"/>
    <w:rsid w:val="00DB0EC8"/>
    <w:rsid w:val="00DB4405"/>
    <w:rsid w:val="00DB47E6"/>
    <w:rsid w:val="00DB6B2D"/>
    <w:rsid w:val="00DB74C5"/>
    <w:rsid w:val="00DC09AE"/>
    <w:rsid w:val="00DC142A"/>
    <w:rsid w:val="00DC4C33"/>
    <w:rsid w:val="00DC5BC5"/>
    <w:rsid w:val="00DD13C9"/>
    <w:rsid w:val="00DD1D5C"/>
    <w:rsid w:val="00DD35AD"/>
    <w:rsid w:val="00DD3FBE"/>
    <w:rsid w:val="00DD535A"/>
    <w:rsid w:val="00DD589E"/>
    <w:rsid w:val="00DD58F6"/>
    <w:rsid w:val="00DE0CFE"/>
    <w:rsid w:val="00DE1FB2"/>
    <w:rsid w:val="00DE22BA"/>
    <w:rsid w:val="00DE3113"/>
    <w:rsid w:val="00DE34B5"/>
    <w:rsid w:val="00DE3CE7"/>
    <w:rsid w:val="00DE3E08"/>
    <w:rsid w:val="00DE3F20"/>
    <w:rsid w:val="00DE5159"/>
    <w:rsid w:val="00DE535E"/>
    <w:rsid w:val="00DE5E98"/>
    <w:rsid w:val="00DE62E1"/>
    <w:rsid w:val="00DE64E0"/>
    <w:rsid w:val="00DE7DE1"/>
    <w:rsid w:val="00DF095C"/>
    <w:rsid w:val="00DF1293"/>
    <w:rsid w:val="00DF706C"/>
    <w:rsid w:val="00DF734D"/>
    <w:rsid w:val="00E00DBB"/>
    <w:rsid w:val="00E017DE"/>
    <w:rsid w:val="00E033C2"/>
    <w:rsid w:val="00E03752"/>
    <w:rsid w:val="00E03835"/>
    <w:rsid w:val="00E043B4"/>
    <w:rsid w:val="00E04EA2"/>
    <w:rsid w:val="00E05683"/>
    <w:rsid w:val="00E103C1"/>
    <w:rsid w:val="00E10649"/>
    <w:rsid w:val="00E11E1E"/>
    <w:rsid w:val="00E11E27"/>
    <w:rsid w:val="00E12BE6"/>
    <w:rsid w:val="00E12F21"/>
    <w:rsid w:val="00E13091"/>
    <w:rsid w:val="00E15555"/>
    <w:rsid w:val="00E15A83"/>
    <w:rsid w:val="00E15F3F"/>
    <w:rsid w:val="00E1621D"/>
    <w:rsid w:val="00E162D5"/>
    <w:rsid w:val="00E16E48"/>
    <w:rsid w:val="00E177F8"/>
    <w:rsid w:val="00E17A02"/>
    <w:rsid w:val="00E209BD"/>
    <w:rsid w:val="00E222EC"/>
    <w:rsid w:val="00E2242E"/>
    <w:rsid w:val="00E2355C"/>
    <w:rsid w:val="00E236EB"/>
    <w:rsid w:val="00E23B1D"/>
    <w:rsid w:val="00E241C7"/>
    <w:rsid w:val="00E24DB0"/>
    <w:rsid w:val="00E255B5"/>
    <w:rsid w:val="00E263CA"/>
    <w:rsid w:val="00E263F2"/>
    <w:rsid w:val="00E303A4"/>
    <w:rsid w:val="00E30BB9"/>
    <w:rsid w:val="00E3310E"/>
    <w:rsid w:val="00E340E3"/>
    <w:rsid w:val="00E347E1"/>
    <w:rsid w:val="00E368B8"/>
    <w:rsid w:val="00E375A4"/>
    <w:rsid w:val="00E379F5"/>
    <w:rsid w:val="00E401B3"/>
    <w:rsid w:val="00E40810"/>
    <w:rsid w:val="00E41A80"/>
    <w:rsid w:val="00E41A87"/>
    <w:rsid w:val="00E4293A"/>
    <w:rsid w:val="00E436C8"/>
    <w:rsid w:val="00E45628"/>
    <w:rsid w:val="00E4562C"/>
    <w:rsid w:val="00E4610F"/>
    <w:rsid w:val="00E46A37"/>
    <w:rsid w:val="00E507E6"/>
    <w:rsid w:val="00E52799"/>
    <w:rsid w:val="00E52BFB"/>
    <w:rsid w:val="00E52CF6"/>
    <w:rsid w:val="00E53293"/>
    <w:rsid w:val="00E5382C"/>
    <w:rsid w:val="00E546D6"/>
    <w:rsid w:val="00E55654"/>
    <w:rsid w:val="00E562D3"/>
    <w:rsid w:val="00E5708B"/>
    <w:rsid w:val="00E57B9C"/>
    <w:rsid w:val="00E57E78"/>
    <w:rsid w:val="00E6032F"/>
    <w:rsid w:val="00E6149C"/>
    <w:rsid w:val="00E615C3"/>
    <w:rsid w:val="00E61F11"/>
    <w:rsid w:val="00E6251F"/>
    <w:rsid w:val="00E63365"/>
    <w:rsid w:val="00E64988"/>
    <w:rsid w:val="00E64998"/>
    <w:rsid w:val="00E64EDE"/>
    <w:rsid w:val="00E654EA"/>
    <w:rsid w:val="00E66965"/>
    <w:rsid w:val="00E67583"/>
    <w:rsid w:val="00E7030A"/>
    <w:rsid w:val="00E72A35"/>
    <w:rsid w:val="00E7445C"/>
    <w:rsid w:val="00E7530A"/>
    <w:rsid w:val="00E754D4"/>
    <w:rsid w:val="00E76B6C"/>
    <w:rsid w:val="00E773BC"/>
    <w:rsid w:val="00E81D11"/>
    <w:rsid w:val="00E8296F"/>
    <w:rsid w:val="00E82CD7"/>
    <w:rsid w:val="00E84E44"/>
    <w:rsid w:val="00E862A6"/>
    <w:rsid w:val="00E8696A"/>
    <w:rsid w:val="00E86FCD"/>
    <w:rsid w:val="00E87E5F"/>
    <w:rsid w:val="00E907F8"/>
    <w:rsid w:val="00E921A9"/>
    <w:rsid w:val="00E92D80"/>
    <w:rsid w:val="00E94F55"/>
    <w:rsid w:val="00E950F9"/>
    <w:rsid w:val="00E95579"/>
    <w:rsid w:val="00E971FA"/>
    <w:rsid w:val="00E972AE"/>
    <w:rsid w:val="00E972BA"/>
    <w:rsid w:val="00E975F3"/>
    <w:rsid w:val="00E979B3"/>
    <w:rsid w:val="00EA01C0"/>
    <w:rsid w:val="00EA0FBF"/>
    <w:rsid w:val="00EA1BA8"/>
    <w:rsid w:val="00EA35EF"/>
    <w:rsid w:val="00EA3B8A"/>
    <w:rsid w:val="00EA40D9"/>
    <w:rsid w:val="00EA695F"/>
    <w:rsid w:val="00EB1FCF"/>
    <w:rsid w:val="00EB2375"/>
    <w:rsid w:val="00EB24A8"/>
    <w:rsid w:val="00EB2B0A"/>
    <w:rsid w:val="00EB2BC5"/>
    <w:rsid w:val="00EB3197"/>
    <w:rsid w:val="00EB77CE"/>
    <w:rsid w:val="00EB7D31"/>
    <w:rsid w:val="00EC0BF5"/>
    <w:rsid w:val="00EC33DB"/>
    <w:rsid w:val="00EC596E"/>
    <w:rsid w:val="00EC5B48"/>
    <w:rsid w:val="00EC5BE6"/>
    <w:rsid w:val="00EC774C"/>
    <w:rsid w:val="00EC7B0C"/>
    <w:rsid w:val="00EC7C35"/>
    <w:rsid w:val="00ED04F7"/>
    <w:rsid w:val="00ED2975"/>
    <w:rsid w:val="00ED3116"/>
    <w:rsid w:val="00ED3655"/>
    <w:rsid w:val="00ED54D2"/>
    <w:rsid w:val="00ED688F"/>
    <w:rsid w:val="00EE068A"/>
    <w:rsid w:val="00EE1137"/>
    <w:rsid w:val="00EE1422"/>
    <w:rsid w:val="00EE1D27"/>
    <w:rsid w:val="00EE4BBD"/>
    <w:rsid w:val="00EE4FB9"/>
    <w:rsid w:val="00EE4FD2"/>
    <w:rsid w:val="00EE53CE"/>
    <w:rsid w:val="00EE6655"/>
    <w:rsid w:val="00EE79AE"/>
    <w:rsid w:val="00EE7CD4"/>
    <w:rsid w:val="00EF1139"/>
    <w:rsid w:val="00EF2257"/>
    <w:rsid w:val="00EF2CFB"/>
    <w:rsid w:val="00EF3901"/>
    <w:rsid w:val="00EF4D36"/>
    <w:rsid w:val="00EF5A6A"/>
    <w:rsid w:val="00EF657C"/>
    <w:rsid w:val="00EF6CE3"/>
    <w:rsid w:val="00F00F5A"/>
    <w:rsid w:val="00F01C71"/>
    <w:rsid w:val="00F01D75"/>
    <w:rsid w:val="00F02422"/>
    <w:rsid w:val="00F038C5"/>
    <w:rsid w:val="00F03A2C"/>
    <w:rsid w:val="00F0451C"/>
    <w:rsid w:val="00F052F7"/>
    <w:rsid w:val="00F054BE"/>
    <w:rsid w:val="00F06004"/>
    <w:rsid w:val="00F06F5F"/>
    <w:rsid w:val="00F1028D"/>
    <w:rsid w:val="00F121A4"/>
    <w:rsid w:val="00F12F0E"/>
    <w:rsid w:val="00F12F68"/>
    <w:rsid w:val="00F14E18"/>
    <w:rsid w:val="00F164D5"/>
    <w:rsid w:val="00F2027B"/>
    <w:rsid w:val="00F21D24"/>
    <w:rsid w:val="00F22E2D"/>
    <w:rsid w:val="00F237C3"/>
    <w:rsid w:val="00F244F3"/>
    <w:rsid w:val="00F26393"/>
    <w:rsid w:val="00F27229"/>
    <w:rsid w:val="00F274FD"/>
    <w:rsid w:val="00F319B4"/>
    <w:rsid w:val="00F32CCE"/>
    <w:rsid w:val="00F35504"/>
    <w:rsid w:val="00F36285"/>
    <w:rsid w:val="00F362BB"/>
    <w:rsid w:val="00F36938"/>
    <w:rsid w:val="00F40233"/>
    <w:rsid w:val="00F40C1A"/>
    <w:rsid w:val="00F417B6"/>
    <w:rsid w:val="00F41B3F"/>
    <w:rsid w:val="00F41EC4"/>
    <w:rsid w:val="00F42047"/>
    <w:rsid w:val="00F424E1"/>
    <w:rsid w:val="00F42AEB"/>
    <w:rsid w:val="00F43873"/>
    <w:rsid w:val="00F43C73"/>
    <w:rsid w:val="00F4430E"/>
    <w:rsid w:val="00F4484E"/>
    <w:rsid w:val="00F46976"/>
    <w:rsid w:val="00F4754B"/>
    <w:rsid w:val="00F5052C"/>
    <w:rsid w:val="00F506C9"/>
    <w:rsid w:val="00F50FEC"/>
    <w:rsid w:val="00F51D6B"/>
    <w:rsid w:val="00F52141"/>
    <w:rsid w:val="00F53529"/>
    <w:rsid w:val="00F54515"/>
    <w:rsid w:val="00F55203"/>
    <w:rsid w:val="00F6053A"/>
    <w:rsid w:val="00F614BA"/>
    <w:rsid w:val="00F62532"/>
    <w:rsid w:val="00F62553"/>
    <w:rsid w:val="00F63380"/>
    <w:rsid w:val="00F638F7"/>
    <w:rsid w:val="00F63F4C"/>
    <w:rsid w:val="00F643F9"/>
    <w:rsid w:val="00F65E3B"/>
    <w:rsid w:val="00F70698"/>
    <w:rsid w:val="00F70AA7"/>
    <w:rsid w:val="00F72393"/>
    <w:rsid w:val="00F7308F"/>
    <w:rsid w:val="00F73AB9"/>
    <w:rsid w:val="00F74591"/>
    <w:rsid w:val="00F74D0D"/>
    <w:rsid w:val="00F74D33"/>
    <w:rsid w:val="00F773BD"/>
    <w:rsid w:val="00F777FA"/>
    <w:rsid w:val="00F80AE1"/>
    <w:rsid w:val="00F8126E"/>
    <w:rsid w:val="00F82BA2"/>
    <w:rsid w:val="00F83F65"/>
    <w:rsid w:val="00F84F46"/>
    <w:rsid w:val="00F91889"/>
    <w:rsid w:val="00F9290C"/>
    <w:rsid w:val="00F937E8"/>
    <w:rsid w:val="00F97CB5"/>
    <w:rsid w:val="00FA1263"/>
    <w:rsid w:val="00FA1B5B"/>
    <w:rsid w:val="00FA1F8A"/>
    <w:rsid w:val="00FA2307"/>
    <w:rsid w:val="00FB0F9B"/>
    <w:rsid w:val="00FB1791"/>
    <w:rsid w:val="00FB2576"/>
    <w:rsid w:val="00FB4035"/>
    <w:rsid w:val="00FB453B"/>
    <w:rsid w:val="00FB4BEC"/>
    <w:rsid w:val="00FB4D73"/>
    <w:rsid w:val="00FB6A14"/>
    <w:rsid w:val="00FB6FDD"/>
    <w:rsid w:val="00FC0EC5"/>
    <w:rsid w:val="00FC1D39"/>
    <w:rsid w:val="00FC1FB3"/>
    <w:rsid w:val="00FC27F8"/>
    <w:rsid w:val="00FC4BB9"/>
    <w:rsid w:val="00FC5801"/>
    <w:rsid w:val="00FC6136"/>
    <w:rsid w:val="00FD0689"/>
    <w:rsid w:val="00FD1349"/>
    <w:rsid w:val="00FD14F5"/>
    <w:rsid w:val="00FD2BD1"/>
    <w:rsid w:val="00FD371C"/>
    <w:rsid w:val="00FD45DF"/>
    <w:rsid w:val="00FD5F36"/>
    <w:rsid w:val="00FD5FEE"/>
    <w:rsid w:val="00FD60B6"/>
    <w:rsid w:val="00FD6843"/>
    <w:rsid w:val="00FD7C7E"/>
    <w:rsid w:val="00FE047B"/>
    <w:rsid w:val="00FE0C35"/>
    <w:rsid w:val="00FE0C3D"/>
    <w:rsid w:val="00FE0F09"/>
    <w:rsid w:val="00FE1A31"/>
    <w:rsid w:val="00FE2039"/>
    <w:rsid w:val="00FE2C47"/>
    <w:rsid w:val="00FE3A1B"/>
    <w:rsid w:val="00FE4371"/>
    <w:rsid w:val="00FE64BC"/>
    <w:rsid w:val="00FE69FB"/>
    <w:rsid w:val="00FE76EB"/>
    <w:rsid w:val="00FE7CE0"/>
    <w:rsid w:val="00FF297D"/>
    <w:rsid w:val="00FF5ABF"/>
    <w:rsid w:val="00FF62E2"/>
    <w:rsid w:val="00FF6C64"/>
    <w:rsid w:val="00FF78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B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21D"/>
    <w:rPr>
      <w:sz w:val="16"/>
      <w:szCs w:val="16"/>
    </w:rPr>
  </w:style>
  <w:style w:type="paragraph" w:styleId="CommentText">
    <w:name w:val="annotation text"/>
    <w:basedOn w:val="Normal"/>
    <w:link w:val="CommentTextChar"/>
    <w:uiPriority w:val="99"/>
    <w:unhideWhenUsed/>
    <w:rsid w:val="00E1621D"/>
    <w:pPr>
      <w:spacing w:line="240" w:lineRule="auto"/>
    </w:pPr>
    <w:rPr>
      <w:sz w:val="20"/>
      <w:szCs w:val="20"/>
    </w:rPr>
  </w:style>
  <w:style w:type="character" w:customStyle="1" w:styleId="CommentTextChar">
    <w:name w:val="Comment Text Char"/>
    <w:basedOn w:val="DefaultParagraphFont"/>
    <w:link w:val="CommentText"/>
    <w:uiPriority w:val="99"/>
    <w:rsid w:val="00E1621D"/>
    <w:rPr>
      <w:sz w:val="20"/>
      <w:szCs w:val="20"/>
    </w:rPr>
  </w:style>
  <w:style w:type="paragraph" w:styleId="CommentSubject">
    <w:name w:val="annotation subject"/>
    <w:basedOn w:val="CommentText"/>
    <w:next w:val="CommentText"/>
    <w:link w:val="CommentSubjectChar"/>
    <w:uiPriority w:val="99"/>
    <w:semiHidden/>
    <w:unhideWhenUsed/>
    <w:rsid w:val="00E1621D"/>
    <w:rPr>
      <w:b/>
      <w:bCs/>
    </w:rPr>
  </w:style>
  <w:style w:type="character" w:customStyle="1" w:styleId="CommentSubjectChar">
    <w:name w:val="Comment Subject Char"/>
    <w:basedOn w:val="CommentTextChar"/>
    <w:link w:val="CommentSubject"/>
    <w:uiPriority w:val="99"/>
    <w:semiHidden/>
    <w:rsid w:val="00E1621D"/>
    <w:rPr>
      <w:b/>
      <w:bCs/>
      <w:sz w:val="20"/>
      <w:szCs w:val="20"/>
    </w:rPr>
  </w:style>
  <w:style w:type="paragraph" w:styleId="FootnoteText">
    <w:name w:val="footnote text"/>
    <w:basedOn w:val="Normal"/>
    <w:link w:val="FootnoteTextChar"/>
    <w:uiPriority w:val="99"/>
    <w:unhideWhenUsed/>
    <w:rsid w:val="00927750"/>
    <w:pPr>
      <w:spacing w:after="0" w:line="240" w:lineRule="auto"/>
    </w:pPr>
    <w:rPr>
      <w:sz w:val="20"/>
      <w:szCs w:val="20"/>
    </w:rPr>
  </w:style>
  <w:style w:type="character" w:customStyle="1" w:styleId="FootnoteTextChar">
    <w:name w:val="Footnote Text Char"/>
    <w:basedOn w:val="DefaultParagraphFont"/>
    <w:link w:val="FootnoteText"/>
    <w:uiPriority w:val="99"/>
    <w:rsid w:val="00927750"/>
    <w:rPr>
      <w:sz w:val="20"/>
      <w:szCs w:val="20"/>
    </w:rPr>
  </w:style>
  <w:style w:type="character" w:styleId="FootnoteReference">
    <w:name w:val="footnote reference"/>
    <w:basedOn w:val="DefaultParagraphFont"/>
    <w:uiPriority w:val="99"/>
    <w:semiHidden/>
    <w:unhideWhenUsed/>
    <w:rsid w:val="00927750"/>
    <w:rPr>
      <w:vertAlign w:val="superscript"/>
    </w:rPr>
  </w:style>
  <w:style w:type="character" w:styleId="EndnoteReference">
    <w:name w:val="endnote reference"/>
    <w:basedOn w:val="DefaultParagraphFont"/>
    <w:uiPriority w:val="99"/>
    <w:semiHidden/>
    <w:unhideWhenUsed/>
    <w:rsid w:val="00505C0E"/>
    <w:rPr>
      <w:vertAlign w:val="superscript"/>
    </w:rPr>
  </w:style>
  <w:style w:type="character" w:styleId="PlaceholderText">
    <w:name w:val="Placeholder Text"/>
    <w:basedOn w:val="DefaultParagraphFont"/>
    <w:uiPriority w:val="99"/>
    <w:semiHidden/>
    <w:rsid w:val="00843894"/>
    <w:rPr>
      <w:color w:val="808080"/>
    </w:rPr>
  </w:style>
  <w:style w:type="character" w:styleId="Hyperlink">
    <w:name w:val="Hyperlink"/>
    <w:basedOn w:val="DefaultParagraphFont"/>
    <w:uiPriority w:val="99"/>
    <w:unhideWhenUsed/>
    <w:rsid w:val="0033330E"/>
    <w:rPr>
      <w:color w:val="0000FF"/>
      <w:u w:val="single"/>
    </w:rPr>
  </w:style>
  <w:style w:type="paragraph" w:styleId="Bibliography">
    <w:name w:val="Bibliography"/>
    <w:basedOn w:val="Normal"/>
    <w:next w:val="Normal"/>
    <w:uiPriority w:val="37"/>
    <w:unhideWhenUsed/>
    <w:rsid w:val="006B2484"/>
    <w:pPr>
      <w:spacing w:after="0" w:line="240" w:lineRule="auto"/>
      <w:ind w:left="720" w:hanging="720"/>
    </w:pPr>
  </w:style>
  <w:style w:type="character" w:customStyle="1" w:styleId="cf01">
    <w:name w:val="cf01"/>
    <w:basedOn w:val="DefaultParagraphFont"/>
    <w:rsid w:val="003749D8"/>
    <w:rPr>
      <w:rFonts w:ascii="Segoe UI" w:hAnsi="Segoe UI" w:cs="Segoe UI" w:hint="default"/>
      <w:sz w:val="18"/>
      <w:szCs w:val="18"/>
    </w:rPr>
  </w:style>
  <w:style w:type="paragraph" w:styleId="Revision">
    <w:name w:val="Revision"/>
    <w:hidden/>
    <w:uiPriority w:val="99"/>
    <w:semiHidden/>
    <w:rsid w:val="0009422C"/>
    <w:pPr>
      <w:spacing w:after="0" w:line="240" w:lineRule="auto"/>
    </w:pPr>
  </w:style>
  <w:style w:type="paragraph" w:styleId="ListParagraph">
    <w:name w:val="List Paragraph"/>
    <w:basedOn w:val="Normal"/>
    <w:uiPriority w:val="34"/>
    <w:qFormat/>
    <w:rsid w:val="005A1694"/>
    <w:pPr>
      <w:ind w:left="720"/>
      <w:contextualSpacing/>
    </w:pPr>
  </w:style>
  <w:style w:type="paragraph" w:styleId="Caption">
    <w:name w:val="caption"/>
    <w:basedOn w:val="Normal"/>
    <w:next w:val="Normal"/>
    <w:uiPriority w:val="35"/>
    <w:unhideWhenUsed/>
    <w:qFormat/>
    <w:rsid w:val="00C94268"/>
    <w:pPr>
      <w:spacing w:after="200" w:line="240" w:lineRule="auto"/>
    </w:pPr>
    <w:rPr>
      <w:i/>
      <w:iCs/>
      <w:color w:val="44546A" w:themeColor="text2"/>
      <w:sz w:val="18"/>
      <w:szCs w:val="18"/>
    </w:rPr>
  </w:style>
  <w:style w:type="character" w:styleId="Strong">
    <w:name w:val="Strong"/>
    <w:basedOn w:val="DefaultParagraphFont"/>
    <w:uiPriority w:val="22"/>
    <w:qFormat/>
    <w:rsid w:val="00FE1A31"/>
    <w:rPr>
      <w:b/>
      <w:bCs/>
    </w:rPr>
  </w:style>
  <w:style w:type="character" w:styleId="Emphasis">
    <w:name w:val="Emphasis"/>
    <w:basedOn w:val="DefaultParagraphFont"/>
    <w:uiPriority w:val="20"/>
    <w:qFormat/>
    <w:rsid w:val="00FE1A31"/>
    <w:rPr>
      <w:i/>
      <w:iCs/>
    </w:rPr>
  </w:style>
  <w:style w:type="character" w:customStyle="1" w:styleId="cf11">
    <w:name w:val="cf11"/>
    <w:basedOn w:val="DefaultParagraphFont"/>
    <w:rsid w:val="00BD16BE"/>
    <w:rPr>
      <w:rFonts w:ascii="Segoe UI" w:hAnsi="Segoe UI" w:cs="Segoe UI" w:hint="default"/>
      <w:i/>
      <w:iCs/>
      <w:sz w:val="18"/>
      <w:szCs w:val="18"/>
    </w:rPr>
  </w:style>
  <w:style w:type="paragraph" w:customStyle="1" w:styleId="pf0">
    <w:name w:val="pf0"/>
    <w:basedOn w:val="Normal"/>
    <w:rsid w:val="00E5708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UnresolvedMention1">
    <w:name w:val="Unresolved Mention1"/>
    <w:basedOn w:val="DefaultParagraphFont"/>
    <w:uiPriority w:val="99"/>
    <w:semiHidden/>
    <w:unhideWhenUsed/>
    <w:rsid w:val="00EE1D27"/>
    <w:rPr>
      <w:color w:val="605E5C"/>
      <w:shd w:val="clear" w:color="auto" w:fill="E1DFDD"/>
    </w:rPr>
  </w:style>
  <w:style w:type="character" w:styleId="LineNumber">
    <w:name w:val="line number"/>
    <w:basedOn w:val="DefaultParagraphFont"/>
    <w:uiPriority w:val="99"/>
    <w:semiHidden/>
    <w:unhideWhenUsed/>
    <w:rsid w:val="00E8296F"/>
  </w:style>
  <w:style w:type="paragraph" w:styleId="Header">
    <w:name w:val="header"/>
    <w:basedOn w:val="Normal"/>
    <w:link w:val="HeaderChar"/>
    <w:uiPriority w:val="99"/>
    <w:unhideWhenUsed/>
    <w:rsid w:val="004673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7318"/>
  </w:style>
  <w:style w:type="paragraph" w:styleId="Footer">
    <w:name w:val="footer"/>
    <w:basedOn w:val="Normal"/>
    <w:link w:val="FooterChar"/>
    <w:uiPriority w:val="99"/>
    <w:unhideWhenUsed/>
    <w:rsid w:val="004673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7318"/>
  </w:style>
  <w:style w:type="numbering" w:customStyle="1" w:styleId="Style1">
    <w:name w:val="Style1"/>
    <w:uiPriority w:val="99"/>
    <w:rsid w:val="00CB0B93"/>
    <w:pPr>
      <w:numPr>
        <w:numId w:val="21"/>
      </w:numPr>
    </w:pPr>
  </w:style>
  <w:style w:type="numbering" w:customStyle="1" w:styleId="Style2">
    <w:name w:val="Style2"/>
    <w:uiPriority w:val="99"/>
    <w:rsid w:val="00CB0B93"/>
    <w:pPr>
      <w:numPr>
        <w:numId w:val="24"/>
      </w:numPr>
    </w:pPr>
  </w:style>
  <w:style w:type="paragraph" w:styleId="BalloonText">
    <w:name w:val="Balloon Text"/>
    <w:basedOn w:val="Normal"/>
    <w:link w:val="BalloonTextChar"/>
    <w:uiPriority w:val="99"/>
    <w:semiHidden/>
    <w:unhideWhenUsed/>
    <w:rsid w:val="00C90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396"/>
    <w:rPr>
      <w:rFonts w:ascii="Segoe UI" w:hAnsi="Segoe UI" w:cs="Segoe UI"/>
      <w:sz w:val="18"/>
      <w:szCs w:val="18"/>
    </w:rPr>
  </w:style>
  <w:style w:type="character" w:customStyle="1" w:styleId="UnresolvedMention2">
    <w:name w:val="Unresolved Mention2"/>
    <w:basedOn w:val="DefaultParagraphFont"/>
    <w:uiPriority w:val="99"/>
    <w:semiHidden/>
    <w:unhideWhenUsed/>
    <w:rsid w:val="00AE154B"/>
    <w:rPr>
      <w:color w:val="605E5C"/>
      <w:shd w:val="clear" w:color="auto" w:fill="E1DFDD"/>
    </w:rPr>
  </w:style>
  <w:style w:type="paragraph" w:styleId="NormalWeb">
    <w:name w:val="Normal (Web)"/>
    <w:basedOn w:val="Normal"/>
    <w:uiPriority w:val="99"/>
    <w:semiHidden/>
    <w:unhideWhenUsed/>
    <w:rsid w:val="00990499"/>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5480">
      <w:bodyDiv w:val="1"/>
      <w:marLeft w:val="0"/>
      <w:marRight w:val="0"/>
      <w:marTop w:val="0"/>
      <w:marBottom w:val="0"/>
      <w:divBdr>
        <w:top w:val="none" w:sz="0" w:space="0" w:color="auto"/>
        <w:left w:val="none" w:sz="0" w:space="0" w:color="auto"/>
        <w:bottom w:val="none" w:sz="0" w:space="0" w:color="auto"/>
        <w:right w:val="none" w:sz="0" w:space="0" w:color="auto"/>
      </w:divBdr>
    </w:div>
    <w:div w:id="417487244">
      <w:bodyDiv w:val="1"/>
      <w:marLeft w:val="0"/>
      <w:marRight w:val="0"/>
      <w:marTop w:val="0"/>
      <w:marBottom w:val="0"/>
      <w:divBdr>
        <w:top w:val="none" w:sz="0" w:space="0" w:color="auto"/>
        <w:left w:val="none" w:sz="0" w:space="0" w:color="auto"/>
        <w:bottom w:val="none" w:sz="0" w:space="0" w:color="auto"/>
        <w:right w:val="none" w:sz="0" w:space="0" w:color="auto"/>
      </w:divBdr>
    </w:div>
    <w:div w:id="489372916">
      <w:bodyDiv w:val="1"/>
      <w:marLeft w:val="0"/>
      <w:marRight w:val="0"/>
      <w:marTop w:val="0"/>
      <w:marBottom w:val="0"/>
      <w:divBdr>
        <w:top w:val="none" w:sz="0" w:space="0" w:color="auto"/>
        <w:left w:val="none" w:sz="0" w:space="0" w:color="auto"/>
        <w:bottom w:val="none" w:sz="0" w:space="0" w:color="auto"/>
        <w:right w:val="none" w:sz="0" w:space="0" w:color="auto"/>
      </w:divBdr>
    </w:div>
    <w:div w:id="1267008311">
      <w:bodyDiv w:val="1"/>
      <w:marLeft w:val="0"/>
      <w:marRight w:val="0"/>
      <w:marTop w:val="0"/>
      <w:marBottom w:val="0"/>
      <w:divBdr>
        <w:top w:val="none" w:sz="0" w:space="0" w:color="auto"/>
        <w:left w:val="none" w:sz="0" w:space="0" w:color="auto"/>
        <w:bottom w:val="none" w:sz="0" w:space="0" w:color="auto"/>
        <w:right w:val="none" w:sz="0" w:space="0" w:color="auto"/>
      </w:divBdr>
    </w:div>
    <w:div w:id="1484153717">
      <w:bodyDiv w:val="1"/>
      <w:marLeft w:val="0"/>
      <w:marRight w:val="0"/>
      <w:marTop w:val="0"/>
      <w:marBottom w:val="0"/>
      <w:divBdr>
        <w:top w:val="none" w:sz="0" w:space="0" w:color="auto"/>
        <w:left w:val="none" w:sz="0" w:space="0" w:color="auto"/>
        <w:bottom w:val="none" w:sz="0" w:space="0" w:color="auto"/>
        <w:right w:val="none" w:sz="0" w:space="0" w:color="auto"/>
      </w:divBdr>
    </w:div>
    <w:div w:id="1489858175">
      <w:bodyDiv w:val="1"/>
      <w:marLeft w:val="0"/>
      <w:marRight w:val="0"/>
      <w:marTop w:val="0"/>
      <w:marBottom w:val="0"/>
      <w:divBdr>
        <w:top w:val="none" w:sz="0" w:space="0" w:color="auto"/>
        <w:left w:val="none" w:sz="0" w:space="0" w:color="auto"/>
        <w:bottom w:val="none" w:sz="0" w:space="0" w:color="auto"/>
        <w:right w:val="none" w:sz="0" w:space="0" w:color="auto"/>
      </w:divBdr>
    </w:div>
    <w:div w:id="1682127447">
      <w:bodyDiv w:val="1"/>
      <w:marLeft w:val="0"/>
      <w:marRight w:val="0"/>
      <w:marTop w:val="0"/>
      <w:marBottom w:val="0"/>
      <w:divBdr>
        <w:top w:val="none" w:sz="0" w:space="0" w:color="auto"/>
        <w:left w:val="none" w:sz="0" w:space="0" w:color="auto"/>
        <w:bottom w:val="none" w:sz="0" w:space="0" w:color="auto"/>
        <w:right w:val="none" w:sz="0" w:space="0" w:color="auto"/>
      </w:divBdr>
    </w:div>
    <w:div w:id="1814255134">
      <w:bodyDiv w:val="1"/>
      <w:marLeft w:val="0"/>
      <w:marRight w:val="0"/>
      <w:marTop w:val="0"/>
      <w:marBottom w:val="0"/>
      <w:divBdr>
        <w:top w:val="none" w:sz="0" w:space="0" w:color="auto"/>
        <w:left w:val="none" w:sz="0" w:space="0" w:color="auto"/>
        <w:bottom w:val="none" w:sz="0" w:space="0" w:color="auto"/>
        <w:right w:val="none" w:sz="0" w:space="0" w:color="auto"/>
      </w:divBdr>
    </w:div>
    <w:div w:id="1816870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B78CA1E273F804A8059A6A4501CDE4D" ma:contentTypeVersion="4" ma:contentTypeDescription="Ein neues Dokument erstellen." ma:contentTypeScope="" ma:versionID="710d69e44d848fbc91b38b47688cff6e">
  <xsd:schema xmlns:xsd="http://www.w3.org/2001/XMLSchema" xmlns:xs="http://www.w3.org/2001/XMLSchema" xmlns:p="http://schemas.microsoft.com/office/2006/metadata/properties" xmlns:ns3="72999756-5984-46ed-b962-0c8fc1892251" targetNamespace="http://schemas.microsoft.com/office/2006/metadata/properties" ma:root="true" ma:fieldsID="7ecc7aa7025fc172fdbadbc9a6504d9e" ns3:_="">
    <xsd:import namespace="72999756-5984-46ed-b962-0c8fc18922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99756-5984-46ed-b962-0c8fc1892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C1183-4D62-4F29-9826-772CE7D73E91}">
  <ds:schemaRefs>
    <ds:schemaRef ds:uri="http://schemas.microsoft.com/sharepoint/v3/contenttype/forms"/>
  </ds:schemaRefs>
</ds:datastoreItem>
</file>

<file path=customXml/itemProps2.xml><?xml version="1.0" encoding="utf-8"?>
<ds:datastoreItem xmlns:ds="http://schemas.openxmlformats.org/officeDocument/2006/customXml" ds:itemID="{3EE92FA1-8D9C-4D8E-B0F6-507CB62F1951}">
  <ds:schemaRefs>
    <ds:schemaRef ds:uri="http://schemas.openxmlformats.org/officeDocument/2006/bibliography"/>
  </ds:schemaRefs>
</ds:datastoreItem>
</file>

<file path=customXml/itemProps3.xml><?xml version="1.0" encoding="utf-8"?>
<ds:datastoreItem xmlns:ds="http://schemas.openxmlformats.org/officeDocument/2006/customXml" ds:itemID="{A45556FC-3F72-4F5F-A252-D48A34EEDAB3}">
  <ds:schemaRefs>
    <ds:schemaRef ds:uri="http://schemas.microsoft.com/office/2006/documentManagement/types"/>
    <ds:schemaRef ds:uri="http://schemas.microsoft.com/office/infopath/2007/PartnerControls"/>
    <ds:schemaRef ds:uri="http://purl.org/dc/dcmitype/"/>
    <ds:schemaRef ds:uri="72999756-5984-46ed-b962-0c8fc1892251"/>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BAED4EEB-D4F8-419C-833B-A5BE9600D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99756-5984-46ed-b962-0c8fc1892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9980</Words>
  <Characters>62880</Characters>
  <Application>Microsoft Office Word</Application>
  <DocSecurity>0</DocSecurity>
  <Lines>524</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2023-11-06T16:27:00Z</dcterms:created>
  <dcterms:modified xsi:type="dcterms:W3CDTF">2023-11-17T10:41:00Z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id="tLCbn4GR"/&gt;&lt;style id="http://www.zotero.org/styles/taylor-and-francis-harvard-x" hasBibliography="1" bibliographyStyleHasBeenSet="1"/&gt;&lt;prefs&gt;&lt;pref name="fieldType" value="Field"/&gt;&lt;/prefs&gt;&lt;/data</vt:lpwstr>
  </property>
  <property fmtid="{D5CDD505-2E9C-101B-9397-08002B2CF9AE}" pid="3" name="ContentTypeId">
    <vt:lpwstr>0x010100FB78CA1E273F804A8059A6A4501CDE4D</vt:lpwstr>
  </property>
  <property fmtid="{D5CDD505-2E9C-101B-9397-08002B2CF9AE}" pid="4" name="ZOTERO_PREF_2">
    <vt:lpwstr>&gt;</vt:lpwstr>
  </property>
</Properties>
</file>