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D9BF9" w14:textId="77777777" w:rsidR="004C62A7" w:rsidRPr="004C62A7" w:rsidRDefault="004C62A7" w:rsidP="004C62A7">
      <w:pPr>
        <w:pStyle w:val="NormalWeb"/>
        <w:spacing w:before="0" w:beforeAutospacing="0" w:after="0" w:line="480" w:lineRule="auto"/>
        <w:rPr>
          <w:lang w:val="en-US"/>
        </w:rPr>
      </w:pPr>
      <w:r w:rsidRPr="004C62A7">
        <w:rPr>
          <w:b/>
          <w:bCs/>
          <w:lang w:val="en-US"/>
        </w:rPr>
        <w:t xml:space="preserve">Appendix B. </w:t>
      </w:r>
      <w:r w:rsidRPr="004C62A7">
        <w:rPr>
          <w:lang w:val="en-US"/>
        </w:rPr>
        <w:t>Percentage of the discarded data.</w:t>
      </w:r>
    </w:p>
    <w:p w14:paraId="47759BEA" w14:textId="77777777" w:rsidR="004C62A7" w:rsidRPr="004C62A7" w:rsidRDefault="004C62A7" w:rsidP="004C62A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2A7">
        <w:rPr>
          <w:rFonts w:ascii="Times New Roman" w:eastAsia="Times New Roman" w:hAnsi="Times New Roman" w:cs="Times New Roman"/>
          <w:sz w:val="24"/>
          <w:szCs w:val="24"/>
        </w:rPr>
        <w:t>All items where the coders did not agree on the status of a line (social vs non-social</w:t>
      </w:r>
      <w:proofErr w:type="gramStart"/>
      <w:r w:rsidRPr="004C62A7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4C62A7">
        <w:rPr>
          <w:rFonts w:ascii="Times New Roman" w:eastAsia="Times New Roman" w:hAnsi="Times New Roman" w:cs="Times New Roman"/>
          <w:sz w:val="24"/>
          <w:szCs w:val="24"/>
        </w:rPr>
        <w:t xml:space="preserve"> or a finer-grained annotation (see Table 1) were discarded from the analysis. Below, we describe the percentage of data that was discarded.</w:t>
      </w:r>
    </w:p>
    <w:p w14:paraId="5E1C2DB0" w14:textId="05EB2E89" w:rsidR="001151A1" w:rsidRPr="004C62A7" w:rsidRDefault="004C62A7" w:rsidP="004C62A7">
      <w:pPr>
        <w:spacing w:line="480" w:lineRule="auto"/>
        <w:rPr>
          <w:rFonts w:ascii="Times New Roman" w:hAnsi="Times New Roman" w:cs="Times New Roman"/>
        </w:rPr>
      </w:pPr>
      <w:bookmarkStart w:id="0" w:name="bookmark=id.2et92p0" w:colFirst="0" w:colLast="0"/>
      <w:bookmarkEnd w:id="0"/>
      <w:r w:rsidRPr="004C62A7">
        <w:rPr>
          <w:rFonts w:ascii="Times New Roman" w:hAnsi="Times New Roman" w:cs="Times New Roman"/>
        </w:rPr>
        <w:tab/>
        <w:t>In terms of sex in the first analysis, we discarded 44,223 (25%) observations from the dataset that females produced and 31,680 (31%) that were produced by males, as well as 307,175 (26%) word tokens from females and 236,422 (27%) from males. In the second, we discarded 66,610 (39%) observations from females and 42,308 (41%) from males, and in terms of word tokens, 528,052 (36%) of those produced by women and 347,623 (40%) by men. Concerning the level of education, we discarded between 17,943 (27%, high school) and 3,095 (36%, vocational) lines in terms of lines and between 360,469 (23%, higher education) and 8,387 (36%, children without education) of word tokens, both in the first analysis. We discarded between 25,131 lines (38%, higher education) and 74,277 (41%, higher education), as well as between 210,838 (35%, high school) and 10,215 (44%, children without education) word tokens. Finally, concerning age groups, the data set in the first analysis was reduced by between 22,582 (26%, age group 20–24) and 1,489 (35%, under 10 years of age) lines, as well as by between 164,680 (21%) and 6,889 (35%) word tokens within the same age groups. A similar pattern applied to the second analysis: we discarded the smallest percentage of observations from the age group 20‒24 (32,510 lines, 37%; 270,670 word tokens, 35%) and the most from the age group of adults over 40 years of age (3,662 lines, 42%) and children under the age of 10 (8,377 word tokens, 43%).</w:t>
      </w:r>
    </w:p>
    <w:sectPr w:rsidR="001151A1" w:rsidRPr="004C6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xNLE0s7AwMjM2MLVQ0lEKTi0uzszPAykwrAUAUnAwUSwAAAA="/>
  </w:docVars>
  <w:rsids>
    <w:rsidRoot w:val="001011F3"/>
    <w:rsid w:val="000363FB"/>
    <w:rsid w:val="001011F3"/>
    <w:rsid w:val="001151A1"/>
    <w:rsid w:val="004C62A7"/>
    <w:rsid w:val="004D7E49"/>
    <w:rsid w:val="005236E7"/>
    <w:rsid w:val="00604801"/>
    <w:rsid w:val="00F0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C7CE2-F6AF-4A6B-90D1-A4FCDC24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"/>
    <w:qFormat/>
    <w:rsid w:val="004C62A7"/>
    <w:pPr>
      <w:spacing w:after="0" w:line="276" w:lineRule="auto"/>
    </w:pPr>
    <w:rPr>
      <w:rFonts w:ascii="Arial" w:eastAsia="Arial" w:hAnsi="Arial" w:cs="Arial"/>
      <w:kern w:val="0"/>
      <w:lang w:val="en-US" w:eastAsia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F3"/>
    <w:pPr>
      <w:keepNext/>
      <w:keepLines/>
      <w:spacing w:before="360" w:after="80" w:line="240" w:lineRule="auto"/>
      <w:contextualSpacing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F3"/>
    <w:pPr>
      <w:keepNext/>
      <w:keepLines/>
      <w:spacing w:before="160" w:after="80" w:line="240" w:lineRule="auto"/>
      <w:contextualSpacing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F3"/>
    <w:pPr>
      <w:keepNext/>
      <w:keepLines/>
      <w:spacing w:before="160" w:after="80" w:line="240" w:lineRule="auto"/>
      <w:contextualSpacing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F3"/>
    <w:pPr>
      <w:keepNext/>
      <w:keepLines/>
      <w:spacing w:before="80" w:after="40" w:line="240" w:lineRule="auto"/>
      <w:contextualSpacing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0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F3"/>
    <w:pPr>
      <w:keepNext/>
      <w:keepLines/>
      <w:spacing w:before="80" w:after="40" w:line="240" w:lineRule="auto"/>
      <w:contextualSpacing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0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1F3"/>
    <w:pPr>
      <w:keepNext/>
      <w:keepLines/>
      <w:spacing w:before="40" w:line="240" w:lineRule="auto"/>
      <w:contextualSpacing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0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F3"/>
    <w:pPr>
      <w:keepNext/>
      <w:keepLines/>
      <w:spacing w:before="40" w:line="240" w:lineRule="auto"/>
      <w:contextualSpacing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0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F3"/>
    <w:pPr>
      <w:keepNext/>
      <w:keepLines/>
      <w:spacing w:line="240" w:lineRule="auto"/>
      <w:contextualSpacing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0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F3"/>
    <w:pPr>
      <w:keepNext/>
      <w:keepLines/>
      <w:spacing w:line="240" w:lineRule="auto"/>
      <w:contextualSpacing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0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1F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1F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1F3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1F3"/>
    <w:rPr>
      <w:rFonts w:eastAsiaTheme="majorEastAsia" w:cstheme="majorBidi"/>
      <w:i/>
      <w:iCs/>
      <w:color w:val="0F4761" w:themeColor="accent1" w:themeShade="BF"/>
      <w:sz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1F3"/>
    <w:rPr>
      <w:rFonts w:eastAsiaTheme="majorEastAsia" w:cstheme="majorBidi"/>
      <w:color w:val="0F4761" w:themeColor="accent1" w:themeShade="BF"/>
      <w:sz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1F3"/>
    <w:rPr>
      <w:rFonts w:eastAsiaTheme="majorEastAsia" w:cstheme="majorBidi"/>
      <w:i/>
      <w:iCs/>
      <w:color w:val="595959" w:themeColor="text1" w:themeTint="A6"/>
      <w:sz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1F3"/>
    <w:rPr>
      <w:rFonts w:eastAsiaTheme="majorEastAsia" w:cstheme="majorBidi"/>
      <w:color w:val="595959" w:themeColor="text1" w:themeTint="A6"/>
      <w:sz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1F3"/>
    <w:rPr>
      <w:rFonts w:eastAsiaTheme="majorEastAsia" w:cstheme="majorBidi"/>
      <w:i/>
      <w:iCs/>
      <w:color w:val="272727" w:themeColor="text1" w:themeTint="D8"/>
      <w:sz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1F3"/>
    <w:rPr>
      <w:rFonts w:eastAsiaTheme="majorEastAsia" w:cstheme="majorBidi"/>
      <w:color w:val="272727" w:themeColor="text1" w:themeTint="D8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01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11F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F3"/>
    <w:pPr>
      <w:numPr>
        <w:ilvl w:val="1"/>
      </w:numPr>
      <w:spacing w:after="160" w:line="240" w:lineRule="auto"/>
      <w:contextualSpacing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11F3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1011F3"/>
    <w:pPr>
      <w:spacing w:before="160" w:after="160" w:line="240" w:lineRule="auto"/>
      <w:contextualSpacing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0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11F3"/>
    <w:rPr>
      <w:rFonts w:ascii="Times New Roman" w:hAnsi="Times New Roman"/>
      <w:i/>
      <w:iCs/>
      <w:color w:val="404040" w:themeColor="text1" w:themeTint="BF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1011F3"/>
    <w:pPr>
      <w:spacing w:line="240" w:lineRule="auto"/>
      <w:ind w:left="720"/>
      <w:contextualSpacing/>
    </w:pPr>
    <w:rPr>
      <w:rFonts w:ascii="Times New Roman" w:eastAsiaTheme="minorHAnsi" w:hAnsi="Times New Roman" w:cstheme="minorBidi"/>
      <w:kern w:val="2"/>
      <w:sz w:val="20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1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contextualSpacing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 w:val="20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1F3"/>
    <w:rPr>
      <w:rFonts w:ascii="Times New Roman" w:hAnsi="Times New Roman"/>
      <w:i/>
      <w:iCs/>
      <w:color w:val="0F4761" w:themeColor="accent1" w:themeShade="BF"/>
      <w:sz w:val="20"/>
      <w:lang w:val="en-US"/>
    </w:rPr>
  </w:style>
  <w:style w:type="character" w:styleId="IntenseReference">
    <w:name w:val="Intense Reference"/>
    <w:basedOn w:val="DefaultParagraphFont"/>
    <w:uiPriority w:val="32"/>
    <w:qFormat/>
    <w:rsid w:val="001011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C62A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1455</Characters>
  <Application>Microsoft Office Word</Application>
  <DocSecurity>0</DocSecurity>
  <Lines>20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Szala</dc:creator>
  <cp:keywords/>
  <dc:description/>
  <cp:lastModifiedBy>Anna Szala</cp:lastModifiedBy>
  <cp:revision>2</cp:revision>
  <dcterms:created xsi:type="dcterms:W3CDTF">2024-08-29T14:22:00Z</dcterms:created>
  <dcterms:modified xsi:type="dcterms:W3CDTF">2024-08-29T14:23:00Z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2c046d5b091fbc9c9842a27113b616431d96c0312bcc8d40abb2ace8cae96ca6</vt:lpwstr>
  </property>
</Properties>
</file>