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1ABA7" w14:textId="2CBBFA25" w:rsidR="008044F3" w:rsidRPr="003A5992" w:rsidRDefault="00D042E9" w:rsidP="008D38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5992">
        <w:rPr>
          <w:rFonts w:ascii="Times New Roman" w:hAnsi="Times New Roman" w:cs="Times New Roman"/>
          <w:b/>
          <w:bCs/>
          <w:sz w:val="24"/>
          <w:szCs w:val="24"/>
        </w:rPr>
        <w:t>Appendix A – Existing Dual-Career Typologies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D042E9" w:rsidRPr="003A5992" w14:paraId="6FA42861" w14:textId="77777777" w:rsidTr="00D042E9">
        <w:tc>
          <w:tcPr>
            <w:tcW w:w="2324" w:type="dxa"/>
          </w:tcPr>
          <w:p w14:paraId="0AC585AA" w14:textId="0666BE99" w:rsidR="00D042E9" w:rsidRPr="003A5992" w:rsidRDefault="00D042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14:paraId="56A58008" w14:textId="35BE3F8F" w:rsidR="00D042E9" w:rsidRPr="003A5992" w:rsidRDefault="00D042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Definition</w:t>
            </w:r>
          </w:p>
        </w:tc>
        <w:tc>
          <w:tcPr>
            <w:tcW w:w="2325" w:type="dxa"/>
          </w:tcPr>
          <w:p w14:paraId="130BC976" w14:textId="7D4693F2" w:rsidR="00D042E9" w:rsidRPr="003A5992" w:rsidRDefault="003F64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Basis of Typological Differentiation</w:t>
            </w:r>
          </w:p>
          <w:p w14:paraId="262D925E" w14:textId="5ECE867E" w:rsidR="003F647B" w:rsidRPr="003A5992" w:rsidRDefault="003F64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5" w:type="dxa"/>
          </w:tcPr>
          <w:p w14:paraId="68A11AEA" w14:textId="77777777" w:rsidR="00D042E9" w:rsidRPr="003A5992" w:rsidRDefault="003F64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Typology</w:t>
            </w:r>
          </w:p>
          <w:p w14:paraId="3D54E35C" w14:textId="644D389D" w:rsidR="003F647B" w:rsidRPr="003A5992" w:rsidRDefault="003F64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5" w:type="dxa"/>
          </w:tcPr>
          <w:p w14:paraId="7CA317A3" w14:textId="14118D00" w:rsidR="00D042E9" w:rsidRPr="003A5992" w:rsidRDefault="003F64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Structural Context of Work Arrangement</w:t>
            </w:r>
          </w:p>
        </w:tc>
        <w:tc>
          <w:tcPr>
            <w:tcW w:w="2325" w:type="dxa"/>
          </w:tcPr>
          <w:p w14:paraId="17CEB28A" w14:textId="35D0D8DA" w:rsidR="00D042E9" w:rsidRPr="003A5992" w:rsidRDefault="003F64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Assumption of Identity Stability </w:t>
            </w:r>
          </w:p>
        </w:tc>
      </w:tr>
      <w:tr w:rsidR="00D042E9" w:rsidRPr="003A5992" w14:paraId="1604D993" w14:textId="77777777" w:rsidTr="00D042E9">
        <w:tc>
          <w:tcPr>
            <w:tcW w:w="2324" w:type="dxa"/>
          </w:tcPr>
          <w:p w14:paraId="07ADFFB0" w14:textId="678D2E28" w:rsidR="00D042E9" w:rsidRPr="003A5992" w:rsidRDefault="007046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Rapoport, R., &amp; Rapoport, R. N. (1969). The dual career family: A variant pattern and social change. </w:t>
            </w:r>
          </w:p>
        </w:tc>
        <w:tc>
          <w:tcPr>
            <w:tcW w:w="2324" w:type="dxa"/>
          </w:tcPr>
          <w:p w14:paraId="3936AC86" w14:textId="14BF37F2" w:rsidR="00D042E9" w:rsidRPr="003A5992" w:rsidRDefault="00A11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Dual Career Family: </w:t>
            </w:r>
            <w:r w:rsidR="00A36AA8" w:rsidRPr="003A5992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Families in which both husband and wife </w:t>
            </w:r>
            <w:r w:rsidR="00C373C1" w:rsidRPr="003A5992">
              <w:rPr>
                <w:rFonts w:ascii="Times New Roman" w:hAnsi="Times New Roman" w:cs="Times New Roman"/>
                <w:sz w:val="24"/>
                <w:szCs w:val="24"/>
              </w:rPr>
              <w:t>pursue</w:t>
            </w: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 careers (i.e. jobs which are highly salient personally, have a developmental sequence and require a high degree of commitment) and at the same time establish a family life with at least one child</w:t>
            </w:r>
            <w:r w:rsidR="00A36AA8" w:rsidRPr="003A5992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 (pp.3)</w:t>
            </w:r>
          </w:p>
        </w:tc>
        <w:tc>
          <w:tcPr>
            <w:tcW w:w="2325" w:type="dxa"/>
          </w:tcPr>
          <w:p w14:paraId="01856341" w14:textId="1EC39C71" w:rsidR="00D042E9" w:rsidRPr="003A5992" w:rsidRDefault="00A11BBE" w:rsidP="00A11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>Degree of role integration vs segmentation between work and family Extent of symmetry vs asymmetry in spousal roles Patterns of role-sharing and coping with dual demands</w:t>
            </w:r>
          </w:p>
        </w:tc>
        <w:tc>
          <w:tcPr>
            <w:tcW w:w="2325" w:type="dxa"/>
          </w:tcPr>
          <w:p w14:paraId="753D6E88" w14:textId="7131F66A" w:rsidR="00D042E9" w:rsidRPr="003A5992" w:rsidRDefault="0017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Familistic</w:t>
            </w: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 – Both partners family centric / </w:t>
            </w:r>
            <w:r w:rsidRPr="003A5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Careerist -</w:t>
            </w: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 Both partners career (work) centric / </w:t>
            </w:r>
            <w:r w:rsidR="00145605" w:rsidRPr="003A5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Conventional -</w:t>
            </w:r>
            <w:r w:rsidR="00145605" w:rsidRPr="008320DC">
              <w:rPr>
                <w:rFonts w:ascii="Times New Roman" w:hAnsi="Times New Roman" w:cs="Times New Roman"/>
                <w:sz w:val="24"/>
                <w:szCs w:val="24"/>
              </w:rPr>
              <w:t>Traditional family</w:t>
            </w:r>
            <w:r w:rsidR="00145605"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20DC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="00145605"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 female homemaker and male provider / </w:t>
            </w:r>
            <w:r w:rsidR="00145605" w:rsidRPr="003A5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Coordinate </w:t>
            </w:r>
            <w:r w:rsidR="00145605" w:rsidRPr="003A5992">
              <w:rPr>
                <w:rFonts w:ascii="Times New Roman" w:hAnsi="Times New Roman" w:cs="Times New Roman"/>
                <w:sz w:val="24"/>
                <w:szCs w:val="24"/>
              </w:rPr>
              <w:t>– Careerist husband willing to ‘cooperate’ in the domestic sphere and ‘family centric’ wife with career orientation.</w:t>
            </w:r>
          </w:p>
        </w:tc>
        <w:tc>
          <w:tcPr>
            <w:tcW w:w="2325" w:type="dxa"/>
          </w:tcPr>
          <w:p w14:paraId="12AEA7F9" w14:textId="77777777" w:rsidR="00145605" w:rsidRPr="003A5992" w:rsidRDefault="00145605" w:rsidP="0014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>Spatially separated domains (office vs home assumed); work and family organised as distinct spheres</w:t>
            </w:r>
          </w:p>
          <w:p w14:paraId="50C640E8" w14:textId="516EB35A" w:rsidR="00D042E9" w:rsidRPr="003A5992" w:rsidRDefault="00145605" w:rsidP="0014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>as evidenced by explicit differentiation between the “world of work… under the control of men” and the “world of home and child-care”</w:t>
            </w:r>
          </w:p>
        </w:tc>
        <w:tc>
          <w:tcPr>
            <w:tcW w:w="2325" w:type="dxa"/>
          </w:tcPr>
          <w:p w14:paraId="60B4E011" w14:textId="1CD9AA06" w:rsidR="00D042E9" w:rsidRPr="003A5992" w:rsidRDefault="00C456FD" w:rsidP="00C45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>Stable, role-bound identities aligned with differentiated work–family roles as evidenced by enduring role-based tensions and recurring ‘role bargains’ that structure how couples manage demands</w:t>
            </w:r>
          </w:p>
        </w:tc>
      </w:tr>
      <w:tr w:rsidR="00D042E9" w:rsidRPr="003A5992" w14:paraId="4E6AF4AA" w14:textId="77777777" w:rsidTr="00D042E9">
        <w:tc>
          <w:tcPr>
            <w:tcW w:w="2324" w:type="dxa"/>
          </w:tcPr>
          <w:p w14:paraId="531B975F" w14:textId="1A338030" w:rsidR="00D042E9" w:rsidRPr="003A5992" w:rsidRDefault="00BA27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Hunt, J. G., &amp; Hunt, L. L. (1982). The dualities of careers and families: New integrations or new polarizations?</w:t>
            </w:r>
          </w:p>
        </w:tc>
        <w:tc>
          <w:tcPr>
            <w:tcW w:w="2324" w:type="dxa"/>
          </w:tcPr>
          <w:p w14:paraId="648AEF7A" w14:textId="3AEDBA9B" w:rsidR="00D042E9" w:rsidRPr="003A5992" w:rsidRDefault="00BA2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>Dual-</w:t>
            </w:r>
            <w:r w:rsidR="00C373C1" w:rsidRPr="003A599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areer </w:t>
            </w:r>
            <w:r w:rsidR="00C373C1" w:rsidRPr="003A599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>amil</w:t>
            </w:r>
            <w:r w:rsidR="00C373C1" w:rsidRPr="003A599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>: “</w:t>
            </w:r>
            <w:r w:rsidR="00C373C1" w:rsidRPr="003A5992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>oth husband and wife have continuous and self-fulfilling extra-domestic work roles as well as meaningful and involving family roles.” (pp.499)</w:t>
            </w:r>
          </w:p>
        </w:tc>
        <w:tc>
          <w:tcPr>
            <w:tcW w:w="2325" w:type="dxa"/>
          </w:tcPr>
          <w:p w14:paraId="4111FE9A" w14:textId="49003F04" w:rsidR="00D042E9" w:rsidRPr="003A5992" w:rsidRDefault="00D33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>Career vs family orientation; sex-role division of labour</w:t>
            </w:r>
          </w:p>
        </w:tc>
        <w:tc>
          <w:tcPr>
            <w:tcW w:w="2325" w:type="dxa"/>
          </w:tcPr>
          <w:p w14:paraId="6A612745" w14:textId="5AB7BA59" w:rsidR="00D042E9" w:rsidRPr="003A5992" w:rsidRDefault="0002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Traditionalists </w:t>
            </w: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– Conventional female homemaker </w:t>
            </w:r>
            <w:r w:rsidR="001334FC" w:rsidRPr="003A5992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 male breadwinner</w:t>
            </w:r>
            <w:r w:rsidR="00307AEA"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307AEA" w:rsidRPr="003A5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Prioriti</w:t>
            </w:r>
            <w:r w:rsidR="000C61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307AEA" w:rsidRPr="003A5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ers</w:t>
            </w:r>
            <w:r w:rsidR="00307AEA"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 – reject prescribed gender roles </w:t>
            </w:r>
            <w:r w:rsidR="001334FC" w:rsidRPr="003A5992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="00307AEA"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 may postpone parenthood</w:t>
            </w:r>
            <w:r w:rsidR="001334FC" w:rsidRPr="003A59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7AEA"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34FC" w:rsidRPr="003A599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07AEA" w:rsidRPr="003A5992">
              <w:rPr>
                <w:rFonts w:ascii="Times New Roman" w:hAnsi="Times New Roman" w:cs="Times New Roman"/>
                <w:sz w:val="24"/>
                <w:szCs w:val="24"/>
              </w:rPr>
              <w:t>lternatively</w:t>
            </w:r>
            <w:r w:rsidR="001334FC" w:rsidRPr="003A59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07AEA"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 may limit work </w:t>
            </w:r>
            <w:r w:rsidR="00307AEA" w:rsidRPr="003A59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investment to prioritise children / </w:t>
            </w:r>
            <w:r w:rsidR="0093742B" w:rsidRPr="003A5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Integrators</w:t>
            </w:r>
            <w:r w:rsidR="0093742B"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 – combine marital </w:t>
            </w:r>
            <w:r w:rsidR="001334FC"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 w:rsidR="0093742B"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parental roles. Colleagues in the same field </w:t>
            </w:r>
            <w:r w:rsidR="001334FC" w:rsidRPr="003A5992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r w:rsidR="0093742B"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 work together in own small business</w:t>
            </w:r>
          </w:p>
        </w:tc>
        <w:tc>
          <w:tcPr>
            <w:tcW w:w="2325" w:type="dxa"/>
          </w:tcPr>
          <w:p w14:paraId="2C2C6D4A" w14:textId="028A9A17" w:rsidR="00D042E9" w:rsidRPr="003A5992" w:rsidRDefault="0002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Spatially separated domains (work as extra-domestic vs family as home-based); implicit separation of work and domestic roles as evidenced by careers defined as “extra-domestic” and </w:t>
            </w:r>
            <w:r w:rsidRPr="003A59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described as creating “logistic difficulties” in combining work and family</w:t>
            </w:r>
          </w:p>
        </w:tc>
        <w:tc>
          <w:tcPr>
            <w:tcW w:w="2325" w:type="dxa"/>
          </w:tcPr>
          <w:p w14:paraId="3A62C41C" w14:textId="77777777" w:rsidR="00023C2E" w:rsidRPr="003A5992" w:rsidRDefault="00023C2E" w:rsidP="0002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Stable, structurally determined identities anchored in sex-role divisions (career-centred vs family-centred)</w:t>
            </w:r>
          </w:p>
          <w:p w14:paraId="3F6986F3" w14:textId="6FC9D3BA" w:rsidR="00D042E9" w:rsidRPr="003A5992" w:rsidRDefault="00023C2E" w:rsidP="0002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>as evidenced by the central thesis of “polari</w:t>
            </w:r>
            <w:r w:rsidR="007368D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>ation of career-</w:t>
            </w:r>
            <w:r w:rsidR="007368D3" w:rsidRPr="003A5992">
              <w:rPr>
                <w:rFonts w:ascii="Times New Roman" w:hAnsi="Times New Roman" w:cs="Times New Roman"/>
                <w:sz w:val="24"/>
                <w:szCs w:val="24"/>
              </w:rPr>
              <w:t>centred</w:t>
            </w: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Pr="003A59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family-</w:t>
            </w:r>
            <w:r w:rsidR="007368D3" w:rsidRPr="003A5992">
              <w:rPr>
                <w:rFonts w:ascii="Times New Roman" w:hAnsi="Times New Roman" w:cs="Times New Roman"/>
                <w:sz w:val="24"/>
                <w:szCs w:val="24"/>
              </w:rPr>
              <w:t>centred</w:t>
            </w: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 lifestyles”</w:t>
            </w:r>
          </w:p>
        </w:tc>
      </w:tr>
      <w:tr w:rsidR="00D042E9" w:rsidRPr="003A5992" w14:paraId="25231AA0" w14:textId="77777777" w:rsidTr="00D042E9">
        <w:tc>
          <w:tcPr>
            <w:tcW w:w="2324" w:type="dxa"/>
          </w:tcPr>
          <w:p w14:paraId="7838F62C" w14:textId="50049044" w:rsidR="00D042E9" w:rsidRPr="003A5992" w:rsidRDefault="00023C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Duxbury, L., Lyons, S., &amp; Higgins, C. (2007). Dual-income families in the new millennium: Reconceptualizing family type. </w:t>
            </w:r>
            <w:r w:rsidR="0095488C" w:rsidRPr="003A5992">
              <w:rPr>
                <w:rStyle w:val="FootnoteReference"/>
                <w:rFonts w:ascii="Times New Roman" w:hAnsi="Times New Roman" w:cs="Times New Roman"/>
                <w:b/>
                <w:bCs/>
                <w:sz w:val="24"/>
                <w:szCs w:val="24"/>
              </w:rPr>
              <w:footnoteReference w:id="1"/>
            </w:r>
          </w:p>
        </w:tc>
        <w:tc>
          <w:tcPr>
            <w:tcW w:w="2324" w:type="dxa"/>
          </w:tcPr>
          <w:p w14:paraId="3C48DCB6" w14:textId="49A893A1" w:rsidR="00D042E9" w:rsidRPr="003A5992" w:rsidRDefault="006B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>Dual-</w:t>
            </w:r>
            <w:r w:rsidR="00C373C1" w:rsidRPr="003A599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ncome </w:t>
            </w:r>
            <w:r w:rsidR="00C373C1" w:rsidRPr="003A599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>ami</w:t>
            </w:r>
            <w:r w:rsidR="00C373C1" w:rsidRPr="003A5992">
              <w:rPr>
                <w:rFonts w:ascii="Times New Roman" w:hAnsi="Times New Roman" w:cs="Times New Roman"/>
                <w:sz w:val="24"/>
                <w:szCs w:val="24"/>
              </w:rPr>
              <w:t>ly</w:t>
            </w: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A36AA8" w:rsidRPr="003A5992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C373C1" w:rsidRPr="003A599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amilies in which both partners are in the </w:t>
            </w:r>
            <w:r w:rsidR="00C373C1" w:rsidRPr="003A5992">
              <w:rPr>
                <w:rFonts w:ascii="Times New Roman" w:hAnsi="Times New Roman" w:cs="Times New Roman"/>
                <w:sz w:val="24"/>
                <w:szCs w:val="24"/>
              </w:rPr>
              <w:t>labour</w:t>
            </w: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 force</w:t>
            </w:r>
            <w:r w:rsidR="003B3BDE"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…[with] </w:t>
            </w: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specific focus on employed parents, as </w:t>
            </w:r>
            <w:r w:rsidR="003B3BDE" w:rsidRPr="003A599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 parenthood poses specific challenges with respect to work–family conflict</w:t>
            </w:r>
            <w:r w:rsidR="00A36AA8" w:rsidRPr="003A5992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 (pp.473)</w:t>
            </w:r>
          </w:p>
        </w:tc>
        <w:tc>
          <w:tcPr>
            <w:tcW w:w="2325" w:type="dxa"/>
          </w:tcPr>
          <w:p w14:paraId="52480D27" w14:textId="015403AA" w:rsidR="00D042E9" w:rsidRPr="003A5992" w:rsidRDefault="006B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>Gender and occupational status of each partner; career vs job classification; labour market positioning</w:t>
            </w:r>
          </w:p>
        </w:tc>
        <w:tc>
          <w:tcPr>
            <w:tcW w:w="2325" w:type="dxa"/>
          </w:tcPr>
          <w:p w14:paraId="2CB61C39" w14:textId="14E0BC44" w:rsidR="008F3194" w:rsidRPr="003A5992" w:rsidRDefault="00186867" w:rsidP="008F3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Dual career couple -</w:t>
            </w: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 in which both partners are engaged in managerial or professional work / </w:t>
            </w:r>
            <w:r w:rsidR="008F3194" w:rsidRPr="003A5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Dual-earner couple</w:t>
            </w:r>
            <w:r w:rsidR="008F3194"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 - in which both partners have “jobs” rather than careers; For such individuals, all-consuming</w:t>
            </w:r>
          </w:p>
          <w:p w14:paraId="312D859C" w14:textId="4CDEBE08" w:rsidR="00D042E9" w:rsidRPr="003A5992" w:rsidRDefault="008F3194" w:rsidP="008F3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careers are either unavailable or undesirable and the family can be expected to be a significant source of life satisfaction / </w:t>
            </w:r>
            <w:r w:rsidRPr="003A5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Status-reversal couple</w:t>
            </w: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 - in which the </w:t>
            </w:r>
            <w:r w:rsidRPr="003A59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female partner is engaged in managerial or professional work, whereas the male partner has a “job” / </w:t>
            </w:r>
            <w:r w:rsidR="00A30752" w:rsidRPr="003A5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New-traditional couple</w:t>
            </w:r>
            <w:r w:rsidR="00A30752"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 - in which the male partner is engaged in managerial or professional work, whereas the female partner has a “job.”</w:t>
            </w:r>
          </w:p>
        </w:tc>
        <w:tc>
          <w:tcPr>
            <w:tcW w:w="2325" w:type="dxa"/>
          </w:tcPr>
          <w:p w14:paraId="3A6B6F7D" w14:textId="23D62201" w:rsidR="00D042E9" w:rsidRPr="003A5992" w:rsidRDefault="00A30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Implicit separation of work and domestic roles; work assumed external to home with no consideration of co-location or hybrid work as evidenced by conceptualisation of work and family as domains to be “balanced” or “integrated” within labour market participation</w:t>
            </w:r>
          </w:p>
        </w:tc>
        <w:tc>
          <w:tcPr>
            <w:tcW w:w="2325" w:type="dxa"/>
          </w:tcPr>
          <w:p w14:paraId="0C9D4ADF" w14:textId="77777777" w:rsidR="00E15998" w:rsidRPr="003A5992" w:rsidRDefault="00E15998" w:rsidP="00E1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>Stable, role-bound identities aligned with gender and occupational structure</w:t>
            </w:r>
          </w:p>
          <w:p w14:paraId="46A0E2A1" w14:textId="094E11CD" w:rsidR="00D042E9" w:rsidRPr="003A5992" w:rsidRDefault="00E15998" w:rsidP="00E1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>as evidenced by enduring gendered expectations and classification of family types based on career vs job and provider roles</w:t>
            </w:r>
          </w:p>
        </w:tc>
      </w:tr>
      <w:tr w:rsidR="00D042E9" w:rsidRPr="003A5992" w14:paraId="783B81D6" w14:textId="77777777" w:rsidTr="00D042E9">
        <w:tc>
          <w:tcPr>
            <w:tcW w:w="2324" w:type="dxa"/>
          </w:tcPr>
          <w:p w14:paraId="4EC12153" w14:textId="691396DE" w:rsidR="00D042E9" w:rsidRPr="003A5992" w:rsidRDefault="00C343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Masterson, C. R., &amp; Hoobler, J. M. (2015). Care and career: A family identity‐based typology of dual‐earner couples.</w:t>
            </w:r>
            <w:r w:rsidR="00C373C1" w:rsidRPr="003A59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324" w:type="dxa"/>
          </w:tcPr>
          <w:p w14:paraId="622845A4" w14:textId="21C048C9" w:rsidR="00D042E9" w:rsidRPr="003A5992" w:rsidRDefault="00C3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>Dual-</w:t>
            </w:r>
            <w:r w:rsidR="00A36AA8" w:rsidRPr="003A599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arner </w:t>
            </w:r>
            <w:r w:rsidR="00A36AA8" w:rsidRPr="003A599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ouple: </w:t>
            </w:r>
            <w:r w:rsidR="00A36AA8" w:rsidRPr="003A5992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>A more general term used to describe couples who both work outside of the home</w:t>
            </w:r>
            <w:r w:rsidR="00A36AA8" w:rsidRPr="003A5992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 (pp.76)</w:t>
            </w:r>
          </w:p>
        </w:tc>
        <w:tc>
          <w:tcPr>
            <w:tcW w:w="2325" w:type="dxa"/>
          </w:tcPr>
          <w:p w14:paraId="3E049246" w14:textId="7E6F0A28" w:rsidR="00D042E9" w:rsidRPr="003A5992" w:rsidRDefault="00227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>Family identity construction (career vs care meanings); identity salience; partner-level identity configurations</w:t>
            </w:r>
          </w:p>
        </w:tc>
        <w:tc>
          <w:tcPr>
            <w:tcW w:w="2325" w:type="dxa"/>
          </w:tcPr>
          <w:p w14:paraId="506C5E45" w14:textId="26B2FC78" w:rsidR="00D042E9" w:rsidRPr="003A5992" w:rsidRDefault="00227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Traditional - </w:t>
            </w: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Wives incorporate care into their family identity more than career, and </w:t>
            </w:r>
            <w:r w:rsidR="00A36AA8" w:rsidRPr="003A5992">
              <w:rPr>
                <w:rFonts w:ascii="Times New Roman" w:hAnsi="Times New Roman" w:cs="Times New Roman"/>
                <w:sz w:val="24"/>
                <w:szCs w:val="24"/>
              </w:rPr>
              <w:t>husbands</w:t>
            </w: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 incorporate career into their family identity more than care</w:t>
            </w:r>
            <w:r w:rsidR="00D53B3E"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D53B3E" w:rsidRPr="003A5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Non Traditional</w:t>
            </w:r>
            <w:r w:rsidR="00D53B3E"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 - Husbands incorporate care into their family identity more than career, and wives incorporate career into their family identity more than care / </w:t>
            </w:r>
            <w:r w:rsidR="00A154EA" w:rsidRPr="003A5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Outsourced</w:t>
            </w:r>
            <w:r w:rsidR="00A154EA"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 - Both partners </w:t>
            </w:r>
            <w:r w:rsidR="00A154EA" w:rsidRPr="003A59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incorporate careers into their family identity more than care </w:t>
            </w:r>
            <w:r w:rsidR="00A154EA" w:rsidRPr="003A5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 Family-first -</w:t>
            </w:r>
            <w:r w:rsidR="00A154EA"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 Both partners incorporate care into their family identity more than career / </w:t>
            </w:r>
            <w:r w:rsidR="0027655D" w:rsidRPr="003A5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Egalitarian -</w:t>
            </w:r>
            <w:r w:rsidR="0027655D"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 Both partners equally incorporate care and careers into their family identities</w:t>
            </w:r>
          </w:p>
        </w:tc>
        <w:tc>
          <w:tcPr>
            <w:tcW w:w="2325" w:type="dxa"/>
          </w:tcPr>
          <w:p w14:paraId="68696AE9" w14:textId="05594F12" w:rsidR="00D042E9" w:rsidRPr="003A5992" w:rsidRDefault="00A7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Implicit separation of work and domestic roles; no consideration of co-location or hybrid work as evidenced by examples of work (overtime, relocation) and family (caregiving, household labour) as distinct domains</w:t>
            </w:r>
          </w:p>
        </w:tc>
        <w:tc>
          <w:tcPr>
            <w:tcW w:w="2325" w:type="dxa"/>
          </w:tcPr>
          <w:p w14:paraId="3FB83BCC" w14:textId="77777777" w:rsidR="00A76B74" w:rsidRPr="003A5992" w:rsidRDefault="00A76B74" w:rsidP="00A7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>Relational and constructed identities, analytically stabilised into static typological configurations</w:t>
            </w:r>
          </w:p>
          <w:p w14:paraId="2F37516D" w14:textId="19DAD867" w:rsidR="00D042E9" w:rsidRPr="003A5992" w:rsidRDefault="00A76B74" w:rsidP="00A7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>as evidenced by the framework being explicitly described as “static in nature".</w:t>
            </w:r>
          </w:p>
        </w:tc>
      </w:tr>
      <w:tr w:rsidR="00D042E9" w:rsidRPr="003A5992" w14:paraId="75C409CC" w14:textId="77777777" w:rsidTr="00D042E9">
        <w:tc>
          <w:tcPr>
            <w:tcW w:w="2324" w:type="dxa"/>
          </w:tcPr>
          <w:p w14:paraId="1DF0D446" w14:textId="45316BD4" w:rsidR="00D042E9" w:rsidRPr="003A5992" w:rsidRDefault="000A5F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Boiarintseva, G., </w:t>
            </w:r>
            <w:proofErr w:type="spellStart"/>
            <w:r w:rsidRPr="003A5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Ezzedeen</w:t>
            </w:r>
            <w:proofErr w:type="spellEnd"/>
            <w:r w:rsidRPr="003A5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S. R., McNab, A., &amp; Wilkin, C. (2022). A qualitative investigation of the work-nonwork experiences of dual-career professional couples without children.</w:t>
            </w:r>
          </w:p>
        </w:tc>
        <w:tc>
          <w:tcPr>
            <w:tcW w:w="2324" w:type="dxa"/>
          </w:tcPr>
          <w:p w14:paraId="2019809E" w14:textId="77777777" w:rsidR="008A67C0" w:rsidRPr="003A5992" w:rsidRDefault="000A5F1A" w:rsidP="000A5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>Dual-</w:t>
            </w:r>
            <w:r w:rsidR="00A36AA8" w:rsidRPr="003A599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areer </w:t>
            </w:r>
            <w:r w:rsidR="00A36AA8" w:rsidRPr="003A599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rofessional </w:t>
            </w:r>
            <w:r w:rsidR="00A36AA8" w:rsidRPr="003A599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ouple: </w:t>
            </w:r>
            <w:r w:rsidR="00A36AA8" w:rsidRPr="003A5992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>Unions in which both partners pursue full-time and demanding careers, [holding] sequences of jobs that require a high degree of commitment and that have a continuous developmental character</w:t>
            </w:r>
            <w:r w:rsidR="00A36AA8" w:rsidRPr="003A5992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 (pp.2024)  </w:t>
            </w:r>
          </w:p>
          <w:p w14:paraId="3BE850EC" w14:textId="77777777" w:rsidR="008A67C0" w:rsidRPr="003A5992" w:rsidRDefault="008A67C0" w:rsidP="000A5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0C39B4" w14:textId="0613AD34" w:rsidR="00D042E9" w:rsidRPr="003A5992" w:rsidRDefault="008A67C0" w:rsidP="000A5F1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It should be noted that, in this study, all DCPC participants are child-free.</w:t>
            </w:r>
            <w:r w:rsidR="000A5F1A" w:rsidRPr="003A5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</w:t>
            </w:r>
          </w:p>
        </w:tc>
        <w:tc>
          <w:tcPr>
            <w:tcW w:w="2325" w:type="dxa"/>
          </w:tcPr>
          <w:p w14:paraId="5F0E71AD" w14:textId="02E59EBA" w:rsidR="00D042E9" w:rsidRPr="003A5992" w:rsidRDefault="00471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>Role salience (work vs nonwork); career vs care orientation; alignment of partners’ orientations</w:t>
            </w:r>
          </w:p>
        </w:tc>
        <w:tc>
          <w:tcPr>
            <w:tcW w:w="2325" w:type="dxa"/>
          </w:tcPr>
          <w:p w14:paraId="482BD808" w14:textId="59AF55D4" w:rsidR="00D042E9" w:rsidRPr="003A5992" w:rsidRDefault="00A23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Careerist </w:t>
            </w: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Couples - Both partners, as </w:t>
            </w:r>
            <w:r w:rsidR="00895FFC" w:rsidRPr="003A5992">
              <w:rPr>
                <w:rFonts w:ascii="Times New Roman" w:hAnsi="Times New Roman" w:cs="Times New Roman"/>
                <w:sz w:val="24"/>
                <w:szCs w:val="24"/>
              </w:rPr>
              <w:t>individuals</w:t>
            </w: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 and as a couple, agreed on the salience of career and exhibit strong career orientation /</w:t>
            </w:r>
            <w:r w:rsidR="00895FFC"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5FFC" w:rsidRPr="003A5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Conventional Couples -</w:t>
            </w:r>
            <w:r w:rsidR="00895FFC"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 partners had opposing role salience resulting in different care/career orientations. The men had strong career orientation, while the women exhibited a strong care orientation /</w:t>
            </w: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6840" w:rsidRPr="003A5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Non-Conventional </w:t>
            </w:r>
            <w:r w:rsidR="002C6840" w:rsidRPr="003A5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Couples</w:t>
            </w:r>
            <w:r w:rsidR="002C6840"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 - In this category, women were career-oriented, whereas men exhibited a strong care orientation / </w:t>
            </w:r>
            <w:r w:rsidR="007F4459" w:rsidRPr="003A5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Egalitarian Couples</w:t>
            </w:r>
            <w:r w:rsidR="007F4459" w:rsidRPr="003A5992">
              <w:rPr>
                <w:rFonts w:ascii="Times New Roman" w:hAnsi="Times New Roman" w:cs="Times New Roman"/>
                <w:sz w:val="24"/>
                <w:szCs w:val="24"/>
              </w:rPr>
              <w:t xml:space="preserve"> - Partners in the egalitarian group were oriented equally toward career and care. Partners in these unions held both work and non-work at similar levels of priority and exhibited dual role salience. At work, both partners strove for professional success</w:t>
            </w:r>
          </w:p>
        </w:tc>
        <w:tc>
          <w:tcPr>
            <w:tcW w:w="2325" w:type="dxa"/>
          </w:tcPr>
          <w:p w14:paraId="550B911C" w14:textId="7E28621F" w:rsidR="00D042E9" w:rsidRPr="003A5992" w:rsidRDefault="00925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Implicit separation of work and nonwork domains; no consideration of co-location or hybrid work as evidenced by framing of the “work–nonwork interface” as interaction between distinct domains rather than co-present practices</w:t>
            </w:r>
          </w:p>
        </w:tc>
        <w:tc>
          <w:tcPr>
            <w:tcW w:w="2325" w:type="dxa"/>
          </w:tcPr>
          <w:p w14:paraId="637E5E05" w14:textId="77777777" w:rsidR="00925171" w:rsidRPr="003A5992" w:rsidRDefault="00925171" w:rsidP="00925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>Relational, role-salience-based identities, stabilised into typological categories at the couple level</w:t>
            </w:r>
          </w:p>
          <w:p w14:paraId="37CAAFB8" w14:textId="5A754DF1" w:rsidR="00D042E9" w:rsidRPr="003A5992" w:rsidRDefault="00925171" w:rsidP="00925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92">
              <w:rPr>
                <w:rFonts w:ascii="Times New Roman" w:hAnsi="Times New Roman" w:cs="Times New Roman"/>
                <w:sz w:val="24"/>
                <w:szCs w:val="24"/>
              </w:rPr>
              <w:t>as evidenced by classification into types based on enduring role salience patterns</w:t>
            </w:r>
          </w:p>
        </w:tc>
      </w:tr>
    </w:tbl>
    <w:p w14:paraId="53FA71D6" w14:textId="77777777" w:rsidR="00D042E9" w:rsidRPr="003A5992" w:rsidRDefault="00D042E9">
      <w:pPr>
        <w:rPr>
          <w:rFonts w:ascii="Times New Roman" w:hAnsi="Times New Roman" w:cs="Times New Roman"/>
          <w:sz w:val="24"/>
          <w:szCs w:val="24"/>
        </w:rPr>
      </w:pPr>
    </w:p>
    <w:sectPr w:rsidR="00D042E9" w:rsidRPr="003A5992" w:rsidSect="00D042E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47578" w14:textId="77777777" w:rsidR="00DE6EAF" w:rsidRDefault="00DE6EAF" w:rsidP="0095488C">
      <w:pPr>
        <w:spacing w:after="0" w:line="240" w:lineRule="auto"/>
      </w:pPr>
      <w:r>
        <w:separator/>
      </w:r>
    </w:p>
  </w:endnote>
  <w:endnote w:type="continuationSeparator" w:id="0">
    <w:p w14:paraId="34448DDC" w14:textId="77777777" w:rsidR="00DE6EAF" w:rsidRDefault="00DE6EAF" w:rsidP="00954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643F3" w14:textId="77777777" w:rsidR="00DE6EAF" w:rsidRDefault="00DE6EAF" w:rsidP="0095488C">
      <w:pPr>
        <w:spacing w:after="0" w:line="240" w:lineRule="auto"/>
      </w:pPr>
      <w:r>
        <w:separator/>
      </w:r>
    </w:p>
  </w:footnote>
  <w:footnote w:type="continuationSeparator" w:id="0">
    <w:p w14:paraId="11FA6FC1" w14:textId="77777777" w:rsidR="00DE6EAF" w:rsidRDefault="00DE6EAF" w:rsidP="0095488C">
      <w:pPr>
        <w:spacing w:after="0" w:line="240" w:lineRule="auto"/>
      </w:pPr>
      <w:r>
        <w:continuationSeparator/>
      </w:r>
    </w:p>
  </w:footnote>
  <w:footnote w:id="1">
    <w:p w14:paraId="5A1F62EF" w14:textId="1AEF4AC1" w:rsidR="0095488C" w:rsidRDefault="0095488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F75DB">
        <w:rPr>
          <w:rFonts w:ascii="Times New Roman" w:hAnsi="Times New Roman" w:cs="Times New Roman"/>
        </w:rPr>
        <w:t xml:space="preserve">These dual-income / dual-earner typologies are retained because they incorporate dual‑career / </w:t>
      </w:r>
      <w:r w:rsidR="00C373C1" w:rsidRPr="004F75DB">
        <w:rPr>
          <w:rFonts w:ascii="Times New Roman" w:hAnsi="Times New Roman" w:cs="Times New Roman"/>
        </w:rPr>
        <w:t>egalitarian couples</w:t>
      </w:r>
      <w:r w:rsidRPr="004F75DB">
        <w:rPr>
          <w:rFonts w:ascii="Times New Roman" w:hAnsi="Times New Roman" w:cs="Times New Roman"/>
        </w:rPr>
        <w:t xml:space="preserve"> respectively within their broader classifications, contributing to how dual‑career forms are conceptually delineated in prior research.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2E9"/>
    <w:rsid w:val="00022C6D"/>
    <w:rsid w:val="00023C2E"/>
    <w:rsid w:val="000938BA"/>
    <w:rsid w:val="000A5F1A"/>
    <w:rsid w:val="000C6177"/>
    <w:rsid w:val="001334FC"/>
    <w:rsid w:val="00145605"/>
    <w:rsid w:val="00170CD2"/>
    <w:rsid w:val="00186867"/>
    <w:rsid w:val="00221EEB"/>
    <w:rsid w:val="00227544"/>
    <w:rsid w:val="0027655D"/>
    <w:rsid w:val="002C195E"/>
    <w:rsid w:val="002C6840"/>
    <w:rsid w:val="00307AEA"/>
    <w:rsid w:val="003A5992"/>
    <w:rsid w:val="003B3BDE"/>
    <w:rsid w:val="003E34F7"/>
    <w:rsid w:val="003F647B"/>
    <w:rsid w:val="004719F1"/>
    <w:rsid w:val="00482158"/>
    <w:rsid w:val="004F75DB"/>
    <w:rsid w:val="005E2D9A"/>
    <w:rsid w:val="006A3EFF"/>
    <w:rsid w:val="006B24C0"/>
    <w:rsid w:val="00704607"/>
    <w:rsid w:val="007368D3"/>
    <w:rsid w:val="00757D0D"/>
    <w:rsid w:val="007F4459"/>
    <w:rsid w:val="008044F3"/>
    <w:rsid w:val="008320DC"/>
    <w:rsid w:val="00895FFC"/>
    <w:rsid w:val="008A67C0"/>
    <w:rsid w:val="008D38E1"/>
    <w:rsid w:val="008F3194"/>
    <w:rsid w:val="00925171"/>
    <w:rsid w:val="0093742B"/>
    <w:rsid w:val="0095488C"/>
    <w:rsid w:val="00A11BBE"/>
    <w:rsid w:val="00A154EA"/>
    <w:rsid w:val="00A23549"/>
    <w:rsid w:val="00A30752"/>
    <w:rsid w:val="00A36AA8"/>
    <w:rsid w:val="00A76B74"/>
    <w:rsid w:val="00AA47E4"/>
    <w:rsid w:val="00B26E06"/>
    <w:rsid w:val="00BA2754"/>
    <w:rsid w:val="00C34365"/>
    <w:rsid w:val="00C373C1"/>
    <w:rsid w:val="00C456FD"/>
    <w:rsid w:val="00D042E9"/>
    <w:rsid w:val="00D336DB"/>
    <w:rsid w:val="00D53B3E"/>
    <w:rsid w:val="00DE6EAF"/>
    <w:rsid w:val="00E15998"/>
    <w:rsid w:val="00EA04A0"/>
    <w:rsid w:val="00FB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4F9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42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42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42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42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42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42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42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42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42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42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42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42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42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42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42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42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42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42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42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42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42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42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42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42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42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42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42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42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42E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04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548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488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488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57D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D0D"/>
  </w:style>
  <w:style w:type="paragraph" w:styleId="Footer">
    <w:name w:val="footer"/>
    <w:basedOn w:val="Normal"/>
    <w:link w:val="FooterChar"/>
    <w:uiPriority w:val="99"/>
    <w:unhideWhenUsed/>
    <w:rsid w:val="00757D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1C252-84EE-4943-9DEE-12689B49A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1071</Words>
  <Characters>6110</Characters>
  <Application>Microsoft Office Word</Application>
  <DocSecurity>0</DocSecurity>
  <Lines>50</Lines>
  <Paragraphs>14</Paragraphs>
  <ScaleCrop>false</ScaleCrop>
  <Company/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2026-05-27T23:10:00Z</dcterms:created>
  <dcterms:modified xsi:type="dcterms:W3CDTF">2026-05-31T22:08:00Z</dcterms:modified>
</cp:coreProperties>
</file>