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BA" w:rsidRPr="00B828A4" w:rsidRDefault="00B153BA" w:rsidP="00B153BA">
      <w:pPr>
        <w:spacing w:line="480" w:lineRule="auto"/>
        <w:rPr>
          <w:rFonts w:ascii="Arial" w:hAnsi="Arial" w:cs="Arial"/>
          <w:b/>
        </w:rPr>
      </w:pPr>
      <w:r w:rsidRPr="00B828A4">
        <w:rPr>
          <w:rFonts w:ascii="Arial" w:hAnsi="Arial" w:cs="Arial" w:hint="eastAsia"/>
          <w:b/>
        </w:rPr>
        <w:t>Gene</w:t>
      </w:r>
      <w:r w:rsidRPr="00B828A4">
        <w:rPr>
          <w:rFonts w:ascii="Arial" w:hAnsi="Arial" w:cs="Arial"/>
          <w:b/>
        </w:rPr>
        <w:t xml:space="preserve">-Environment Interplay </w:t>
      </w:r>
      <w:r w:rsidRPr="00B828A4">
        <w:rPr>
          <w:rFonts w:ascii="Arial" w:hAnsi="Arial" w:cs="Arial" w:hint="eastAsia"/>
          <w:b/>
        </w:rPr>
        <w:t xml:space="preserve">in </w:t>
      </w:r>
      <w:r w:rsidR="0075386B">
        <w:rPr>
          <w:rFonts w:ascii="Arial" w:hAnsi="Arial" w:cs="Arial"/>
          <w:b/>
        </w:rPr>
        <w:t>t</w:t>
      </w:r>
      <w:r w:rsidRPr="00B828A4">
        <w:rPr>
          <w:rFonts w:ascii="Arial" w:hAnsi="Arial" w:cs="Arial"/>
          <w:b/>
        </w:rPr>
        <w:t xml:space="preserve">he Relationship </w:t>
      </w:r>
      <w:proofErr w:type="gramStart"/>
      <w:r w:rsidRPr="00B828A4">
        <w:rPr>
          <w:rFonts w:ascii="Arial" w:hAnsi="Arial" w:cs="Arial"/>
          <w:b/>
        </w:rPr>
        <w:t>Between</w:t>
      </w:r>
      <w:proofErr w:type="gramEnd"/>
      <w:r w:rsidRPr="00B828A4">
        <w:rPr>
          <w:rFonts w:ascii="Arial" w:hAnsi="Arial" w:cs="Arial"/>
          <w:b/>
        </w:rPr>
        <w:t xml:space="preserve"> Gaming Addiction </w:t>
      </w:r>
      <w:r w:rsidRPr="00B828A4">
        <w:rPr>
          <w:rFonts w:ascii="Arial" w:hAnsi="Arial" w:cs="Arial" w:hint="eastAsia"/>
          <w:b/>
        </w:rPr>
        <w:t xml:space="preserve">and </w:t>
      </w:r>
      <w:r w:rsidRPr="00B828A4">
        <w:rPr>
          <w:rFonts w:ascii="Arial" w:hAnsi="Arial" w:cs="Arial"/>
          <w:b/>
        </w:rPr>
        <w:t>Close Friends’ Gaming</w:t>
      </w:r>
    </w:p>
    <w:p w:rsidR="00B153BA" w:rsidRDefault="00B153BA" w:rsidP="00B153BA">
      <w:pPr>
        <w:spacing w:line="48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Yoon-</w:t>
      </w:r>
      <w:proofErr w:type="spellStart"/>
      <w:r>
        <w:rPr>
          <w:rFonts w:ascii="Arial" w:hAnsi="Arial" w:cs="Arial" w:hint="eastAsia"/>
        </w:rPr>
        <w:t>Mi</w:t>
      </w:r>
      <w:proofErr w:type="spellEnd"/>
      <w:r>
        <w:rPr>
          <w:rFonts w:ascii="Arial" w:hAnsi="Arial" w:cs="Arial" w:hint="eastAsia"/>
        </w:rPr>
        <w:t xml:space="preserve"> Hur</w:t>
      </w:r>
    </w:p>
    <w:p w:rsidR="00B153BA" w:rsidRDefault="00B153BA" w:rsidP="00B153BA">
      <w:p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 w:hint="eastAsia"/>
        </w:rPr>
        <w:t>Kookmin</w:t>
      </w:r>
      <w:proofErr w:type="spellEnd"/>
      <w:r>
        <w:rPr>
          <w:rFonts w:ascii="Arial" w:hAnsi="Arial" w:cs="Arial" w:hint="eastAsia"/>
        </w:rPr>
        <w:t xml:space="preserve"> University, Seoul, South Korea</w:t>
      </w:r>
    </w:p>
    <w:p w:rsidR="00B153BA" w:rsidRDefault="00B153BA" w:rsidP="00B153BA">
      <w:pPr>
        <w:spacing w:line="360" w:lineRule="auto"/>
        <w:rPr>
          <w:rFonts w:ascii="Arial" w:hAnsi="Arial" w:cs="Arial"/>
        </w:rPr>
      </w:pPr>
    </w:p>
    <w:p w:rsidR="00B153BA" w:rsidRPr="00B153BA" w:rsidRDefault="00B153BA" w:rsidP="00B153BA">
      <w:pPr>
        <w:spacing w:line="360" w:lineRule="auto"/>
        <w:rPr>
          <w:rFonts w:ascii="Arial" w:hAnsi="Arial" w:cs="Arial"/>
        </w:rPr>
      </w:pPr>
      <w:r w:rsidRPr="00B153BA">
        <w:rPr>
          <w:rFonts w:ascii="Arial" w:hAnsi="Arial" w:cs="Arial" w:hint="eastAsia"/>
          <w:b/>
        </w:rPr>
        <w:t>Supplementary Table 1.</w:t>
      </w:r>
      <w:r w:rsidRPr="00B153BA">
        <w:rPr>
          <w:rFonts w:ascii="Arial" w:hAnsi="Arial" w:cs="Arial" w:hint="eastAsia"/>
        </w:rPr>
        <w:t xml:space="preserve"> Parameter estimates in the full and best-fitting general sex-limitation univariate model for gaming addiction (GA) and close friends</w:t>
      </w:r>
      <w:r w:rsidRPr="00B153BA">
        <w:rPr>
          <w:rFonts w:ascii="Arial" w:hAnsi="Arial" w:cs="Arial"/>
        </w:rPr>
        <w:t>’</w:t>
      </w:r>
      <w:r w:rsidRPr="00B153BA">
        <w:rPr>
          <w:rFonts w:ascii="Arial" w:hAnsi="Arial" w:cs="Arial" w:hint="eastAsia"/>
        </w:rPr>
        <w:t xml:space="preserve"> gaming (CFG)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583"/>
        <w:gridCol w:w="1519"/>
        <w:gridCol w:w="1519"/>
        <w:gridCol w:w="1517"/>
        <w:gridCol w:w="1497"/>
        <w:gridCol w:w="1519"/>
        <w:gridCol w:w="1519"/>
        <w:gridCol w:w="1517"/>
      </w:tblGrid>
      <w:tr w:rsidR="00B153BA" w:rsidRPr="00B153BA" w:rsidTr="006970B9"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555" w:type="dxa"/>
            <w:gridSpan w:val="3"/>
          </w:tcPr>
          <w:p w:rsidR="00B153BA" w:rsidRPr="00B153BA" w:rsidRDefault="0075386B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153BA" w:rsidRPr="00B153BA">
              <w:rPr>
                <w:rFonts w:ascii="Arial" w:hAnsi="Arial" w:cs="Arial" w:hint="eastAsia"/>
              </w:rPr>
              <w:t>ale</w:t>
            </w:r>
          </w:p>
        </w:tc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55" w:type="dxa"/>
            <w:gridSpan w:val="3"/>
          </w:tcPr>
          <w:p w:rsidR="00B153BA" w:rsidRPr="00B153BA" w:rsidRDefault="0075386B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B153BA" w:rsidRPr="00B153BA">
              <w:rPr>
                <w:rFonts w:ascii="Arial" w:hAnsi="Arial" w:cs="Arial" w:hint="eastAsia"/>
              </w:rPr>
              <w:t>emale</w:t>
            </w:r>
          </w:p>
        </w:tc>
      </w:tr>
      <w:tr w:rsidR="00B153BA" w:rsidRPr="00B153BA" w:rsidTr="006970B9"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A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C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E</w:t>
            </w:r>
          </w:p>
        </w:tc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A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C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E</w:t>
            </w:r>
          </w:p>
        </w:tc>
      </w:tr>
      <w:tr w:rsidR="00B153BA" w:rsidRPr="00B153BA" w:rsidTr="006970B9"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GA</w:t>
            </w:r>
          </w:p>
        </w:tc>
        <w:tc>
          <w:tcPr>
            <w:tcW w:w="1583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Full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.43 (.01,.68)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.17 (.00, .55)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.40 (.32,.51)</w:t>
            </w:r>
          </w:p>
        </w:tc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.44 (.22, .72)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.32 (.04, .53)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.24 (.20, .29)</w:t>
            </w:r>
          </w:p>
        </w:tc>
      </w:tr>
      <w:tr w:rsidR="00B153BA" w:rsidRPr="00B153BA" w:rsidTr="006970B9"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/>
              </w:rPr>
              <w:t>B</w:t>
            </w:r>
            <w:r w:rsidRPr="00B153BA">
              <w:rPr>
                <w:rFonts w:ascii="Arial" w:hAnsi="Arial" w:cs="Arial" w:hint="eastAsia"/>
              </w:rPr>
              <w:t>est-fitting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.59 (.49, .68)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-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.41 (.32, .51)</w:t>
            </w:r>
          </w:p>
        </w:tc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.76 (.71, .80)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-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.24 (.20, .29)</w:t>
            </w:r>
          </w:p>
        </w:tc>
      </w:tr>
      <w:tr w:rsidR="00B153BA" w:rsidRPr="00B153BA" w:rsidTr="006970B9"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153BA" w:rsidRPr="00B153BA" w:rsidTr="006970B9"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CFG</w:t>
            </w:r>
          </w:p>
        </w:tc>
        <w:tc>
          <w:tcPr>
            <w:tcW w:w="1583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Full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.52 (.05, .77)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.00 (.00, .42)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.48 (.23, .82)</w:t>
            </w:r>
          </w:p>
        </w:tc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.00 (.00, .41)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.62 (.27, .72)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.38 (.25, .50)</w:t>
            </w:r>
          </w:p>
        </w:tc>
      </w:tr>
      <w:tr w:rsidR="00B153BA" w:rsidRPr="00B153BA" w:rsidTr="006970B9"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/>
              </w:rPr>
              <w:t>B</w:t>
            </w:r>
            <w:r w:rsidRPr="00B153BA">
              <w:rPr>
                <w:rFonts w:ascii="Arial" w:hAnsi="Arial" w:cs="Arial" w:hint="eastAsia"/>
              </w:rPr>
              <w:t>est-fitting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.52 (.18, .77)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-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.48 (.23, .82)</w:t>
            </w:r>
          </w:p>
        </w:tc>
        <w:tc>
          <w:tcPr>
            <w:tcW w:w="149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-</w:t>
            </w:r>
          </w:p>
        </w:tc>
        <w:tc>
          <w:tcPr>
            <w:tcW w:w="1519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.62 (.50, .72)</w:t>
            </w:r>
          </w:p>
        </w:tc>
        <w:tc>
          <w:tcPr>
            <w:tcW w:w="1517" w:type="dxa"/>
          </w:tcPr>
          <w:p w:rsidR="00B153BA" w:rsidRPr="00B153BA" w:rsidRDefault="00B153BA" w:rsidP="006970B9">
            <w:pPr>
              <w:spacing w:line="480" w:lineRule="auto"/>
              <w:rPr>
                <w:rFonts w:ascii="Arial" w:hAnsi="Arial" w:cs="Arial"/>
              </w:rPr>
            </w:pPr>
            <w:r w:rsidRPr="00B153BA">
              <w:rPr>
                <w:rFonts w:ascii="Arial" w:hAnsi="Arial" w:cs="Arial" w:hint="eastAsia"/>
              </w:rPr>
              <w:t>.38 (.28, .50)</w:t>
            </w:r>
          </w:p>
        </w:tc>
      </w:tr>
    </w:tbl>
    <w:p w:rsidR="00B153BA" w:rsidRDefault="00B153BA" w:rsidP="00B153BA">
      <w:pPr>
        <w:spacing w:line="360" w:lineRule="auto"/>
        <w:rPr>
          <w:rFonts w:ascii="Arial" w:hAnsi="Arial" w:cs="Arial"/>
        </w:rPr>
      </w:pPr>
    </w:p>
    <w:p w:rsidR="00EB0FE0" w:rsidRPr="00B153BA" w:rsidRDefault="00B153BA" w:rsidP="00807184">
      <w:pPr>
        <w:spacing w:line="360" w:lineRule="auto"/>
      </w:pPr>
      <w:r w:rsidRPr="00B153BA">
        <w:rPr>
          <w:rFonts w:ascii="Arial" w:hAnsi="Arial" w:cs="Arial" w:hint="eastAsia"/>
        </w:rPr>
        <w:t xml:space="preserve">Note. </w:t>
      </w:r>
      <w:r>
        <w:rPr>
          <w:rFonts w:ascii="Arial" w:hAnsi="Arial" w:cs="Arial" w:hint="eastAsia"/>
        </w:rPr>
        <w:t>A,</w:t>
      </w:r>
      <w:r w:rsidRPr="00B153BA">
        <w:rPr>
          <w:rFonts w:ascii="Arial" w:hAnsi="Arial" w:cs="Arial" w:hint="eastAsia"/>
        </w:rPr>
        <w:t xml:space="preserve"> </w:t>
      </w:r>
      <w:r w:rsidRPr="00B153BA">
        <w:rPr>
          <w:rFonts w:ascii="Arial" w:hAnsi="Arial" w:cs="Arial"/>
        </w:rPr>
        <w:t>additive</w:t>
      </w:r>
      <w:r w:rsidRPr="00B153BA">
        <w:rPr>
          <w:rFonts w:ascii="Arial" w:hAnsi="Arial" w:cs="Arial" w:hint="eastAsia"/>
        </w:rPr>
        <w:t xml:space="preserve"> genetic influences</w:t>
      </w:r>
      <w:r>
        <w:rPr>
          <w:rFonts w:ascii="Arial" w:hAnsi="Arial" w:cs="Arial"/>
        </w:rPr>
        <w:t>;</w:t>
      </w:r>
      <w:r>
        <w:rPr>
          <w:rFonts w:ascii="Arial" w:hAnsi="Arial" w:cs="Arial" w:hint="eastAsia"/>
        </w:rPr>
        <w:t xml:space="preserve"> C,</w:t>
      </w:r>
      <w:r w:rsidRPr="00B153BA">
        <w:rPr>
          <w:rFonts w:ascii="Arial" w:hAnsi="Arial" w:cs="Arial" w:hint="eastAsia"/>
        </w:rPr>
        <w:t xml:space="preserve"> shared environmental influences</w:t>
      </w:r>
      <w:r>
        <w:rPr>
          <w:rFonts w:ascii="Arial" w:hAnsi="Arial" w:cs="Arial"/>
        </w:rPr>
        <w:t>;</w:t>
      </w:r>
      <w:r>
        <w:rPr>
          <w:rFonts w:ascii="Arial" w:hAnsi="Arial" w:cs="Arial" w:hint="eastAsia"/>
        </w:rPr>
        <w:t xml:space="preserve"> E,</w:t>
      </w:r>
      <w:r w:rsidRPr="00B153BA">
        <w:rPr>
          <w:rFonts w:ascii="Arial" w:hAnsi="Arial" w:cs="Arial" w:hint="eastAsia"/>
        </w:rPr>
        <w:t xml:space="preserve"> </w:t>
      </w:r>
      <w:proofErr w:type="spellStart"/>
      <w:r w:rsidRPr="00B153BA">
        <w:rPr>
          <w:rFonts w:ascii="Arial" w:hAnsi="Arial" w:cs="Arial" w:hint="eastAsia"/>
        </w:rPr>
        <w:t>nonshared</w:t>
      </w:r>
      <w:proofErr w:type="spellEnd"/>
      <w:r w:rsidRPr="00B153BA">
        <w:rPr>
          <w:rFonts w:ascii="Arial" w:hAnsi="Arial" w:cs="Arial" w:hint="eastAsia"/>
        </w:rPr>
        <w:t xml:space="preserve"> environmental influences including measurement error. </w:t>
      </w:r>
      <w:r w:rsidRPr="00B153BA">
        <w:rPr>
          <w:rFonts w:ascii="Arial" w:hAnsi="Arial" w:cs="Arial"/>
        </w:rPr>
        <w:t>Neither GA nor CFG showed significant qualitative sex differe</w:t>
      </w:r>
      <w:r>
        <w:rPr>
          <w:rFonts w:ascii="Arial" w:hAnsi="Arial" w:cs="Arial"/>
        </w:rPr>
        <w:t xml:space="preserve">nces in genetic, shared, or </w:t>
      </w:r>
      <w:proofErr w:type="spellStart"/>
      <w:r>
        <w:rPr>
          <w:rFonts w:ascii="Arial" w:hAnsi="Arial" w:cs="Arial"/>
        </w:rPr>
        <w:t>non</w:t>
      </w:r>
      <w:r w:rsidRPr="00B153BA">
        <w:rPr>
          <w:rFonts w:ascii="Arial" w:hAnsi="Arial" w:cs="Arial"/>
        </w:rPr>
        <w:t>shared</w:t>
      </w:r>
      <w:proofErr w:type="spellEnd"/>
      <w:r w:rsidRPr="00B153BA">
        <w:rPr>
          <w:rFonts w:ascii="Arial" w:hAnsi="Arial" w:cs="Arial"/>
        </w:rPr>
        <w:t xml:space="preserve"> environmental influences. However, quantitative sex differences in these influences were significant for both GA and CFG.</w:t>
      </w:r>
      <w:bookmarkStart w:id="0" w:name="_GoBack"/>
      <w:bookmarkEnd w:id="0"/>
      <w:r w:rsidR="00807184" w:rsidRPr="00B153BA">
        <w:t xml:space="preserve"> </w:t>
      </w:r>
    </w:p>
    <w:sectPr w:rsidR="00EB0FE0" w:rsidRPr="00B153BA" w:rsidSect="007A02D2">
      <w:pgSz w:w="16838" w:h="11906" w:orient="landscape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BA"/>
    <w:rsid w:val="0075386B"/>
    <w:rsid w:val="00807184"/>
    <w:rsid w:val="00B153BA"/>
    <w:rsid w:val="00DF2CAF"/>
    <w:rsid w:val="00F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CF39"/>
  <w15:chartTrackingRefBased/>
  <w15:docId w15:val="{83FEB86E-5D59-4A4A-8711-4A546306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BA"/>
    <w:pPr>
      <w:widowControl w:val="0"/>
      <w:wordWrap w:val="0"/>
      <w:autoSpaceDE w:val="0"/>
      <w:autoSpaceDN w:val="0"/>
      <w:spacing w:line="240" w:lineRule="auto"/>
    </w:pPr>
    <w:rPr>
      <w:rFonts w:eastAsiaTheme="minorEastAsia"/>
      <w:kern w:val="2"/>
      <w:szCs w:val="24"/>
      <w:lang w:val="en-US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3BA"/>
    <w:pPr>
      <w:spacing w:after="0" w:line="240" w:lineRule="auto"/>
    </w:pPr>
    <w:rPr>
      <w:rFonts w:eastAsiaTheme="minorEastAsia"/>
      <w:kern w:val="2"/>
      <w:szCs w:val="24"/>
      <w:lang w:val="en-US" w:eastAsia="ko-K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 Berghofer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Martin</dc:creator>
  <cp:keywords/>
  <dc:description/>
  <cp:lastModifiedBy>N Martin</cp:lastModifiedBy>
  <cp:revision>3</cp:revision>
  <dcterms:created xsi:type="dcterms:W3CDTF">2025-01-16T00:21:00Z</dcterms:created>
  <dcterms:modified xsi:type="dcterms:W3CDTF">2025-01-16T00:24:00Z</dcterms:modified>
</cp:coreProperties>
</file>