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5A" w:rsidRPr="001C1600" w:rsidRDefault="004F155A" w:rsidP="004F155A">
      <w:pPr>
        <w:tabs>
          <w:tab w:val="left" w:pos="111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600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</w:t>
      </w:r>
      <w:r w:rsidR="00AA11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ry </w:t>
      </w:r>
      <w:r w:rsidRPr="001C1600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</w:t>
      </w:r>
    </w:p>
    <w:p w:rsidR="00AA11C9" w:rsidRDefault="00AA11C9" w:rsidP="004F155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16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Male Twin Live Births Following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Unconditional Cash</w:t>
      </w:r>
      <w:r w:rsidRPr="001C16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Transfers in Alaska: A Time-Series Analysis</w:t>
      </w: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Parvati Singh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Nicholas Mark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B1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Sarah Cowan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Division of Epidemiology, College of Public Health, The Ohio State University, </w:t>
      </w:r>
      <w:r w:rsidRPr="005B18E0">
        <w:rPr>
          <w:rFonts w:ascii="Times New Roman" w:hAnsi="Times New Roman" w:cs="Times New Roman"/>
          <w:sz w:val="24"/>
          <w:szCs w:val="24"/>
          <w:shd w:val="clear" w:color="auto" w:fill="FFFFFF"/>
        </w:rPr>
        <w:t>Columbus, Ohio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1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USA</w:t>
      </w:r>
    </w:p>
    <w:p w:rsidR="004F155A" w:rsidRPr="00916E16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Sociology, University of Wisconsin–Madison, </w:t>
      </w:r>
      <w:r w:rsidRPr="005B1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Madison, Wisconsin,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USA</w:t>
      </w: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Sociology, New York University,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York City, 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USA</w:t>
      </w: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Author for correspondence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: Parvat</w:t>
      </w:r>
      <w:bookmarkStart w:id="0" w:name="_GoBack"/>
      <w:bookmarkEnd w:id="0"/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i Singh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Email: singh.1704@osu.edu</w:t>
      </w: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0">
        <w:rPr>
          <w:rFonts w:ascii="Times New Roman" w:hAnsi="Times New Roman" w:cs="Times New Roman"/>
          <w:sz w:val="24"/>
          <w:szCs w:val="24"/>
          <w:shd w:val="clear" w:color="auto" w:fill="FFFFFF"/>
        </w:rPr>
        <w:t>Contents:</w:t>
      </w:r>
    </w:p>
    <w:p w:rsidR="004F155A" w:rsidRPr="00666B5A" w:rsidRDefault="004F155A" w:rsidP="00666B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 xml:space="preserve">Supplement Figure S1: Monthly count of male and female twin and singleton live births in Alaska. </w:t>
      </w:r>
    </w:p>
    <w:p w:rsidR="004F155A" w:rsidRPr="00666B5A" w:rsidRDefault="004F155A" w:rsidP="00666B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Figure S2: Expected or fitted values (ARIMA signature) of monthly odds of male twin live births in Alaska, 1980-2019.</w:t>
      </w:r>
    </w:p>
    <w:p w:rsidR="004F155A" w:rsidRPr="00666B5A" w:rsidRDefault="004F155A" w:rsidP="00666B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Figure S3: ARIMA-derived residuals of monthly odds of male twin live births and timing, magnitude of PFD payments in Alaska, 1980-2019.</w:t>
      </w:r>
    </w:p>
    <w:p w:rsidR="004F155A" w:rsidRPr="00666B5A" w:rsidRDefault="004F155A" w:rsidP="00666B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Figure S4: Time-series graph of Autocorrelation Function (ACF) and Partial Autocorrelation Function (PACF) and respective 95% Confidence Intervals of monthly odds of male twin live births after removal of autocorrelation, over 1-12 lags.</w:t>
      </w:r>
    </w:p>
    <w:p w:rsidR="004F155A" w:rsidRPr="00666B5A" w:rsidRDefault="004F155A" w:rsidP="00666B5A">
      <w:pPr>
        <w:tabs>
          <w:tab w:val="left" w:pos="483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Table S1: Results from ARIMA time-series analysis of monthly odds of female twin live births as a function of PFD month and amount (in $1000s) and autocorrelation, Alaska, 1980-2019.</w:t>
      </w:r>
    </w:p>
    <w:p w:rsidR="004F155A" w:rsidRPr="00666B5A" w:rsidRDefault="004F155A" w:rsidP="00666B5A">
      <w:pPr>
        <w:tabs>
          <w:tab w:val="left" w:pos="483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 xml:space="preserve">Supplement Table S2: Results from ARIMA time-series analysis of monthly odds of male twin live births as a function PFD payment month and autocorrelation, Alaska, 1980-2019. </w:t>
      </w:r>
    </w:p>
    <w:p w:rsidR="004F155A" w:rsidRPr="00666B5A" w:rsidRDefault="004F155A" w:rsidP="00666B5A">
      <w:pPr>
        <w:tabs>
          <w:tab w:val="left" w:pos="483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Table S3: Results from ARIMA time-series analysis of monthly odds of male twin live births as a function of 7–11-month lags of PFD month and amount (in $1000s) and autocorrelation, Alaska, 1980-2019.</w:t>
      </w:r>
    </w:p>
    <w:p w:rsidR="004F155A" w:rsidRPr="00666B5A" w:rsidRDefault="004F155A" w:rsidP="00666B5A">
      <w:pPr>
        <w:tabs>
          <w:tab w:val="left" w:pos="483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lastRenderedPageBreak/>
        <w:t>Supplement Table S4: Results from ARIMA time-series analysis of monthly odds of male twin live births as a function 3-month lag of PFD month and amount (in $1000s) and autocorrelation, Alaska, 1980-2019.</w:t>
      </w:r>
    </w:p>
    <w:p w:rsidR="004F155A" w:rsidRPr="00666B5A" w:rsidRDefault="004F155A" w:rsidP="00666B5A">
      <w:pPr>
        <w:tabs>
          <w:tab w:val="left" w:pos="483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B5A">
        <w:rPr>
          <w:rFonts w:ascii="Times New Roman" w:hAnsi="Times New Roman" w:cs="Times New Roman"/>
          <w:bCs/>
          <w:sz w:val="24"/>
          <w:szCs w:val="24"/>
        </w:rPr>
        <w:t>Supplement Table S5: Description of key population-level time-series studies examining the association between macrosocial exposures and male twin live births.</w:t>
      </w:r>
      <w:r w:rsidR="00AA11C9" w:rsidRPr="00666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  <w:sectPr w:rsidR="004F155A" w:rsidRPr="001C1600" w:rsidSect="00742013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4F155A" w:rsidRDefault="004D105D" w:rsidP="004F155A">
      <w:pPr>
        <w:tabs>
          <w:tab w:val="left" w:pos="1114"/>
        </w:tabs>
        <w:rPr>
          <w:rFonts w:ascii="Times New Roman" w:hAnsi="Times New Roman" w:cs="Times New Roman"/>
          <w:b/>
          <w:sz w:val="24"/>
          <w:szCs w:val="24"/>
        </w:rPr>
      </w:pPr>
      <w:r w:rsidRPr="009355B1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406400</wp:posOffset>
            </wp:positionV>
            <wp:extent cx="7901305" cy="5746750"/>
            <wp:effectExtent l="0" t="0" r="4445" b="0"/>
            <wp:wrapSquare wrapText="bothSides"/>
            <wp:docPr id="2633897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1" t="3646" r="241" b="-3646"/>
                    <a:stretch/>
                  </pic:blipFill>
                  <pic:spPr bwMode="auto">
                    <a:xfrm>
                      <a:off x="0" y="0"/>
                      <a:ext cx="7901305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5A" w:rsidRPr="001C1600">
        <w:rPr>
          <w:rFonts w:ascii="Times New Roman" w:hAnsi="Times New Roman" w:cs="Times New Roman"/>
          <w:b/>
          <w:sz w:val="24"/>
          <w:szCs w:val="24"/>
        </w:rPr>
        <w:t>Supplement</w:t>
      </w:r>
      <w:r w:rsidR="00AA11C9">
        <w:rPr>
          <w:rFonts w:ascii="Times New Roman" w:hAnsi="Times New Roman" w:cs="Times New Roman"/>
          <w:b/>
          <w:sz w:val="24"/>
          <w:szCs w:val="24"/>
        </w:rPr>
        <w:t>ary</w:t>
      </w:r>
      <w:r w:rsidR="004F155A" w:rsidRPr="001C1600">
        <w:rPr>
          <w:rFonts w:ascii="Times New Roman" w:hAnsi="Times New Roman" w:cs="Times New Roman"/>
          <w:b/>
          <w:sz w:val="24"/>
          <w:szCs w:val="24"/>
        </w:rPr>
        <w:t xml:space="preserve"> Figure S1: Monthly count of male and female twin and singleton live births in Alaska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  <w:sectPr w:rsidR="004F155A" w:rsidRPr="001C1600" w:rsidSect="004D105D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4F155A" w:rsidRPr="009355B1" w:rsidRDefault="004F155A" w:rsidP="004F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911">
        <w:rPr>
          <w:rFonts w:ascii="Times New Roman" w:hAnsi="Times New Roman" w:cs="Times New Roman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1" locked="0" layoutInCell="1" allowOverlap="1" wp14:anchorId="29406CC4" wp14:editId="27995D11">
            <wp:simplePos x="0" y="0"/>
            <wp:positionH relativeFrom="column">
              <wp:posOffset>-768350</wp:posOffset>
            </wp:positionH>
            <wp:positionV relativeFrom="paragraph">
              <wp:posOffset>448310</wp:posOffset>
            </wp:positionV>
            <wp:extent cx="9808210" cy="3268980"/>
            <wp:effectExtent l="0" t="0" r="2540" b="7620"/>
            <wp:wrapTight wrapText="bothSides">
              <wp:wrapPolygon edited="0">
                <wp:start x="0" y="0"/>
                <wp:lineTo x="0" y="21524"/>
                <wp:lineTo x="21564" y="21524"/>
                <wp:lineTo x="21564" y="0"/>
                <wp:lineTo x="0" y="0"/>
              </wp:wrapPolygon>
            </wp:wrapTight>
            <wp:docPr id="10749435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2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1C9" w:rsidRPr="001C1600">
        <w:rPr>
          <w:rFonts w:ascii="Times New Roman" w:hAnsi="Times New Roman" w:cs="Times New Roman"/>
          <w:b/>
          <w:sz w:val="24"/>
          <w:szCs w:val="24"/>
        </w:rPr>
        <w:t>Supplement</w:t>
      </w:r>
      <w:r w:rsidR="00AA11C9">
        <w:rPr>
          <w:rFonts w:ascii="Times New Roman" w:hAnsi="Times New Roman" w:cs="Times New Roman"/>
          <w:b/>
          <w:sz w:val="24"/>
          <w:szCs w:val="24"/>
        </w:rPr>
        <w:t>ary</w:t>
      </w:r>
      <w:r w:rsidR="00AA11C9" w:rsidRPr="001C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5B1">
        <w:rPr>
          <w:rFonts w:ascii="Times New Roman" w:hAnsi="Times New Roman" w:cs="Times New Roman"/>
          <w:b/>
          <w:sz w:val="24"/>
          <w:szCs w:val="24"/>
        </w:rPr>
        <w:t>Figure S2: Expected or fitted values (ARIMA signature) of monthly odds of male twin live births in Alaska, 1980-2019.</w:t>
      </w: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55A" w:rsidRDefault="004F155A" w:rsidP="004F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  <w:sectPr w:rsidR="004F155A" w:rsidSect="004D105D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4F155A" w:rsidRPr="009355B1" w:rsidRDefault="004F155A" w:rsidP="004F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030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1" locked="0" layoutInCell="1" allowOverlap="1" wp14:anchorId="4194220D" wp14:editId="6AEB347F">
            <wp:simplePos x="0" y="0"/>
            <wp:positionH relativeFrom="column">
              <wp:posOffset>-759460</wp:posOffset>
            </wp:positionH>
            <wp:positionV relativeFrom="paragraph">
              <wp:posOffset>474345</wp:posOffset>
            </wp:positionV>
            <wp:extent cx="9756140" cy="3251835"/>
            <wp:effectExtent l="0" t="0" r="0" b="5715"/>
            <wp:wrapTight wrapText="bothSides">
              <wp:wrapPolygon edited="0">
                <wp:start x="0" y="0"/>
                <wp:lineTo x="0" y="21511"/>
                <wp:lineTo x="21552" y="21511"/>
                <wp:lineTo x="21552" y="0"/>
                <wp:lineTo x="0" y="0"/>
              </wp:wrapPolygon>
            </wp:wrapTight>
            <wp:docPr id="19561832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1C9" w:rsidRPr="001C1600">
        <w:rPr>
          <w:rFonts w:ascii="Times New Roman" w:hAnsi="Times New Roman" w:cs="Times New Roman"/>
          <w:b/>
          <w:sz w:val="24"/>
          <w:szCs w:val="24"/>
        </w:rPr>
        <w:t>Supplement</w:t>
      </w:r>
      <w:r w:rsidR="00AA11C9">
        <w:rPr>
          <w:rFonts w:ascii="Times New Roman" w:hAnsi="Times New Roman" w:cs="Times New Roman"/>
          <w:b/>
          <w:sz w:val="24"/>
          <w:szCs w:val="24"/>
        </w:rPr>
        <w:t>ary</w:t>
      </w:r>
      <w:r w:rsidR="00AA11C9" w:rsidRPr="001C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5B1">
        <w:rPr>
          <w:rFonts w:ascii="Times New Roman" w:hAnsi="Times New Roman" w:cs="Times New Roman"/>
          <w:b/>
          <w:sz w:val="24"/>
          <w:szCs w:val="24"/>
        </w:rPr>
        <w:t>Figure S3: ARIMA-derived residuals of monthly odds of male twin live births and timing, magnitude of PFD payments in Alaska, 1980-2019.</w:t>
      </w:r>
    </w:p>
    <w:p w:rsidR="004F155A" w:rsidRDefault="004F155A" w:rsidP="004F155A">
      <w:pPr>
        <w:rPr>
          <w:rFonts w:ascii="Times New Roman" w:hAnsi="Times New Roman" w:cs="Times New Roman"/>
          <w:b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b/>
          <w:sz w:val="24"/>
          <w:szCs w:val="24"/>
        </w:rPr>
        <w:sectPr w:rsidR="004F155A" w:rsidSect="004D105D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4F155A" w:rsidRPr="001C1600" w:rsidRDefault="00AA11C9" w:rsidP="004F155A">
      <w:pPr>
        <w:rPr>
          <w:rFonts w:ascii="Times New Roman" w:hAnsi="Times New Roman" w:cs="Times New Roman"/>
          <w:b/>
          <w:sz w:val="24"/>
          <w:szCs w:val="24"/>
        </w:rPr>
      </w:pPr>
      <w:r w:rsidRPr="001C1600">
        <w:rPr>
          <w:rFonts w:ascii="Times New Roman" w:hAnsi="Times New Roman" w:cs="Times New Roman"/>
          <w:b/>
          <w:sz w:val="24"/>
          <w:szCs w:val="24"/>
        </w:rPr>
        <w:t>Supplement</w:t>
      </w:r>
      <w:r>
        <w:rPr>
          <w:rFonts w:ascii="Times New Roman" w:hAnsi="Times New Roman" w:cs="Times New Roman"/>
          <w:b/>
          <w:sz w:val="24"/>
          <w:szCs w:val="24"/>
        </w:rPr>
        <w:t>ary</w:t>
      </w:r>
      <w:r w:rsidRPr="001C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55A" w:rsidRPr="001C1600">
        <w:rPr>
          <w:rFonts w:ascii="Times New Roman" w:hAnsi="Times New Roman" w:cs="Times New Roman"/>
          <w:b/>
          <w:sz w:val="24"/>
          <w:szCs w:val="24"/>
        </w:rPr>
        <w:t>Figure S</w:t>
      </w:r>
      <w:r w:rsidR="004F155A">
        <w:rPr>
          <w:rFonts w:ascii="Times New Roman" w:hAnsi="Times New Roman" w:cs="Times New Roman"/>
          <w:b/>
          <w:sz w:val="24"/>
          <w:szCs w:val="24"/>
        </w:rPr>
        <w:t>4</w:t>
      </w:r>
      <w:r w:rsidR="004F155A" w:rsidRPr="001C1600">
        <w:rPr>
          <w:rFonts w:ascii="Times New Roman" w:hAnsi="Times New Roman" w:cs="Times New Roman"/>
          <w:b/>
          <w:sz w:val="24"/>
          <w:szCs w:val="24"/>
        </w:rPr>
        <w:t>: Time-series graph of Autocorrelation Function (ACF) and Partial Autocorrelation Function (PACF) and respective 95% Confidence Intervals of monthly odds of male twin live births after removal of autocorrelation, over 1-12 lags.</w:t>
      </w:r>
    </w:p>
    <w:p w:rsidR="004F155A" w:rsidRPr="001C1600" w:rsidRDefault="004F155A" w:rsidP="004F155A">
      <w:pPr>
        <w:rPr>
          <w:rFonts w:ascii="Times New Roman" w:hAnsi="Times New Roman" w:cs="Times New Roman"/>
          <w:b/>
          <w:sz w:val="24"/>
          <w:szCs w:val="24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  <w:sectPr w:rsidR="004F155A" w:rsidRPr="001C1600" w:rsidSect="004D105D">
          <w:pgSz w:w="12240" w:h="15840"/>
          <w:pgMar w:top="1440" w:right="1440" w:bottom="1440" w:left="1440" w:header="720" w:footer="720" w:gutter="0"/>
          <w:cols w:space="720"/>
        </w:sectPr>
      </w:pPr>
      <w:r w:rsidRPr="001C1600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C49DBEE" wp14:editId="1887139A">
            <wp:extent cx="5621572" cy="5621572"/>
            <wp:effectExtent l="0" t="0" r="0" b="0"/>
            <wp:docPr id="8162949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44" cy="56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b/>
          <w:bCs/>
          <w:sz w:val="24"/>
          <w:szCs w:val="24"/>
        </w:rPr>
        <w:t>Table S1. Results from ARIMA time-series analysis of monthly odds of female twin live births as a function of PFD month and amount (in $1000s) and autocorrelation, Alaska, 1980-2019.</w:t>
      </w: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709"/>
        <w:gridCol w:w="2051"/>
      </w:tblGrid>
      <w:tr w:rsidR="004F155A" w:rsidRPr="001C1600" w:rsidTr="00994B0A">
        <w:trPr>
          <w:trHeight w:val="161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</w:tr>
      <w:tr w:rsidR="004F155A" w:rsidRPr="001C1600" w:rsidTr="00994B0A">
        <w:trPr>
          <w:trHeight w:val="350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PFD month and amount (in $1000s)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Autocorrelation parameters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1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2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6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0.0264***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*p &lt; 0.05, **p &lt; 0.01, ***p&lt;0.001; two-tailed test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AR = AutoRegression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  <w:r w:rsidRPr="001C1600">
        <w:rPr>
          <w:rFonts w:ascii="Times New Roman" w:hAnsi="Times New Roman" w:cs="Times New Roman"/>
          <w:bCs/>
          <w:sz w:val="24"/>
          <w:szCs w:val="24"/>
        </w:rPr>
        <w:t>October” effect on the patterning of male twinning in Alaska (Supplement Table S2). Examination of ARIMA-derived outcome residuals shows absence of autocorrelation (supplement Figure S2). Exposure lags of 7-11 months do not exhibit statistically detectable relations with the outcome (Supplement Table S3).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</w:pP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bCs/>
          <w:sz w:val="24"/>
          <w:szCs w:val="24"/>
        </w:rPr>
        <w:sectPr w:rsidR="004F155A" w:rsidRPr="001C1600" w:rsidSect="004D105D">
          <w:pgSz w:w="12240" w:h="15840"/>
          <w:pgMar w:top="1440" w:right="1440" w:bottom="1440" w:left="1440" w:header="720" w:footer="720" w:gutter="0"/>
          <w:cols w:space="720"/>
        </w:sectPr>
      </w:pP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b/>
          <w:bCs/>
          <w:sz w:val="24"/>
          <w:szCs w:val="24"/>
        </w:rPr>
        <w:t>Table S2. Results from ARIMA time-series analysis of monthly odds of male twin live births as a function PFD payment month and autocorrelation, Alaska, 1980-2019.</w:t>
      </w: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709"/>
        <w:gridCol w:w="2051"/>
      </w:tblGrid>
      <w:tr w:rsidR="004F155A" w:rsidRPr="001C1600" w:rsidTr="00994B0A">
        <w:trPr>
          <w:trHeight w:val="161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</w:tr>
      <w:tr w:rsidR="004F155A" w:rsidRPr="001C1600" w:rsidTr="00994B0A">
        <w:trPr>
          <w:trHeight w:val="350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PFD month (binary indicator)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Autocorrelation parameters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4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0.121*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5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0.145**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6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0.140**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0.025***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*p &lt; 0.05, **p &lt; 0.01, ***p&lt;0.001; two-tailed test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AR = AutoRegression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  <w:sectPr w:rsidR="004F155A" w:rsidRPr="001C1600" w:rsidSect="004D105D">
          <w:pgSz w:w="12240" w:h="15840"/>
          <w:pgMar w:top="1440" w:right="1440" w:bottom="1440" w:left="1440" w:header="720" w:footer="720" w:gutter="0"/>
          <w:cols w:space="720"/>
        </w:sectPr>
      </w:pP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b/>
          <w:bCs/>
          <w:sz w:val="24"/>
          <w:szCs w:val="24"/>
        </w:rPr>
        <w:t>Table S3. Results from ARIMA time-series analysis of monthly odds of male twin live births as a function of 7–11-month lags of PFD month and amount (in $1000s) and autocorrelation, Alaska, 1980-2019.</w:t>
      </w: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709"/>
        <w:gridCol w:w="2051"/>
      </w:tblGrid>
      <w:tr w:rsidR="004F155A" w:rsidRPr="001C1600" w:rsidTr="00994B0A">
        <w:trPr>
          <w:trHeight w:val="161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</w:tr>
      <w:tr w:rsidR="004F155A" w:rsidRPr="001C1600" w:rsidTr="00994B0A">
        <w:trPr>
          <w:trHeight w:val="350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PFD month and amount (in $1000s)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Lag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Autocorrelation parameters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4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0.121*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5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0.145**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6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0.139**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0.0251***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*p &lt; 0.05, **p &lt; 0.01, ***p&lt;0.001; two-tailed test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AR = AutoRegression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155A" w:rsidRPr="004F3030" w:rsidRDefault="004F155A" w:rsidP="004F155A">
      <w:pPr>
        <w:tabs>
          <w:tab w:val="left" w:pos="4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 Table S4</w:t>
      </w:r>
      <w:r w:rsidRPr="001C16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3030">
        <w:rPr>
          <w:rFonts w:ascii="Times New Roman" w:hAnsi="Times New Roman" w:cs="Times New Roman"/>
          <w:b/>
          <w:sz w:val="24"/>
          <w:szCs w:val="24"/>
        </w:rPr>
        <w:t>Results from ARIMA time-series analysis of monthly odds of male twin live births as a function 3-month lag of PFD month and amount (in $1000s) and autocorrelation, Alaska, 1980-2019.</w:t>
      </w:r>
    </w:p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709"/>
        <w:gridCol w:w="2051"/>
      </w:tblGrid>
      <w:tr w:rsidR="004F155A" w:rsidRPr="001C1600" w:rsidTr="00994B0A">
        <w:trPr>
          <w:trHeight w:val="161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Coefficient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error</w:t>
            </w:r>
          </w:p>
        </w:tc>
      </w:tr>
      <w:tr w:rsidR="004F155A" w:rsidRPr="001C1600" w:rsidTr="00994B0A">
        <w:trPr>
          <w:trHeight w:val="350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PFD month and amount (in $1000s)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 xml:space="preserve">Lag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(3 months post PFD disbursement)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Autocorrelation parameters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4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5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0.146**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AR 6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4F155A" w:rsidRPr="001C1600" w:rsidTr="00994B0A">
        <w:trPr>
          <w:trHeight w:val="384"/>
        </w:trPr>
        <w:tc>
          <w:tcPr>
            <w:tcW w:w="5245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709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0.025***</w:t>
            </w:r>
          </w:p>
        </w:tc>
        <w:tc>
          <w:tcPr>
            <w:tcW w:w="2051" w:type="dxa"/>
            <w:vAlign w:val="center"/>
          </w:tcPr>
          <w:p w:rsidR="004F155A" w:rsidRPr="001C1600" w:rsidRDefault="004F155A" w:rsidP="00994B0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00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</w:tr>
    </w:tbl>
    <w:p w:rsidR="004F155A" w:rsidRPr="001C1600" w:rsidRDefault="004F155A" w:rsidP="004F155A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*p &lt; 0.05, **p &lt; 0.01, ***p&lt;0.001; two-tailed test</w:t>
      </w:r>
    </w:p>
    <w:p w:rsidR="004F155A" w:rsidRPr="001C1600" w:rsidRDefault="004F155A" w:rsidP="004F155A">
      <w:pPr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r w:rsidRPr="001C1600">
        <w:rPr>
          <w:rFonts w:ascii="Times New Roman" w:hAnsi="Times New Roman" w:cs="Times New Roman"/>
          <w:sz w:val="24"/>
          <w:szCs w:val="24"/>
        </w:rPr>
        <w:t>AR = AutoRegression</w:t>
      </w: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4F155A" w:rsidRDefault="004F155A" w:rsidP="004F155A">
      <w:pPr>
        <w:rPr>
          <w:rFonts w:ascii="Times New Roman" w:hAnsi="Times New Roman" w:cs="Times New Roman"/>
          <w:sz w:val="24"/>
          <w:szCs w:val="24"/>
        </w:rPr>
        <w:sectPr w:rsidR="004F155A" w:rsidSect="004D105D">
          <w:pgSz w:w="12240" w:h="15840"/>
          <w:pgMar w:top="1440" w:right="1440" w:bottom="1440" w:left="1440" w:header="720" w:footer="720" w:gutter="0"/>
          <w:cols w:space="720"/>
        </w:sectPr>
      </w:pPr>
    </w:p>
    <w:p w:rsidR="004F155A" w:rsidRPr="00EF72DB" w:rsidRDefault="004F155A" w:rsidP="004F155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4986214"/>
      <w:r w:rsidRPr="00EF72DB">
        <w:rPr>
          <w:rFonts w:ascii="Times New Roman" w:hAnsi="Times New Roman" w:cs="Times New Roman"/>
          <w:b/>
          <w:bCs/>
          <w:sz w:val="24"/>
          <w:szCs w:val="24"/>
        </w:rPr>
        <w:t>Supplement Table 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2DB">
        <w:rPr>
          <w:rFonts w:ascii="Times New Roman" w:hAnsi="Times New Roman" w:cs="Times New Roman"/>
          <w:b/>
          <w:bCs/>
          <w:sz w:val="24"/>
          <w:szCs w:val="24"/>
        </w:rPr>
        <w:t xml:space="preserve">: Description of key population-level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time-series </w:t>
      </w:r>
      <w:r w:rsidRPr="00EF72DB">
        <w:rPr>
          <w:rFonts w:ascii="Times New Roman" w:hAnsi="Times New Roman" w:cs="Times New Roman"/>
          <w:b/>
          <w:bCs/>
          <w:sz w:val="24"/>
          <w:szCs w:val="24"/>
        </w:rPr>
        <w:t>studies examining the association between macrosocial exposures and male twin live births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743"/>
        <w:gridCol w:w="1403"/>
        <w:gridCol w:w="1509"/>
        <w:gridCol w:w="1209"/>
        <w:gridCol w:w="1190"/>
        <w:gridCol w:w="1380"/>
        <w:gridCol w:w="2521"/>
      </w:tblGrid>
      <w:tr w:rsidR="004F155A" w:rsidRPr="00EF72DB" w:rsidTr="00994B0A">
        <w:tc>
          <w:tcPr>
            <w:tcW w:w="3898" w:type="dxa"/>
          </w:tcPr>
          <w:bookmarkEnd w:id="1"/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citation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population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Exposure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Exposure lags tested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 rejected for exposure lag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coefficient (standard error) for statistically detectable exposure lag(s) at α≤0.05</w:t>
            </w:r>
          </w:p>
        </w:tc>
      </w:tr>
      <w:tr w:rsidR="004F155A" w:rsidRPr="00EF72DB" w:rsidTr="00994B0A">
        <w:tc>
          <w:tcPr>
            <w:tcW w:w="3898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Karasek, D., Goodman, J., Gemmill, A., Falconi, A., Hartig, T., Magganas, A. and Catalano, R., 2015. Twins less frequent than expected among male births in risk averse populations.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Twin Research and Human Genetics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(3), pp.314-320.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Sweden (population-wide study)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Consumer confidence index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Odds of male twin live births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1-8 months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-0.0012 (0.0006)</w:t>
            </w:r>
          </w:p>
        </w:tc>
      </w:tr>
      <w:tr w:rsidR="004F155A" w:rsidRPr="00EF72DB" w:rsidTr="00994B0A">
        <w:tc>
          <w:tcPr>
            <w:tcW w:w="3898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Catalano, R.A., Goldman-Mellor, S., Karasek, D.A., Gemmill, A., Casey, J.A., Elser, H., Bruckner, T.A. and Hartig, T., 2020. Collective optimism and selection against male twins in utero.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Twin Research and Human Genetics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(1), pp.45-50.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Sweden (population-wide study)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Suicide deaths among reproductive-aged females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Odds ratio of male twin live births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1-8 months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-0.004 (0.002)</w:t>
            </w:r>
          </w:p>
        </w:tc>
      </w:tr>
      <w:tr w:rsidR="004F155A" w:rsidRPr="00EF72DB" w:rsidTr="00994B0A">
        <w:tc>
          <w:tcPr>
            <w:tcW w:w="3898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Bruckner, T.A., Bustos, B., Margerison, C., Gemmill, A., Casey, J. and Catalano, R., 2023. Selection in utero against male twins in the United States early in the COVID‐19 pandemic.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American Journal of Human Biology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(3), p.e23830.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United States (population-wide study)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Onset of COVID-19 pandemic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Male twin live birth secondary sex ratio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1-6 months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-0.0008 (0.0004)</w:t>
            </w:r>
          </w:p>
        </w:tc>
      </w:tr>
      <w:tr w:rsidR="004F155A" w:rsidRPr="00EF72DB" w:rsidTr="00994B0A">
        <w:tc>
          <w:tcPr>
            <w:tcW w:w="3898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Singh, P., Gailey, S., Das, A. and Bruckner, T.A., 2023. National trends in suicides and male twin live births in the US, 2003 to 2019: an updated test of collective optimism and selection in utero.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Twin research and human genetics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(6), pp.353-360.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United States (population-wide study)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Suicide deaths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ratio of male twins to male singleton live births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2-6 months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-0.005 (0.002)</w:t>
            </w:r>
          </w:p>
        </w:tc>
      </w:tr>
      <w:tr w:rsidR="004F155A" w:rsidRPr="00EF72DB" w:rsidTr="00994B0A">
        <w:tc>
          <w:tcPr>
            <w:tcW w:w="3898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Stolte, A., Gemmill, A., Lee, H., Bustos, B., Casey, J.A., Bruckner, T.A. and Catalano, R.A., 2024. Male twinning after the 2008 Obama election: A test of symbolic empowerment.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 Science &amp; Medicine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EF7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356</w:t>
            </w: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, p.117131.</w:t>
            </w:r>
          </w:p>
        </w:tc>
        <w:tc>
          <w:tcPr>
            <w:tcW w:w="1387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United States (population-wide study)</w:t>
            </w:r>
          </w:p>
        </w:tc>
        <w:tc>
          <w:tcPr>
            <w:tcW w:w="1500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2008 Obama election</w:t>
            </w:r>
          </w:p>
        </w:tc>
        <w:tc>
          <w:tcPr>
            <w:tcW w:w="1211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Non-Hispanic male twin births per 1000 live births</w:t>
            </w:r>
          </w:p>
        </w:tc>
        <w:tc>
          <w:tcPr>
            <w:tcW w:w="909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1-9 months</w:t>
            </w:r>
          </w:p>
        </w:tc>
        <w:tc>
          <w:tcPr>
            <w:tcW w:w="1406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644" w:type="dxa"/>
          </w:tcPr>
          <w:p w:rsidR="004F155A" w:rsidRPr="00EF72DB" w:rsidRDefault="004F155A" w:rsidP="0099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DB">
              <w:rPr>
                <w:rFonts w:ascii="Times New Roman" w:hAnsi="Times New Roman" w:cs="Times New Roman"/>
                <w:sz w:val="24"/>
                <w:szCs w:val="24"/>
              </w:rPr>
              <w:t>1.57 per 1000 live births (0.54)</w:t>
            </w:r>
          </w:p>
        </w:tc>
      </w:tr>
    </w:tbl>
    <w:p w:rsidR="004F155A" w:rsidRPr="001C1600" w:rsidRDefault="004F155A" w:rsidP="004F155A">
      <w:pPr>
        <w:rPr>
          <w:rFonts w:ascii="Times New Roman" w:hAnsi="Times New Roman" w:cs="Times New Roman"/>
          <w:sz w:val="24"/>
          <w:szCs w:val="24"/>
        </w:rPr>
      </w:pPr>
    </w:p>
    <w:p w:rsidR="00EB0FE0" w:rsidRPr="004F155A" w:rsidRDefault="00666B5A" w:rsidP="004F155A"/>
    <w:sectPr w:rsidR="00EB0FE0" w:rsidRPr="004F155A" w:rsidSect="004D105D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C9" w:rsidRDefault="00AA11C9" w:rsidP="00AA11C9">
      <w:pPr>
        <w:spacing w:after="0" w:line="240" w:lineRule="auto"/>
      </w:pPr>
      <w:r>
        <w:separator/>
      </w:r>
    </w:p>
  </w:endnote>
  <w:endnote w:type="continuationSeparator" w:id="0">
    <w:p w:rsidR="00AA11C9" w:rsidRDefault="00AA11C9" w:rsidP="00AA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7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1C9" w:rsidRDefault="00AA11C9" w:rsidP="00AA1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782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5D" w:rsidRDefault="004D105D" w:rsidP="00AA1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C9" w:rsidRDefault="00AA11C9" w:rsidP="00AA11C9">
      <w:pPr>
        <w:spacing w:after="0" w:line="240" w:lineRule="auto"/>
      </w:pPr>
      <w:r>
        <w:separator/>
      </w:r>
    </w:p>
  </w:footnote>
  <w:footnote w:type="continuationSeparator" w:id="0">
    <w:p w:rsidR="00AA11C9" w:rsidRDefault="00AA11C9" w:rsidP="00AA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867"/>
    <w:multiLevelType w:val="hybridMultilevel"/>
    <w:tmpl w:val="F37220DA"/>
    <w:lvl w:ilvl="0" w:tplc="B404812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5A"/>
    <w:rsid w:val="004D105D"/>
    <w:rsid w:val="004F155A"/>
    <w:rsid w:val="00666B5A"/>
    <w:rsid w:val="00AA11C9"/>
    <w:rsid w:val="00DF2CAF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8C1FF-1387-4841-928B-74642DF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5A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4F155A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1C9"/>
  </w:style>
  <w:style w:type="paragraph" w:styleId="Footer">
    <w:name w:val="footer"/>
    <w:basedOn w:val="Normal"/>
    <w:link w:val="FooterChar"/>
    <w:uiPriority w:val="99"/>
    <w:unhideWhenUsed/>
    <w:rsid w:val="00AA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 Berghofer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Martin</dc:creator>
  <cp:keywords/>
  <dc:description/>
  <cp:lastModifiedBy>N Martin</cp:lastModifiedBy>
  <cp:revision>3</cp:revision>
  <dcterms:created xsi:type="dcterms:W3CDTF">2024-12-18T07:43:00Z</dcterms:created>
  <dcterms:modified xsi:type="dcterms:W3CDTF">2024-12-19T22:59:00Z</dcterms:modified>
</cp:coreProperties>
</file>