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E440" w14:textId="77777777" w:rsidR="00133BFD" w:rsidRDefault="00133BFD" w:rsidP="00133BFD">
      <w:pPr>
        <w:spacing w:line="480" w:lineRule="auto"/>
        <w:rPr>
          <w:b/>
          <w:bCs/>
          <w:szCs w:val="22"/>
          <w:lang w:val="en-US"/>
        </w:rPr>
      </w:pPr>
      <w:bookmarkStart w:id="0" w:name="_Hlk152584780"/>
      <w:bookmarkEnd w:id="0"/>
    </w:p>
    <w:p w14:paraId="6E054C21" w14:textId="77777777" w:rsidR="00133BFD" w:rsidRDefault="00133BFD" w:rsidP="00133BFD">
      <w:pPr>
        <w:spacing w:line="480" w:lineRule="auto"/>
        <w:jc w:val="center"/>
        <w:rPr>
          <w:b/>
          <w:bCs/>
          <w:szCs w:val="22"/>
          <w:lang w:val="en-US"/>
        </w:rPr>
      </w:pPr>
    </w:p>
    <w:p w14:paraId="76F84069" w14:textId="12BB1013" w:rsidR="00570BA6" w:rsidRDefault="00304D41" w:rsidP="00570BA6">
      <w:pPr>
        <w:spacing w:line="480" w:lineRule="auto"/>
        <w:jc w:val="center"/>
        <w:rPr>
          <w:b/>
          <w:bCs/>
          <w:szCs w:val="22"/>
          <w:lang w:val="en-US"/>
        </w:rPr>
      </w:pPr>
      <w:r>
        <w:rPr>
          <w:b/>
          <w:bCs/>
          <w:szCs w:val="22"/>
          <w:lang w:val="en-US"/>
        </w:rPr>
        <w:t>Twin Data Support a Sensitive Period for Singing Ability</w:t>
      </w:r>
    </w:p>
    <w:p w14:paraId="18FDA8A8" w14:textId="21EC1596" w:rsidR="00133BFD" w:rsidRDefault="00133BFD" w:rsidP="00133BFD">
      <w:pPr>
        <w:spacing w:line="480" w:lineRule="auto"/>
        <w:jc w:val="center"/>
        <w:rPr>
          <w:b/>
          <w:bCs/>
          <w:lang w:val="en-US"/>
        </w:rPr>
      </w:pPr>
      <w:r>
        <w:rPr>
          <w:b/>
          <w:bCs/>
          <w:lang w:val="en-US"/>
        </w:rPr>
        <w:t>Supplemental Material</w:t>
      </w:r>
    </w:p>
    <w:p w14:paraId="7B25DA2A" w14:textId="77777777" w:rsidR="00570BA6" w:rsidRPr="00133BFD" w:rsidRDefault="00570BA6" w:rsidP="00133BFD">
      <w:pPr>
        <w:spacing w:line="480" w:lineRule="auto"/>
        <w:jc w:val="center"/>
        <w:rPr>
          <w:b/>
          <w:bCs/>
          <w:lang w:val="en-US"/>
        </w:rPr>
      </w:pPr>
    </w:p>
    <w:p w14:paraId="563C001C" w14:textId="77777777" w:rsidR="00133BFD" w:rsidRPr="00656C5A" w:rsidRDefault="00133BFD" w:rsidP="00133BFD">
      <w:pPr>
        <w:spacing w:line="480" w:lineRule="auto"/>
        <w:jc w:val="center"/>
        <w:rPr>
          <w:lang w:val="en-US"/>
        </w:rPr>
      </w:pPr>
      <w:r w:rsidRPr="00894CA9">
        <w:rPr>
          <w:lang w:val="en-US"/>
        </w:rPr>
        <w:t xml:space="preserve">Daniel Yeom </w:t>
      </w:r>
      <w:r w:rsidRPr="00894CA9">
        <w:rPr>
          <w:vertAlign w:val="superscript"/>
          <w:lang w:val="en-US"/>
        </w:rPr>
        <w:t>1</w:t>
      </w:r>
      <w:r w:rsidRPr="00894CA9">
        <w:rPr>
          <w:lang w:val="en-US"/>
        </w:rPr>
        <w:t xml:space="preserve">, Nick Haslam </w:t>
      </w:r>
      <w:r w:rsidRPr="00894CA9">
        <w:rPr>
          <w:vertAlign w:val="superscript"/>
          <w:lang w:val="en-US"/>
        </w:rPr>
        <w:t>1</w:t>
      </w:r>
      <w:r w:rsidRPr="00894CA9">
        <w:rPr>
          <w:lang w:val="en-US"/>
        </w:rPr>
        <w:t>,</w:t>
      </w:r>
      <w:r>
        <w:rPr>
          <w:lang w:val="en-US"/>
        </w:rPr>
        <w:t xml:space="preserve"> </w:t>
      </w:r>
      <w:r w:rsidRPr="00894CA9">
        <w:rPr>
          <w:lang w:val="en-US"/>
        </w:rPr>
        <w:t xml:space="preserve">Yi Ting Tan </w:t>
      </w:r>
      <w:r w:rsidRPr="00894CA9">
        <w:rPr>
          <w:vertAlign w:val="superscript"/>
          <w:lang w:val="en-US"/>
        </w:rPr>
        <w:t>2</w:t>
      </w:r>
      <w:r w:rsidRPr="00894CA9">
        <w:rPr>
          <w:lang w:val="en-US"/>
        </w:rPr>
        <w:t>,</w:t>
      </w:r>
      <w:r>
        <w:rPr>
          <w:lang w:val="en-US"/>
        </w:rPr>
        <w:t xml:space="preserve"> Gary E. McPherson </w:t>
      </w:r>
      <w:r w:rsidRPr="00894CA9">
        <w:rPr>
          <w:vertAlign w:val="superscript"/>
          <w:lang w:val="en-US"/>
        </w:rPr>
        <w:t>2</w:t>
      </w:r>
      <w:r>
        <w:rPr>
          <w:lang w:val="en-US"/>
        </w:rPr>
        <w:t>,</w:t>
      </w:r>
      <w:r w:rsidRPr="00894CA9">
        <w:rPr>
          <w:lang w:val="en-US"/>
        </w:rPr>
        <w:t xml:space="preserve"> Sarah</w:t>
      </w:r>
      <w:r>
        <w:rPr>
          <w:lang w:val="en-US"/>
        </w:rPr>
        <w:t xml:space="preserve"> J.</w:t>
      </w:r>
      <w:r w:rsidRPr="00894CA9">
        <w:rPr>
          <w:lang w:val="en-US"/>
        </w:rPr>
        <w:t xml:space="preserve"> Wilson </w:t>
      </w:r>
      <w:r w:rsidRPr="00894CA9">
        <w:rPr>
          <w:vertAlign w:val="superscript"/>
          <w:lang w:val="en-US"/>
        </w:rPr>
        <w:t>1 3</w:t>
      </w:r>
    </w:p>
    <w:p w14:paraId="56DD0C29" w14:textId="77777777" w:rsidR="00133BFD" w:rsidRPr="00894CA9" w:rsidRDefault="00133BFD" w:rsidP="00133BFD">
      <w:pPr>
        <w:spacing w:line="480" w:lineRule="auto"/>
        <w:jc w:val="center"/>
        <w:rPr>
          <w:lang w:val="en-US"/>
        </w:rPr>
      </w:pPr>
      <w:r w:rsidRPr="00894CA9">
        <w:rPr>
          <w:vertAlign w:val="superscript"/>
          <w:lang w:val="en-US"/>
        </w:rPr>
        <w:t>1</w:t>
      </w:r>
      <w:r w:rsidRPr="00894CA9">
        <w:rPr>
          <w:lang w:val="en-US"/>
        </w:rPr>
        <w:t xml:space="preserve"> Melbourne School of Psychological Sciences, University of Melbourne, </w:t>
      </w:r>
      <w:r>
        <w:rPr>
          <w:lang w:val="en-US"/>
        </w:rPr>
        <w:t>Parkville</w:t>
      </w:r>
      <w:r w:rsidRPr="00894CA9">
        <w:rPr>
          <w:lang w:val="en-US"/>
        </w:rPr>
        <w:t>, VIC 3010, Australia</w:t>
      </w:r>
    </w:p>
    <w:p w14:paraId="79286080" w14:textId="77777777" w:rsidR="00133BFD" w:rsidRPr="00894CA9" w:rsidRDefault="00133BFD" w:rsidP="00133BFD">
      <w:pPr>
        <w:spacing w:line="480" w:lineRule="auto"/>
        <w:jc w:val="center"/>
        <w:rPr>
          <w:lang w:val="en-US"/>
        </w:rPr>
      </w:pPr>
      <w:r w:rsidRPr="00894CA9">
        <w:rPr>
          <w:vertAlign w:val="superscript"/>
          <w:lang w:val="en-US"/>
        </w:rPr>
        <w:t>2</w:t>
      </w:r>
      <w:r w:rsidRPr="00894CA9">
        <w:rPr>
          <w:lang w:val="en-US"/>
        </w:rPr>
        <w:t xml:space="preserve"> Melbourne Conservatorium of Music, University of Melbourne, Southbank, VIC 3006, Australia</w:t>
      </w:r>
    </w:p>
    <w:p w14:paraId="1D0B0603" w14:textId="77777777" w:rsidR="00133BFD" w:rsidRPr="00894CA9" w:rsidRDefault="00133BFD" w:rsidP="00133BFD">
      <w:pPr>
        <w:spacing w:line="480" w:lineRule="auto"/>
        <w:jc w:val="center"/>
        <w:rPr>
          <w:lang w:val="en-US"/>
        </w:rPr>
      </w:pPr>
      <w:r w:rsidRPr="00894CA9">
        <w:rPr>
          <w:vertAlign w:val="superscript"/>
          <w:lang w:val="en-US"/>
        </w:rPr>
        <w:t>3</w:t>
      </w:r>
      <w:r w:rsidRPr="00894CA9">
        <w:rPr>
          <w:lang w:val="en-US"/>
        </w:rPr>
        <w:t xml:space="preserve"> </w:t>
      </w:r>
      <w:r w:rsidRPr="00894CA9">
        <w:t>Department of Medicine, University of Melbourne, Austin Health, Heidelberg, VIC 3084, Australia</w:t>
      </w:r>
    </w:p>
    <w:p w14:paraId="4AF27024" w14:textId="77777777" w:rsidR="00133BFD" w:rsidRDefault="00133BFD" w:rsidP="00133BFD">
      <w:pPr>
        <w:spacing w:line="480" w:lineRule="auto"/>
      </w:pPr>
    </w:p>
    <w:p w14:paraId="1B0F2610" w14:textId="7904E36C" w:rsidR="00133BFD" w:rsidRDefault="00133BFD">
      <w:r>
        <w:br w:type="page"/>
      </w:r>
    </w:p>
    <w:p w14:paraId="4B958E76" w14:textId="040559BD" w:rsidR="00505795" w:rsidRPr="009104D5" w:rsidRDefault="004D5E7C">
      <w:pPr>
        <w:rPr>
          <w:b/>
          <w:bCs/>
          <w:szCs w:val="22"/>
        </w:rPr>
      </w:pPr>
      <w:r w:rsidRPr="009104D5">
        <w:rPr>
          <w:b/>
          <w:bCs/>
          <w:szCs w:val="22"/>
        </w:rPr>
        <w:lastRenderedPageBreak/>
        <w:t>Supplemental Methods</w:t>
      </w:r>
    </w:p>
    <w:p w14:paraId="122C9ABC" w14:textId="77777777" w:rsidR="004D5E7C" w:rsidRPr="009104D5" w:rsidRDefault="004D5E7C">
      <w:pPr>
        <w:rPr>
          <w:b/>
          <w:bCs/>
          <w:szCs w:val="22"/>
        </w:rPr>
      </w:pPr>
    </w:p>
    <w:p w14:paraId="3E87D639" w14:textId="6003D769" w:rsidR="00FB3A9C" w:rsidRPr="009104D5" w:rsidRDefault="00CD197C" w:rsidP="00DB3306">
      <w:pPr>
        <w:spacing w:line="480" w:lineRule="auto"/>
        <w:rPr>
          <w:rFonts w:cstheme="minorHAnsi"/>
          <w:szCs w:val="22"/>
        </w:rPr>
      </w:pPr>
      <w:r w:rsidRPr="009104D5">
        <w:rPr>
          <w:rFonts w:cstheme="minorHAnsi"/>
          <w:szCs w:val="22"/>
        </w:rPr>
        <w:t xml:space="preserve">The three singing tasks employed in the study were a Familiar Tune Task, an Unfamiliar Tune </w:t>
      </w:r>
      <w:proofErr w:type="gramStart"/>
      <w:r w:rsidRPr="009104D5">
        <w:rPr>
          <w:rFonts w:cstheme="minorHAnsi"/>
          <w:szCs w:val="22"/>
        </w:rPr>
        <w:t>Task</w:t>
      </w:r>
      <w:proofErr w:type="gramEnd"/>
      <w:r w:rsidRPr="009104D5">
        <w:rPr>
          <w:rFonts w:cstheme="minorHAnsi"/>
          <w:szCs w:val="22"/>
        </w:rPr>
        <w:t xml:space="preserve"> and a Single Note task. </w:t>
      </w:r>
      <w:r w:rsidR="0016410F" w:rsidRPr="009104D5">
        <w:rPr>
          <w:rFonts w:cstheme="minorHAnsi"/>
          <w:szCs w:val="22"/>
        </w:rPr>
        <w:t>From these three singing tasks, three measures of pitch deviation (PD)</w:t>
      </w:r>
      <w:r w:rsidR="00FB3A9C" w:rsidRPr="009104D5">
        <w:rPr>
          <w:rFonts w:cstheme="minorHAnsi"/>
          <w:szCs w:val="22"/>
        </w:rPr>
        <w:t xml:space="preserve"> and two measures of interval deviation (ID) were calculated, leading to five individual measures of accuracy in total. PD describes the average absolute difference (error) between each target note and each participant’s sung note. ID describes the average absolute difference between each target </w:t>
      </w:r>
      <w:r w:rsidR="00FB3A9C" w:rsidRPr="009104D5">
        <w:rPr>
          <w:rFonts w:cstheme="minorHAnsi"/>
          <w:i/>
          <w:iCs/>
          <w:szCs w:val="22"/>
        </w:rPr>
        <w:t>interval</w:t>
      </w:r>
      <w:r w:rsidR="00FB3A9C" w:rsidRPr="009104D5">
        <w:rPr>
          <w:rFonts w:cstheme="minorHAnsi"/>
          <w:szCs w:val="22"/>
        </w:rPr>
        <w:t xml:space="preserve"> (i.e. the distance between two successive notes) and each participant’s sung interval. All measures were calculated in cents. </w:t>
      </w:r>
    </w:p>
    <w:p w14:paraId="6E435E43" w14:textId="3A679720" w:rsidR="00EF1A76" w:rsidRPr="009104D5" w:rsidRDefault="00AC22DA" w:rsidP="00FB3A9C">
      <w:pPr>
        <w:spacing w:line="480" w:lineRule="auto"/>
        <w:ind w:firstLine="720"/>
        <w:rPr>
          <w:rFonts w:cstheme="minorHAnsi"/>
          <w:szCs w:val="22"/>
        </w:rPr>
      </w:pPr>
      <w:r w:rsidRPr="009104D5">
        <w:rPr>
          <w:rFonts w:cstheme="minorHAnsi"/>
          <w:szCs w:val="22"/>
        </w:rPr>
        <w:t xml:space="preserve">Each participant’s </w:t>
      </w:r>
      <w:r w:rsidR="00FB3A9C" w:rsidRPr="009104D5">
        <w:rPr>
          <w:rFonts w:cstheme="minorHAnsi"/>
          <w:szCs w:val="22"/>
        </w:rPr>
        <w:t xml:space="preserve">PD </w:t>
      </w:r>
      <w:r w:rsidRPr="009104D5">
        <w:rPr>
          <w:rFonts w:cstheme="minorHAnsi"/>
          <w:szCs w:val="22"/>
        </w:rPr>
        <w:t xml:space="preserve">was </w:t>
      </w:r>
      <w:r w:rsidR="00FB3A9C" w:rsidRPr="009104D5">
        <w:rPr>
          <w:rFonts w:cstheme="minorHAnsi"/>
          <w:szCs w:val="22"/>
        </w:rPr>
        <w:t>calculated on each task using the following formula</w:t>
      </w:r>
      <w:r w:rsidR="00020DDB" w:rsidRPr="009104D5">
        <w:rPr>
          <w:rFonts w:cstheme="minorHAnsi"/>
          <w:szCs w:val="22"/>
        </w:rPr>
        <w:t>:</w:t>
      </w:r>
      <w:r w:rsidRPr="009104D5">
        <w:rPr>
          <w:rFonts w:cstheme="minorHAnsi"/>
          <w:szCs w:val="22"/>
        </w:rPr>
        <w:t xml:space="preserve"> </w:t>
      </w:r>
    </w:p>
    <w:p w14:paraId="2386A296" w14:textId="172A7636" w:rsidR="004D5E7C" w:rsidRPr="009104D5" w:rsidRDefault="007F7615" w:rsidP="00FB3A9C">
      <w:pPr>
        <w:pBdr>
          <w:top w:val="nil"/>
          <w:left w:val="nil"/>
          <w:bottom w:val="nil"/>
          <w:right w:val="nil"/>
          <w:between w:val="nil"/>
        </w:pBdr>
        <w:spacing w:line="480" w:lineRule="auto"/>
        <w:contextualSpacing/>
        <w:rPr>
          <w:rFonts w:cstheme="minorHAnsi"/>
          <w:color w:val="000000"/>
          <w:szCs w:val="22"/>
          <w:lang w:val="en-GB"/>
        </w:rPr>
      </w:pPr>
      <m:oMathPara>
        <m:oMath>
          <m:r>
            <w:rPr>
              <w:rFonts w:ascii="Cambria Math" w:hAnsi="Cambria Math" w:cstheme="minorHAnsi"/>
              <w:color w:val="000000"/>
              <w:szCs w:val="22"/>
              <w:lang w:val="en-GB"/>
            </w:rPr>
            <m:t xml:space="preserve">PD= </m:t>
          </m:r>
          <m:f>
            <m:fPr>
              <m:ctrlPr>
                <w:rPr>
                  <w:rFonts w:ascii="Cambria Math" w:hAnsi="Cambria Math" w:cstheme="minorHAnsi"/>
                  <w:i/>
                  <w:color w:val="000000"/>
                  <w:szCs w:val="22"/>
                  <w:lang w:val="en-GB"/>
                </w:rPr>
              </m:ctrlPr>
            </m:fPr>
            <m:num>
              <m:sSubSup>
                <m:sSubSupPr>
                  <m:ctrlPr>
                    <w:rPr>
                      <w:rFonts w:ascii="Cambria Math" w:hAnsi="Cambria Math" w:cstheme="minorHAnsi"/>
                      <w:color w:val="000000"/>
                      <w:szCs w:val="22"/>
                      <w:lang w:val="en-GB"/>
                    </w:rPr>
                  </m:ctrlPr>
                </m:sSubSupPr>
                <m:e>
                  <m:r>
                    <m:rPr>
                      <m:sty m:val="p"/>
                    </m:rPr>
                    <w:rPr>
                      <w:rFonts w:ascii="Cambria Math" w:hAnsi="Cambria Math" w:cstheme="minorHAnsi"/>
                      <w:color w:val="000000"/>
                      <w:szCs w:val="22"/>
                      <w:lang w:val="en-GB"/>
                    </w:rPr>
                    <m:t>Σ</m:t>
                  </m:r>
                </m:e>
                <m:sub>
                  <m:r>
                    <w:rPr>
                      <w:rFonts w:ascii="Cambria Math" w:hAnsi="Cambria Math" w:cstheme="minorHAnsi"/>
                      <w:color w:val="000000"/>
                      <w:szCs w:val="22"/>
                      <w:lang w:val="en-GB"/>
                    </w:rPr>
                    <m:t>i-1</m:t>
                  </m:r>
                </m:sub>
                <m:sup>
                  <m:r>
                    <w:rPr>
                      <w:rFonts w:ascii="Cambria Math" w:hAnsi="Cambria Math" w:cstheme="minorHAnsi"/>
                      <w:color w:val="000000"/>
                      <w:szCs w:val="22"/>
                      <w:lang w:val="en-GB"/>
                    </w:rPr>
                    <m:t>n</m:t>
                  </m:r>
                </m:sup>
              </m:sSubSup>
              <m:r>
                <w:rPr>
                  <w:rFonts w:ascii="Cambria Math" w:hAnsi="Cambria Math" w:cstheme="minorHAnsi"/>
                  <w:color w:val="000000"/>
                  <w:szCs w:val="22"/>
                  <w:lang w:val="en-GB"/>
                </w:rPr>
                <m:t xml:space="preserve">| 1200 × </m:t>
              </m:r>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log</m:t>
                  </m:r>
                </m:e>
                <m:sub>
                  <m:r>
                    <w:rPr>
                      <w:rFonts w:ascii="Cambria Math" w:hAnsi="Cambria Math" w:cstheme="minorHAnsi"/>
                      <w:color w:val="000000"/>
                      <w:szCs w:val="22"/>
                      <w:lang w:val="en-GB"/>
                    </w:rPr>
                    <m:t>2</m:t>
                  </m:r>
                </m:sub>
              </m:sSub>
              <m:f>
                <m:fPr>
                  <m:ctrlPr>
                    <w:rPr>
                      <w:rFonts w:ascii="Cambria Math" w:hAnsi="Cambria Math" w:cstheme="minorHAnsi"/>
                      <w:i/>
                      <w:color w:val="000000"/>
                      <w:szCs w:val="22"/>
                      <w:lang w:val="en-GB"/>
                    </w:rPr>
                  </m:ctrlPr>
                </m:fPr>
                <m:num>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f</m:t>
                      </m:r>
                    </m:e>
                    <m:sub>
                      <m:r>
                        <w:rPr>
                          <w:rFonts w:ascii="Cambria Math" w:hAnsi="Cambria Math" w:cstheme="minorHAnsi"/>
                          <w:color w:val="000000"/>
                          <w:szCs w:val="22"/>
                          <w:lang w:val="en-GB"/>
                        </w:rPr>
                        <m:t>i</m:t>
                      </m:r>
                    </m:sub>
                  </m:sSub>
                </m:num>
                <m:den>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r</m:t>
                      </m:r>
                    </m:e>
                    <m:sub>
                      <m:r>
                        <w:rPr>
                          <w:rFonts w:ascii="Cambria Math" w:hAnsi="Cambria Math" w:cstheme="minorHAnsi"/>
                          <w:color w:val="000000"/>
                          <w:szCs w:val="22"/>
                          <w:lang w:val="en-GB"/>
                        </w:rPr>
                        <m:t>i</m:t>
                      </m:r>
                    </m:sub>
                  </m:sSub>
                </m:den>
              </m:f>
              <m:r>
                <w:rPr>
                  <w:rFonts w:ascii="Cambria Math" w:hAnsi="Cambria Math" w:cstheme="minorHAnsi"/>
                  <w:color w:val="000000"/>
                  <w:szCs w:val="22"/>
                  <w:lang w:val="en-GB"/>
                </w:rPr>
                <m:t>|</m:t>
              </m:r>
            </m:num>
            <m:den>
              <m:r>
                <w:rPr>
                  <w:rFonts w:ascii="Cambria Math" w:hAnsi="Cambria Math" w:cstheme="minorHAnsi"/>
                  <w:color w:val="000000"/>
                  <w:szCs w:val="22"/>
                  <w:lang w:val="en-GB"/>
                </w:rPr>
                <m:t>n</m:t>
              </m:r>
            </m:den>
          </m:f>
        </m:oMath>
      </m:oMathPara>
    </w:p>
    <w:p w14:paraId="5746BB3E" w14:textId="77777777" w:rsidR="00FB3A9C" w:rsidRPr="009104D5" w:rsidRDefault="00FB3A9C" w:rsidP="00FB3A9C">
      <w:pPr>
        <w:pBdr>
          <w:top w:val="nil"/>
          <w:left w:val="nil"/>
          <w:bottom w:val="nil"/>
          <w:right w:val="nil"/>
          <w:between w:val="nil"/>
        </w:pBdr>
        <w:spacing w:line="480" w:lineRule="auto"/>
        <w:contextualSpacing/>
        <w:rPr>
          <w:rFonts w:cstheme="minorHAnsi"/>
          <w:color w:val="000000"/>
          <w:szCs w:val="22"/>
          <w:lang w:val="en-GB"/>
        </w:rPr>
      </w:pPr>
    </w:p>
    <w:p w14:paraId="11AF1937" w14:textId="5F4D331B" w:rsidR="00E21792" w:rsidRPr="009104D5" w:rsidRDefault="00E21792" w:rsidP="00FB3A9C">
      <w:pPr>
        <w:spacing w:line="480" w:lineRule="auto"/>
        <w:rPr>
          <w:rFonts w:cstheme="minorHAnsi"/>
          <w:szCs w:val="22"/>
        </w:rPr>
      </w:pPr>
      <w:r w:rsidRPr="009104D5">
        <w:rPr>
          <w:rFonts w:cstheme="minorHAnsi"/>
          <w:szCs w:val="22"/>
        </w:rPr>
        <w:t xml:space="preserve">Where </w:t>
      </w:r>
      <m:oMath>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f</m:t>
            </m:r>
          </m:e>
          <m:sub>
            <m:r>
              <w:rPr>
                <w:rFonts w:ascii="Cambria Math" w:hAnsi="Cambria Math" w:cstheme="minorHAnsi"/>
                <w:color w:val="000000"/>
                <w:szCs w:val="22"/>
                <w:lang w:val="en-GB"/>
              </w:rPr>
              <m:t>i</m:t>
            </m:r>
          </m:sub>
        </m:sSub>
      </m:oMath>
      <w:r w:rsidRPr="009104D5">
        <w:rPr>
          <w:rFonts w:cstheme="minorHAnsi"/>
          <w:szCs w:val="22"/>
        </w:rPr>
        <w:t xml:space="preserve"> is the fundamental frequency (Hz) of the </w:t>
      </w:r>
      <w:r w:rsidRPr="009104D5">
        <w:rPr>
          <w:rFonts w:cstheme="minorHAnsi"/>
          <w:i/>
          <w:iCs/>
          <w:szCs w:val="22"/>
        </w:rPr>
        <w:t>i</w:t>
      </w:r>
      <w:r w:rsidRPr="009104D5">
        <w:rPr>
          <w:rFonts w:cstheme="minorHAnsi"/>
          <w:szCs w:val="22"/>
        </w:rPr>
        <w:t xml:space="preserve">th pitch produced by the participant, </w:t>
      </w:r>
      <m:oMath>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r</m:t>
            </m:r>
          </m:e>
          <m:sub>
            <m:r>
              <w:rPr>
                <w:rFonts w:ascii="Cambria Math" w:hAnsi="Cambria Math" w:cstheme="minorHAnsi"/>
                <w:color w:val="000000"/>
                <w:szCs w:val="22"/>
                <w:lang w:val="en-GB"/>
              </w:rPr>
              <m:t>i</m:t>
            </m:r>
          </m:sub>
        </m:sSub>
      </m:oMath>
      <w:r w:rsidRPr="009104D5">
        <w:rPr>
          <w:rFonts w:cstheme="minorHAnsi"/>
          <w:szCs w:val="22"/>
        </w:rPr>
        <w:t xml:space="preserve"> is the fundamental frequency of the target pitch and </w:t>
      </w:r>
      <w:r w:rsidRPr="009104D5">
        <w:rPr>
          <w:rFonts w:cstheme="minorHAnsi"/>
          <w:i/>
          <w:iCs/>
          <w:szCs w:val="22"/>
        </w:rPr>
        <w:t>n</w:t>
      </w:r>
      <w:r w:rsidRPr="009104D5">
        <w:rPr>
          <w:rFonts w:cstheme="minorHAnsi"/>
          <w:szCs w:val="22"/>
        </w:rPr>
        <w:t xml:space="preserve"> is the number of trials. </w:t>
      </w:r>
      <w:r w:rsidR="00F965A5" w:rsidRPr="009104D5">
        <w:rPr>
          <w:rFonts w:cstheme="minorHAnsi"/>
          <w:szCs w:val="22"/>
        </w:rPr>
        <w:t xml:space="preserve">For the Familiar and Unfamiliar Tune tasks, </w:t>
      </w:r>
      <w:r w:rsidR="002071C0" w:rsidRPr="009104D5">
        <w:rPr>
          <w:rFonts w:cstheme="minorHAnsi"/>
          <w:szCs w:val="22"/>
        </w:rPr>
        <w:t xml:space="preserve">a PD for each trial was first calculated by calculating each note’s PD and then averaging over all notes in the trial. </w:t>
      </w:r>
      <w:r w:rsidR="00E667FB" w:rsidRPr="009104D5">
        <w:rPr>
          <w:rFonts w:cstheme="minorHAnsi"/>
          <w:szCs w:val="22"/>
        </w:rPr>
        <w:t xml:space="preserve">For the Single Note and Unfamiliar Tune tasks where </w:t>
      </w:r>
      <w:r w:rsidR="003C18CA" w:rsidRPr="009104D5">
        <w:rPr>
          <w:rFonts w:cstheme="minorHAnsi"/>
          <w:szCs w:val="22"/>
        </w:rPr>
        <w:t xml:space="preserve">participants were asked to recall fixed pitches/melodies as accurately as possible, we </w:t>
      </w:r>
      <w:r w:rsidR="00C02A98" w:rsidRPr="009104D5">
        <w:rPr>
          <w:rFonts w:cstheme="minorHAnsi"/>
          <w:szCs w:val="22"/>
        </w:rPr>
        <w:t>also applied</w:t>
      </w:r>
      <w:r w:rsidR="003C18CA" w:rsidRPr="009104D5">
        <w:rPr>
          <w:rFonts w:cstheme="minorHAnsi"/>
          <w:szCs w:val="22"/>
        </w:rPr>
        <w:t xml:space="preserve"> octave adjustments </w:t>
      </w:r>
      <w:r w:rsidR="00C02A98" w:rsidRPr="009104D5">
        <w:rPr>
          <w:rFonts w:cstheme="minorHAnsi"/>
          <w:szCs w:val="22"/>
        </w:rPr>
        <w:t>to correct</w:t>
      </w:r>
      <w:r w:rsidR="003C18CA" w:rsidRPr="009104D5">
        <w:rPr>
          <w:rFonts w:cstheme="minorHAnsi"/>
          <w:szCs w:val="22"/>
        </w:rPr>
        <w:t xml:space="preserve"> any notes that were </w:t>
      </w:r>
      <w:r w:rsidR="00E45DAC" w:rsidRPr="009104D5">
        <w:rPr>
          <w:rFonts w:cstheme="minorHAnsi"/>
          <w:szCs w:val="22"/>
        </w:rPr>
        <w:t xml:space="preserve">sung in an incorrect octave </w:t>
      </w:r>
      <w:r w:rsidR="00BB5958" w:rsidRPr="009104D5">
        <w:rPr>
          <w:rFonts w:cstheme="minorHAnsi"/>
          <w:szCs w:val="22"/>
        </w:rPr>
        <w:t>using the below formula</w:t>
      </w:r>
      <w:r w:rsidR="0031686D" w:rsidRPr="009104D5">
        <w:rPr>
          <w:rFonts w:cstheme="minorHAnsi"/>
          <w:szCs w:val="22"/>
        </w:rPr>
        <w:t>:</w:t>
      </w:r>
    </w:p>
    <w:p w14:paraId="5EA40D7C" w14:textId="17997D9E" w:rsidR="009C2419" w:rsidRPr="009104D5" w:rsidRDefault="00304D41" w:rsidP="00DB3306">
      <w:pPr>
        <w:spacing w:line="480" w:lineRule="auto"/>
        <w:rPr>
          <w:rFonts w:cstheme="minorHAnsi"/>
          <w:szCs w:val="22"/>
        </w:rPr>
      </w:pPr>
      <m:oMathPara>
        <m:oMath>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PD</m:t>
              </m:r>
            </m:e>
            <m:sub>
              <m:r>
                <w:rPr>
                  <w:rFonts w:ascii="Cambria Math" w:hAnsi="Cambria Math" w:cstheme="minorHAnsi"/>
                  <w:color w:val="000000"/>
                  <w:szCs w:val="22"/>
                  <w:lang w:val="en-GB"/>
                </w:rPr>
                <m:t>oct</m:t>
              </m:r>
            </m:sub>
          </m:sSub>
          <m:r>
            <w:rPr>
              <w:rFonts w:ascii="Cambria Math" w:hAnsi="Cambria Math" w:cstheme="minorHAnsi"/>
              <w:color w:val="000000"/>
              <w:szCs w:val="22"/>
              <w:lang w:val="en-GB"/>
            </w:rPr>
            <m:t xml:space="preserve">= </m:t>
          </m:r>
          <m:r>
            <w:rPr>
              <w:rFonts w:ascii="Cambria Math" w:hAnsi="Cambria Math" w:cstheme="minorHAnsi"/>
              <w:color w:val="000000"/>
              <w:szCs w:val="22"/>
            </w:rPr>
            <m:t xml:space="preserve">|1200 – 1200 </m:t>
          </m:r>
          <m:r>
            <w:rPr>
              <w:rFonts w:ascii="Cambria Math" w:hAnsi="Cambria Math" w:cstheme="minorHAnsi"/>
              <w:color w:val="000000"/>
              <w:szCs w:val="22"/>
              <w:lang w:val="en-GB"/>
            </w:rPr>
            <m:t>×</m:t>
          </m:r>
          <m:r>
            <w:rPr>
              <w:rFonts w:ascii="Cambria Math" w:hAnsi="Cambria Math" w:cstheme="minorHAnsi"/>
              <w:color w:val="000000"/>
              <w:szCs w:val="22"/>
            </w:rPr>
            <m:t xml:space="preserve"> </m:t>
          </m:r>
          <m:sSub>
            <m:sSubPr>
              <m:ctrlPr>
                <w:rPr>
                  <w:rFonts w:ascii="Cambria Math" w:hAnsi="Cambria Math" w:cstheme="minorHAnsi"/>
                  <w:i/>
                  <w:color w:val="000000"/>
                  <w:szCs w:val="22"/>
                </w:rPr>
              </m:ctrlPr>
            </m:sSubPr>
            <m:e>
              <m:r>
                <w:rPr>
                  <w:rFonts w:ascii="Cambria Math" w:hAnsi="Cambria Math" w:cstheme="minorHAnsi"/>
                  <w:color w:val="000000"/>
                  <w:szCs w:val="22"/>
                </w:rPr>
                <m:t>log</m:t>
              </m:r>
            </m:e>
            <m:sub>
              <m:r>
                <w:rPr>
                  <w:rFonts w:ascii="Cambria Math" w:hAnsi="Cambria Math" w:cstheme="minorHAnsi"/>
                  <w:color w:val="000000"/>
                  <w:szCs w:val="22"/>
                </w:rPr>
                <m:t>2</m:t>
              </m:r>
            </m:sub>
          </m:sSub>
          <m:f>
            <m:fPr>
              <m:ctrlPr>
                <w:rPr>
                  <w:rFonts w:ascii="Cambria Math" w:hAnsi="Cambria Math" w:cstheme="minorHAnsi"/>
                  <w:i/>
                  <w:color w:val="000000"/>
                  <w:szCs w:val="22"/>
                  <w:lang w:val="en-GB"/>
                </w:rPr>
              </m:ctrlPr>
            </m:fPr>
            <m:num>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f</m:t>
                  </m:r>
                </m:e>
                <m:sub>
                  <m:r>
                    <w:rPr>
                      <w:rFonts w:ascii="Cambria Math" w:hAnsi="Cambria Math" w:cstheme="minorHAnsi"/>
                      <w:color w:val="000000"/>
                      <w:szCs w:val="22"/>
                      <w:lang w:val="en-GB"/>
                    </w:rPr>
                    <m:t>i</m:t>
                  </m:r>
                </m:sub>
              </m:sSub>
            </m:num>
            <m:den>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r</m:t>
                  </m:r>
                </m:e>
                <m:sub>
                  <m:r>
                    <w:rPr>
                      <w:rFonts w:ascii="Cambria Math" w:hAnsi="Cambria Math" w:cstheme="minorHAnsi"/>
                      <w:color w:val="000000"/>
                      <w:szCs w:val="22"/>
                      <w:lang w:val="en-GB"/>
                    </w:rPr>
                    <m:t>i</m:t>
                  </m:r>
                </m:sub>
              </m:sSub>
            </m:den>
          </m:f>
          <m:r>
            <w:rPr>
              <w:rFonts w:ascii="Cambria Math" w:hAnsi="Cambria Math" w:cstheme="minorHAnsi"/>
              <w:color w:val="000000"/>
              <w:szCs w:val="22"/>
            </w:rPr>
            <m:t>|</m:t>
          </m:r>
        </m:oMath>
      </m:oMathPara>
    </w:p>
    <w:p w14:paraId="59D9710A" w14:textId="3B083A90" w:rsidR="004D5E7C" w:rsidRPr="009104D5" w:rsidRDefault="00AD1090" w:rsidP="00DB3306">
      <w:pPr>
        <w:spacing w:line="480" w:lineRule="auto"/>
        <w:rPr>
          <w:rFonts w:cstheme="minorHAnsi"/>
          <w:szCs w:val="22"/>
        </w:rPr>
      </w:pPr>
      <w:r w:rsidRPr="009104D5">
        <w:rPr>
          <w:rFonts w:cstheme="minorHAnsi"/>
          <w:szCs w:val="22"/>
        </w:rPr>
        <w:t xml:space="preserve">Where </w:t>
      </w:r>
      <m:oMath>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f</m:t>
            </m:r>
          </m:e>
          <m:sub>
            <m:r>
              <w:rPr>
                <w:rFonts w:ascii="Cambria Math" w:hAnsi="Cambria Math" w:cstheme="minorHAnsi"/>
                <w:color w:val="000000"/>
                <w:szCs w:val="22"/>
                <w:lang w:val="en-GB"/>
              </w:rPr>
              <m:t>i</m:t>
            </m:r>
          </m:sub>
        </m:sSub>
      </m:oMath>
      <w:r w:rsidRPr="009104D5">
        <w:rPr>
          <w:rFonts w:cstheme="minorHAnsi"/>
          <w:color w:val="000000"/>
          <w:szCs w:val="22"/>
          <w:lang w:val="en-GB"/>
        </w:rPr>
        <w:t xml:space="preserve"> and </w:t>
      </w:r>
      <m:oMath>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r</m:t>
            </m:r>
          </m:e>
          <m:sub>
            <m:r>
              <w:rPr>
                <w:rFonts w:ascii="Cambria Math" w:hAnsi="Cambria Math" w:cstheme="minorHAnsi"/>
                <w:color w:val="000000"/>
                <w:szCs w:val="22"/>
                <w:lang w:val="en-GB"/>
              </w:rPr>
              <m:t>i</m:t>
            </m:r>
          </m:sub>
        </m:sSub>
      </m:oMath>
      <w:r w:rsidRPr="009104D5">
        <w:rPr>
          <w:rFonts w:cstheme="minorHAnsi"/>
          <w:color w:val="000000"/>
          <w:szCs w:val="22"/>
          <w:lang w:val="en-GB"/>
        </w:rPr>
        <w:t xml:space="preserve"> are as above.</w:t>
      </w:r>
      <w:r w:rsidR="00DB3306" w:rsidRPr="009104D5">
        <w:rPr>
          <w:rFonts w:cstheme="minorHAnsi"/>
          <w:color w:val="000000"/>
          <w:szCs w:val="22"/>
          <w:lang w:val="en-GB"/>
        </w:rPr>
        <w:t xml:space="preserve"> </w:t>
      </w:r>
      <w:r w:rsidR="00E45DAC" w:rsidRPr="009104D5">
        <w:rPr>
          <w:rFonts w:cstheme="minorHAnsi"/>
          <w:color w:val="000000"/>
          <w:szCs w:val="22"/>
          <w:lang w:val="en-GB"/>
        </w:rPr>
        <w:t>Note that if a participant</w:t>
      </w:r>
      <w:r w:rsidR="00146D96" w:rsidRPr="009104D5">
        <w:rPr>
          <w:rFonts w:cstheme="minorHAnsi"/>
          <w:color w:val="000000"/>
          <w:szCs w:val="22"/>
          <w:lang w:val="en-GB"/>
        </w:rPr>
        <w:t xml:space="preserve"> does not make octave errors</w:t>
      </w:r>
      <w:r w:rsidR="009260EF" w:rsidRPr="009104D5">
        <w:rPr>
          <w:rFonts w:cstheme="minorHAnsi"/>
          <w:color w:val="000000"/>
          <w:szCs w:val="22"/>
          <w:lang w:val="en-GB"/>
        </w:rPr>
        <w:t xml:space="preserve">, the formula gives the same </w:t>
      </w:r>
      <w:r w:rsidR="00C02A98" w:rsidRPr="009104D5">
        <w:rPr>
          <w:rFonts w:cstheme="minorHAnsi"/>
          <w:color w:val="000000"/>
          <w:szCs w:val="22"/>
          <w:lang w:val="en-GB"/>
        </w:rPr>
        <w:t>measure of PD as the original formula.</w:t>
      </w:r>
    </w:p>
    <w:p w14:paraId="51246FFE" w14:textId="3F345870" w:rsidR="00AC22DA" w:rsidRPr="009104D5" w:rsidRDefault="00DB3306" w:rsidP="00DB3306">
      <w:pPr>
        <w:spacing w:line="480" w:lineRule="auto"/>
        <w:ind w:firstLine="720"/>
        <w:rPr>
          <w:rFonts w:cstheme="minorHAnsi"/>
          <w:b/>
          <w:bCs/>
          <w:szCs w:val="22"/>
        </w:rPr>
      </w:pPr>
      <w:r w:rsidRPr="009104D5">
        <w:rPr>
          <w:rFonts w:cstheme="minorHAnsi"/>
          <w:szCs w:val="22"/>
        </w:rPr>
        <w:t>For the</w:t>
      </w:r>
      <w:r w:rsidR="00AC22DA" w:rsidRPr="009104D5">
        <w:rPr>
          <w:rFonts w:cstheme="minorHAnsi"/>
          <w:szCs w:val="22"/>
        </w:rPr>
        <w:t xml:space="preserve"> Familiar and Unfamiliar Tune tasks</w:t>
      </w:r>
      <w:r w:rsidR="00E667FB" w:rsidRPr="009104D5">
        <w:rPr>
          <w:rFonts w:cstheme="minorHAnsi"/>
          <w:szCs w:val="22"/>
        </w:rPr>
        <w:t xml:space="preserve"> we</w:t>
      </w:r>
      <w:r w:rsidR="00C7775B" w:rsidRPr="009104D5">
        <w:rPr>
          <w:rFonts w:cstheme="minorHAnsi"/>
          <w:szCs w:val="22"/>
        </w:rPr>
        <w:t xml:space="preserve"> calculate</w:t>
      </w:r>
      <w:r w:rsidR="00E667FB" w:rsidRPr="009104D5">
        <w:rPr>
          <w:rFonts w:cstheme="minorHAnsi"/>
          <w:szCs w:val="22"/>
        </w:rPr>
        <w:t>d</w:t>
      </w:r>
      <w:r w:rsidR="00C7775B" w:rsidRPr="009104D5">
        <w:rPr>
          <w:rFonts w:cstheme="minorHAnsi"/>
          <w:szCs w:val="22"/>
        </w:rPr>
        <w:t xml:space="preserve"> ID </w:t>
      </w:r>
      <w:r w:rsidR="00E667FB" w:rsidRPr="009104D5">
        <w:rPr>
          <w:rFonts w:cstheme="minorHAnsi"/>
          <w:szCs w:val="22"/>
        </w:rPr>
        <w:t>using the following formula</w:t>
      </w:r>
      <w:r w:rsidR="00C7775B" w:rsidRPr="009104D5">
        <w:rPr>
          <w:rFonts w:cstheme="minorHAnsi"/>
          <w:szCs w:val="22"/>
        </w:rPr>
        <w:t>:</w:t>
      </w:r>
    </w:p>
    <w:p w14:paraId="2DB173F3" w14:textId="31546683" w:rsidR="00632D62" w:rsidRPr="009104D5" w:rsidRDefault="00632D62" w:rsidP="00DB3306">
      <w:pPr>
        <w:spacing w:line="480" w:lineRule="auto"/>
        <w:rPr>
          <w:rFonts w:cstheme="minorHAnsi"/>
          <w:color w:val="000000"/>
          <w:szCs w:val="22"/>
        </w:rPr>
      </w:pPr>
      <m:oMathPara>
        <m:oMath>
          <m:r>
            <w:rPr>
              <w:rFonts w:ascii="Cambria Math" w:hAnsi="Cambria Math" w:cstheme="minorHAnsi"/>
              <w:color w:val="000000"/>
              <w:szCs w:val="22"/>
            </w:rPr>
            <w:lastRenderedPageBreak/>
            <m:t>ID =</m:t>
          </m:r>
          <m:f>
            <m:fPr>
              <m:ctrlPr>
                <w:rPr>
                  <w:rFonts w:ascii="Cambria Math" w:hAnsi="Cambria Math" w:cstheme="minorHAnsi"/>
                  <w:i/>
                  <w:color w:val="000000"/>
                  <w:szCs w:val="22"/>
                </w:rPr>
              </m:ctrlPr>
            </m:fPr>
            <m:num>
              <m:nary>
                <m:naryPr>
                  <m:chr m:val="∑"/>
                  <m:limLoc m:val="undOvr"/>
                  <m:ctrlPr>
                    <w:rPr>
                      <w:rFonts w:ascii="Cambria Math" w:hAnsi="Cambria Math" w:cstheme="minorHAnsi"/>
                      <w:i/>
                      <w:color w:val="000000"/>
                      <w:szCs w:val="22"/>
                    </w:rPr>
                  </m:ctrlPr>
                </m:naryPr>
                <m:sub>
                  <m:r>
                    <w:rPr>
                      <w:rFonts w:ascii="Cambria Math" w:hAnsi="Cambria Math" w:cstheme="minorHAnsi"/>
                      <w:color w:val="000000"/>
                      <w:szCs w:val="22"/>
                    </w:rPr>
                    <m:t>i=2</m:t>
                  </m:r>
                </m:sub>
                <m:sup>
                  <m:r>
                    <w:rPr>
                      <w:rFonts w:ascii="Cambria Math" w:hAnsi="Cambria Math" w:cstheme="minorHAnsi"/>
                      <w:color w:val="000000"/>
                      <w:szCs w:val="22"/>
                    </w:rPr>
                    <m:t>n</m:t>
                  </m:r>
                </m:sup>
                <m:e>
                  <m:d>
                    <m:dPr>
                      <m:begChr m:val="|"/>
                      <m:endChr m:val="|"/>
                      <m:ctrlPr>
                        <w:rPr>
                          <w:rFonts w:ascii="Cambria Math" w:hAnsi="Cambria Math" w:cstheme="minorHAnsi"/>
                          <w:i/>
                          <w:color w:val="000000"/>
                          <w:szCs w:val="22"/>
                        </w:rPr>
                      </m:ctrlPr>
                    </m:dPr>
                    <m:e>
                      <m:d>
                        <m:dPr>
                          <m:ctrlPr>
                            <w:rPr>
                              <w:rFonts w:ascii="Cambria Math" w:hAnsi="Cambria Math" w:cstheme="minorHAnsi"/>
                              <w:i/>
                              <w:color w:val="000000"/>
                              <w:szCs w:val="22"/>
                            </w:rPr>
                          </m:ctrlPr>
                        </m:dPr>
                        <m:e>
                          <m:r>
                            <w:rPr>
                              <w:rFonts w:ascii="Cambria Math" w:hAnsi="Cambria Math" w:cstheme="minorHAnsi"/>
                              <w:color w:val="000000"/>
                              <w:szCs w:val="22"/>
                            </w:rPr>
                            <m:t>1200×</m:t>
                          </m:r>
                          <m:func>
                            <m:funcPr>
                              <m:ctrlPr>
                                <w:rPr>
                                  <w:rFonts w:ascii="Cambria Math" w:hAnsi="Cambria Math" w:cstheme="minorHAnsi"/>
                                  <w:i/>
                                  <w:color w:val="000000"/>
                                  <w:szCs w:val="22"/>
                                </w:rPr>
                              </m:ctrlPr>
                            </m:funcPr>
                            <m:fName>
                              <m:sSub>
                                <m:sSubPr>
                                  <m:ctrlPr>
                                    <w:rPr>
                                      <w:rFonts w:ascii="Cambria Math" w:hAnsi="Cambria Math" w:cstheme="minorHAnsi"/>
                                      <w:i/>
                                      <w:color w:val="000000"/>
                                      <w:szCs w:val="22"/>
                                    </w:rPr>
                                  </m:ctrlPr>
                                </m:sSubPr>
                                <m:e>
                                  <m:r>
                                    <w:rPr>
                                      <w:rFonts w:ascii="Cambria Math" w:hAnsi="Cambria Math" w:cstheme="minorHAnsi"/>
                                      <w:color w:val="000000"/>
                                      <w:szCs w:val="22"/>
                                    </w:rPr>
                                    <m:t>log</m:t>
                                  </m:r>
                                </m:e>
                                <m:sub>
                                  <m:r>
                                    <w:rPr>
                                      <w:rFonts w:ascii="Cambria Math" w:hAnsi="Cambria Math" w:cstheme="minorHAnsi"/>
                                      <w:color w:val="000000"/>
                                      <w:szCs w:val="22"/>
                                    </w:rPr>
                                    <m:t>2</m:t>
                                  </m:r>
                                </m:sub>
                              </m:sSub>
                            </m:fName>
                            <m:e>
                              <m:f>
                                <m:fPr>
                                  <m:ctrlPr>
                                    <w:rPr>
                                      <w:rFonts w:ascii="Cambria Math" w:hAnsi="Cambria Math" w:cstheme="minorHAnsi"/>
                                      <w:i/>
                                      <w:color w:val="000000"/>
                                      <w:szCs w:val="22"/>
                                    </w:rPr>
                                  </m:ctrlPr>
                                </m:fPr>
                                <m:num>
                                  <m:sSub>
                                    <m:sSubPr>
                                      <m:ctrlPr>
                                        <w:rPr>
                                          <w:rFonts w:ascii="Cambria Math" w:hAnsi="Cambria Math" w:cstheme="minorHAnsi"/>
                                          <w:i/>
                                          <w:color w:val="000000"/>
                                          <w:szCs w:val="22"/>
                                        </w:rPr>
                                      </m:ctrlPr>
                                    </m:sSubPr>
                                    <m:e>
                                      <m:r>
                                        <w:rPr>
                                          <w:rFonts w:ascii="Cambria Math" w:hAnsi="Cambria Math" w:cstheme="minorHAnsi"/>
                                          <w:color w:val="000000"/>
                                          <w:szCs w:val="22"/>
                                        </w:rPr>
                                        <m:t>f</m:t>
                                      </m:r>
                                    </m:e>
                                    <m:sub>
                                      <m:r>
                                        <w:rPr>
                                          <w:rFonts w:ascii="Cambria Math" w:hAnsi="Cambria Math" w:cstheme="minorHAnsi"/>
                                          <w:color w:val="000000"/>
                                          <w:szCs w:val="22"/>
                                        </w:rPr>
                                        <m:t>i</m:t>
                                      </m:r>
                                    </m:sub>
                                  </m:sSub>
                                </m:num>
                                <m:den>
                                  <m:sSub>
                                    <m:sSubPr>
                                      <m:ctrlPr>
                                        <w:rPr>
                                          <w:rFonts w:ascii="Cambria Math" w:hAnsi="Cambria Math" w:cstheme="minorHAnsi"/>
                                          <w:i/>
                                          <w:color w:val="000000"/>
                                          <w:szCs w:val="22"/>
                                        </w:rPr>
                                      </m:ctrlPr>
                                    </m:sSubPr>
                                    <m:e>
                                      <m:r>
                                        <w:rPr>
                                          <w:rFonts w:ascii="Cambria Math" w:hAnsi="Cambria Math" w:cstheme="minorHAnsi"/>
                                          <w:color w:val="000000"/>
                                          <w:szCs w:val="22"/>
                                        </w:rPr>
                                        <m:t>f</m:t>
                                      </m:r>
                                    </m:e>
                                    <m:sub>
                                      <m:r>
                                        <w:rPr>
                                          <w:rFonts w:ascii="Cambria Math" w:hAnsi="Cambria Math" w:cstheme="minorHAnsi"/>
                                          <w:color w:val="000000"/>
                                          <w:szCs w:val="22"/>
                                        </w:rPr>
                                        <m:t>i-1</m:t>
                                      </m:r>
                                    </m:sub>
                                  </m:sSub>
                                </m:den>
                              </m:f>
                            </m:e>
                          </m:func>
                        </m:e>
                      </m:d>
                      <m:r>
                        <w:rPr>
                          <w:rFonts w:ascii="Cambria Math" w:hAnsi="Cambria Math" w:cstheme="minorHAnsi"/>
                          <w:color w:val="000000"/>
                          <w:szCs w:val="22"/>
                        </w:rPr>
                        <m:t>-</m:t>
                      </m:r>
                      <m:d>
                        <m:dPr>
                          <m:ctrlPr>
                            <w:rPr>
                              <w:rFonts w:ascii="Cambria Math" w:hAnsi="Cambria Math" w:cstheme="minorHAnsi"/>
                              <w:i/>
                              <w:color w:val="000000"/>
                              <w:szCs w:val="22"/>
                            </w:rPr>
                          </m:ctrlPr>
                        </m:dPr>
                        <m:e>
                          <m:r>
                            <w:rPr>
                              <w:rFonts w:ascii="Cambria Math" w:hAnsi="Cambria Math" w:cstheme="minorHAnsi"/>
                              <w:color w:val="000000"/>
                              <w:szCs w:val="22"/>
                            </w:rPr>
                            <m:t>1200×</m:t>
                          </m:r>
                          <m:func>
                            <m:funcPr>
                              <m:ctrlPr>
                                <w:rPr>
                                  <w:rFonts w:ascii="Cambria Math" w:hAnsi="Cambria Math" w:cstheme="minorHAnsi"/>
                                  <w:i/>
                                  <w:color w:val="000000"/>
                                  <w:szCs w:val="22"/>
                                </w:rPr>
                              </m:ctrlPr>
                            </m:funcPr>
                            <m:fName>
                              <m:sSub>
                                <m:sSubPr>
                                  <m:ctrlPr>
                                    <w:rPr>
                                      <w:rFonts w:ascii="Cambria Math" w:hAnsi="Cambria Math" w:cstheme="minorHAnsi"/>
                                      <w:i/>
                                      <w:color w:val="000000"/>
                                      <w:szCs w:val="22"/>
                                    </w:rPr>
                                  </m:ctrlPr>
                                </m:sSubPr>
                                <m:e>
                                  <m:r>
                                    <w:rPr>
                                      <w:rFonts w:ascii="Cambria Math" w:hAnsi="Cambria Math" w:cstheme="minorHAnsi"/>
                                      <w:color w:val="000000"/>
                                      <w:szCs w:val="22"/>
                                    </w:rPr>
                                    <m:t>log</m:t>
                                  </m:r>
                                </m:e>
                                <m:sub>
                                  <m:r>
                                    <w:rPr>
                                      <w:rFonts w:ascii="Cambria Math" w:hAnsi="Cambria Math" w:cstheme="minorHAnsi"/>
                                      <w:color w:val="000000"/>
                                      <w:szCs w:val="22"/>
                                    </w:rPr>
                                    <m:t>2</m:t>
                                  </m:r>
                                </m:sub>
                              </m:sSub>
                            </m:fName>
                            <m:e>
                              <m:f>
                                <m:fPr>
                                  <m:ctrlPr>
                                    <w:rPr>
                                      <w:rFonts w:ascii="Cambria Math" w:hAnsi="Cambria Math" w:cstheme="minorHAnsi"/>
                                      <w:i/>
                                      <w:color w:val="000000"/>
                                      <w:szCs w:val="22"/>
                                    </w:rPr>
                                  </m:ctrlPr>
                                </m:fPr>
                                <m:num>
                                  <m:sSub>
                                    <m:sSubPr>
                                      <m:ctrlPr>
                                        <w:rPr>
                                          <w:rFonts w:ascii="Cambria Math" w:hAnsi="Cambria Math" w:cstheme="minorHAnsi"/>
                                          <w:i/>
                                          <w:color w:val="000000"/>
                                          <w:szCs w:val="22"/>
                                        </w:rPr>
                                      </m:ctrlPr>
                                    </m:sSubPr>
                                    <m:e>
                                      <m:r>
                                        <w:rPr>
                                          <w:rFonts w:ascii="Cambria Math" w:hAnsi="Cambria Math" w:cstheme="minorHAnsi"/>
                                          <w:color w:val="000000"/>
                                          <w:szCs w:val="22"/>
                                        </w:rPr>
                                        <m:t>r</m:t>
                                      </m:r>
                                    </m:e>
                                    <m:sub>
                                      <m:r>
                                        <w:rPr>
                                          <w:rFonts w:ascii="Cambria Math" w:hAnsi="Cambria Math" w:cstheme="minorHAnsi"/>
                                          <w:color w:val="000000"/>
                                          <w:szCs w:val="22"/>
                                        </w:rPr>
                                        <m:t>i</m:t>
                                      </m:r>
                                    </m:sub>
                                  </m:sSub>
                                </m:num>
                                <m:den>
                                  <m:sSub>
                                    <m:sSubPr>
                                      <m:ctrlPr>
                                        <w:rPr>
                                          <w:rFonts w:ascii="Cambria Math" w:hAnsi="Cambria Math" w:cstheme="minorHAnsi"/>
                                          <w:i/>
                                          <w:color w:val="000000"/>
                                          <w:szCs w:val="22"/>
                                        </w:rPr>
                                      </m:ctrlPr>
                                    </m:sSubPr>
                                    <m:e>
                                      <m:r>
                                        <w:rPr>
                                          <w:rFonts w:ascii="Cambria Math" w:hAnsi="Cambria Math" w:cstheme="minorHAnsi"/>
                                          <w:color w:val="000000"/>
                                          <w:szCs w:val="22"/>
                                        </w:rPr>
                                        <m:t>r</m:t>
                                      </m:r>
                                    </m:e>
                                    <m:sub>
                                      <m:r>
                                        <w:rPr>
                                          <w:rFonts w:ascii="Cambria Math" w:hAnsi="Cambria Math" w:cstheme="minorHAnsi"/>
                                          <w:color w:val="000000"/>
                                          <w:szCs w:val="22"/>
                                        </w:rPr>
                                        <m:t>i-1</m:t>
                                      </m:r>
                                    </m:sub>
                                  </m:sSub>
                                </m:den>
                              </m:f>
                            </m:e>
                          </m:func>
                        </m:e>
                      </m:d>
                    </m:e>
                  </m:d>
                </m:e>
              </m:nary>
            </m:num>
            <m:den>
              <m:r>
                <w:rPr>
                  <w:rFonts w:ascii="Cambria Math" w:hAnsi="Cambria Math" w:cstheme="minorHAnsi"/>
                  <w:color w:val="000000"/>
                  <w:szCs w:val="22"/>
                </w:rPr>
                <m:t>n</m:t>
              </m:r>
            </m:den>
          </m:f>
        </m:oMath>
      </m:oMathPara>
    </w:p>
    <w:p w14:paraId="45327EEF" w14:textId="77777777" w:rsidR="00EF1A76" w:rsidRPr="009104D5" w:rsidRDefault="00EF1A76" w:rsidP="00DB3306">
      <w:pPr>
        <w:spacing w:line="480" w:lineRule="auto"/>
        <w:rPr>
          <w:rFonts w:cstheme="minorHAnsi"/>
          <w:color w:val="000000"/>
          <w:szCs w:val="22"/>
        </w:rPr>
      </w:pPr>
    </w:p>
    <w:p w14:paraId="72651C1C" w14:textId="492778DF" w:rsidR="00C7775B" w:rsidRPr="009104D5" w:rsidRDefault="00C7775B" w:rsidP="00DB3306">
      <w:pPr>
        <w:spacing w:line="480" w:lineRule="auto"/>
        <w:rPr>
          <w:rFonts w:cstheme="minorHAnsi"/>
          <w:color w:val="000000"/>
          <w:szCs w:val="22"/>
        </w:rPr>
      </w:pPr>
      <w:r w:rsidRPr="009104D5">
        <w:rPr>
          <w:rFonts w:cstheme="minorHAnsi"/>
          <w:color w:val="000000"/>
          <w:szCs w:val="22"/>
        </w:rPr>
        <w:t xml:space="preserve">Where </w:t>
      </w:r>
      <m:oMath>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f</m:t>
            </m:r>
          </m:e>
          <m:sub>
            <m:r>
              <w:rPr>
                <w:rFonts w:ascii="Cambria Math" w:hAnsi="Cambria Math" w:cstheme="minorHAnsi"/>
                <w:color w:val="000000"/>
                <w:szCs w:val="22"/>
                <w:lang w:val="en-GB"/>
              </w:rPr>
              <m:t>i</m:t>
            </m:r>
          </m:sub>
        </m:sSub>
      </m:oMath>
      <w:r w:rsidRPr="009104D5">
        <w:rPr>
          <w:rFonts w:cstheme="minorHAnsi"/>
          <w:color w:val="000000"/>
          <w:szCs w:val="22"/>
          <w:lang w:val="en-GB"/>
        </w:rPr>
        <w:t xml:space="preserve"> </w:t>
      </w:r>
      <w:r w:rsidRPr="009104D5">
        <w:rPr>
          <w:rFonts w:cstheme="minorHAnsi"/>
          <w:color w:val="000000"/>
          <w:szCs w:val="22"/>
        </w:rPr>
        <w:t xml:space="preserve">is the fundamental frequency (Hz) of the </w:t>
      </w:r>
      <w:proofErr w:type="spellStart"/>
      <w:r w:rsidRPr="009104D5">
        <w:rPr>
          <w:rFonts w:cstheme="minorHAnsi"/>
          <w:i/>
          <w:iCs/>
          <w:color w:val="000000"/>
          <w:szCs w:val="22"/>
        </w:rPr>
        <w:t>i</w:t>
      </w:r>
      <w:r w:rsidRPr="009104D5">
        <w:rPr>
          <w:rFonts w:cstheme="minorHAnsi"/>
          <w:color w:val="000000"/>
          <w:szCs w:val="22"/>
        </w:rPr>
        <w:t>th</w:t>
      </w:r>
      <w:proofErr w:type="spellEnd"/>
      <w:r w:rsidRPr="009104D5">
        <w:rPr>
          <w:rFonts w:cstheme="minorHAnsi"/>
          <w:color w:val="000000"/>
          <w:szCs w:val="22"/>
        </w:rPr>
        <w:t xml:space="preserve"> pitch produced by the participant, </w:t>
      </w:r>
      <m:oMath>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f</m:t>
            </m:r>
          </m:e>
          <m:sub>
            <m:r>
              <w:rPr>
                <w:rFonts w:ascii="Cambria Math" w:hAnsi="Cambria Math" w:cstheme="minorHAnsi"/>
                <w:color w:val="000000"/>
                <w:szCs w:val="22"/>
                <w:lang w:val="en-GB"/>
              </w:rPr>
              <m:t>i-1</m:t>
            </m:r>
          </m:sub>
        </m:sSub>
      </m:oMath>
      <w:r w:rsidRPr="009104D5">
        <w:rPr>
          <w:rFonts w:cstheme="minorHAnsi"/>
          <w:color w:val="000000"/>
          <w:szCs w:val="22"/>
          <w:lang w:val="en-GB"/>
        </w:rPr>
        <w:t xml:space="preserve"> </w:t>
      </w:r>
      <w:r w:rsidRPr="009104D5">
        <w:rPr>
          <w:rFonts w:cstheme="minorHAnsi"/>
          <w:color w:val="000000"/>
          <w:szCs w:val="22"/>
        </w:rPr>
        <w:t xml:space="preserve">is the fundamental frequency of the note preceding the </w:t>
      </w:r>
      <w:proofErr w:type="spellStart"/>
      <w:r w:rsidRPr="009104D5">
        <w:rPr>
          <w:rFonts w:cstheme="minorHAnsi"/>
          <w:i/>
          <w:iCs/>
          <w:color w:val="000000"/>
          <w:szCs w:val="22"/>
        </w:rPr>
        <w:t>i</w:t>
      </w:r>
      <w:r w:rsidRPr="009104D5">
        <w:rPr>
          <w:rFonts w:cstheme="minorHAnsi"/>
          <w:color w:val="000000"/>
          <w:szCs w:val="22"/>
        </w:rPr>
        <w:t>th</w:t>
      </w:r>
      <w:proofErr w:type="spellEnd"/>
      <w:r w:rsidRPr="009104D5">
        <w:rPr>
          <w:rFonts w:cstheme="minorHAnsi"/>
          <w:color w:val="000000"/>
          <w:szCs w:val="22"/>
        </w:rPr>
        <w:t xml:space="preserve"> pitch, </w:t>
      </w:r>
      <m:oMath>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r</m:t>
            </m:r>
          </m:e>
          <m:sub>
            <m:r>
              <w:rPr>
                <w:rFonts w:ascii="Cambria Math" w:hAnsi="Cambria Math" w:cstheme="minorHAnsi"/>
                <w:color w:val="000000"/>
                <w:szCs w:val="22"/>
                <w:lang w:val="en-GB"/>
              </w:rPr>
              <m:t>i</m:t>
            </m:r>
          </m:sub>
        </m:sSub>
      </m:oMath>
      <w:r w:rsidRPr="009104D5">
        <w:rPr>
          <w:rFonts w:cstheme="minorHAnsi"/>
          <w:color w:val="000000"/>
          <w:szCs w:val="22"/>
          <w:lang w:val="en-GB"/>
        </w:rPr>
        <w:t xml:space="preserve"> </w:t>
      </w:r>
      <w:r w:rsidRPr="009104D5">
        <w:rPr>
          <w:rFonts w:cstheme="minorHAnsi"/>
          <w:color w:val="000000"/>
          <w:szCs w:val="22"/>
        </w:rPr>
        <w:t xml:space="preserve">is the fundamental frequency of the target pitch, </w:t>
      </w:r>
      <m:oMath>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r</m:t>
            </m:r>
          </m:e>
          <m:sub>
            <m:r>
              <w:rPr>
                <w:rFonts w:ascii="Cambria Math" w:hAnsi="Cambria Math" w:cstheme="minorHAnsi"/>
                <w:color w:val="000000"/>
                <w:szCs w:val="22"/>
                <w:lang w:val="en-GB"/>
              </w:rPr>
              <m:t>i-1</m:t>
            </m:r>
          </m:sub>
        </m:sSub>
      </m:oMath>
      <w:r w:rsidRPr="009104D5">
        <w:rPr>
          <w:rFonts w:cstheme="minorHAnsi"/>
          <w:color w:val="000000"/>
          <w:szCs w:val="22"/>
        </w:rPr>
        <w:t xml:space="preserve"> is the fundamental frequency of the note preceding the target pitch and </w:t>
      </w:r>
      <w:r w:rsidRPr="009104D5">
        <w:rPr>
          <w:rFonts w:cstheme="minorHAnsi"/>
          <w:i/>
          <w:iCs/>
          <w:color w:val="000000"/>
          <w:szCs w:val="22"/>
        </w:rPr>
        <w:t>n</w:t>
      </w:r>
      <w:r w:rsidRPr="009104D5">
        <w:rPr>
          <w:rFonts w:cstheme="minorHAnsi"/>
          <w:color w:val="000000"/>
          <w:szCs w:val="22"/>
        </w:rPr>
        <w:t xml:space="preserve"> is the number of </w:t>
      </w:r>
      <w:r w:rsidR="00942C3B" w:rsidRPr="009104D5">
        <w:rPr>
          <w:rFonts w:cstheme="minorHAnsi"/>
          <w:color w:val="000000"/>
          <w:szCs w:val="22"/>
        </w:rPr>
        <w:t xml:space="preserve">notes in </w:t>
      </w:r>
      <w:r w:rsidR="009260EF" w:rsidRPr="009104D5">
        <w:rPr>
          <w:rFonts w:cstheme="minorHAnsi"/>
          <w:color w:val="000000"/>
          <w:szCs w:val="22"/>
        </w:rPr>
        <w:t>each trial</w:t>
      </w:r>
      <w:r w:rsidR="00090CA5" w:rsidRPr="009104D5">
        <w:rPr>
          <w:rFonts w:cstheme="minorHAnsi"/>
          <w:color w:val="000000"/>
          <w:szCs w:val="22"/>
        </w:rPr>
        <w:t xml:space="preserve">. </w:t>
      </w:r>
    </w:p>
    <w:p w14:paraId="4D2CE4F2" w14:textId="0C954B8C" w:rsidR="0055379C" w:rsidRPr="009104D5" w:rsidRDefault="0055379C" w:rsidP="0016410F">
      <w:pPr>
        <w:spacing w:line="480" w:lineRule="auto"/>
        <w:ind w:firstLine="720"/>
        <w:rPr>
          <w:rFonts w:cstheme="minorHAnsi"/>
          <w:color w:val="000000"/>
          <w:szCs w:val="22"/>
        </w:rPr>
      </w:pPr>
      <w:r w:rsidRPr="009104D5">
        <w:rPr>
          <w:rFonts w:cstheme="minorHAnsi"/>
          <w:color w:val="000000"/>
          <w:szCs w:val="22"/>
        </w:rPr>
        <w:t>In the Familiar Tune task participants were able to start on any note of their choosing.</w:t>
      </w:r>
      <w:r w:rsidR="00ED2B5D" w:rsidRPr="009104D5">
        <w:rPr>
          <w:rFonts w:cstheme="minorHAnsi"/>
          <w:color w:val="000000"/>
          <w:szCs w:val="22"/>
        </w:rPr>
        <w:t xml:space="preserve"> To estimate </w:t>
      </w:r>
    </w:p>
    <w:p w14:paraId="62908CA2" w14:textId="5E700BF9" w:rsidR="00EF1A76" w:rsidRPr="009104D5" w:rsidRDefault="00304D41" w:rsidP="00DB3306">
      <w:pPr>
        <w:spacing w:line="480" w:lineRule="auto"/>
        <w:rPr>
          <w:rFonts w:cstheme="minorHAnsi"/>
          <w:b/>
          <w:bCs/>
          <w:szCs w:val="22"/>
        </w:rPr>
      </w:pPr>
      <m:oMathPara>
        <m:oMath>
          <m:sSub>
            <m:sSubPr>
              <m:ctrlPr>
                <w:rPr>
                  <w:rFonts w:ascii="Cambria Math" w:hAnsi="Cambria Math" w:cstheme="minorHAnsi"/>
                  <w:i/>
                  <w:color w:val="000000"/>
                  <w:szCs w:val="22"/>
                </w:rPr>
              </m:ctrlPr>
            </m:sSubPr>
            <m:e>
              <m:r>
                <w:rPr>
                  <w:rFonts w:ascii="Cambria Math" w:hAnsi="Cambria Math" w:cstheme="minorHAnsi"/>
                  <w:color w:val="000000"/>
                  <w:szCs w:val="22"/>
                </w:rPr>
                <m:t>r</m:t>
              </m:r>
            </m:e>
            <m:sub>
              <m:r>
                <w:rPr>
                  <w:rFonts w:ascii="Cambria Math" w:hAnsi="Cambria Math" w:cstheme="minorHAnsi"/>
                  <w:color w:val="000000"/>
                  <w:szCs w:val="22"/>
                </w:rPr>
                <m:t>i</m:t>
              </m:r>
            </m:sub>
          </m:sSub>
          <m:r>
            <w:rPr>
              <w:rFonts w:ascii="Cambria Math" w:hAnsi="Cambria Math" w:cstheme="minorHAnsi"/>
              <w:color w:val="000000"/>
              <w:szCs w:val="22"/>
            </w:rPr>
            <m:t xml:space="preserve"> =</m:t>
          </m:r>
          <m:sSup>
            <m:sSupPr>
              <m:ctrlPr>
                <w:rPr>
                  <w:rFonts w:ascii="Cambria Math" w:hAnsi="Cambria Math" w:cstheme="minorHAnsi"/>
                  <w:i/>
                  <w:color w:val="000000"/>
                  <w:szCs w:val="22"/>
                </w:rPr>
              </m:ctrlPr>
            </m:sSupPr>
            <m:e>
              <m:r>
                <w:rPr>
                  <w:rFonts w:ascii="Cambria Math" w:hAnsi="Cambria Math" w:cstheme="minorHAnsi"/>
                  <w:color w:val="000000"/>
                  <w:szCs w:val="22"/>
                </w:rPr>
                <m:t>2</m:t>
              </m:r>
            </m:e>
            <m:sup>
              <m:f>
                <m:fPr>
                  <m:ctrlPr>
                    <w:rPr>
                      <w:rFonts w:ascii="Cambria Math" w:hAnsi="Cambria Math" w:cstheme="minorHAnsi"/>
                      <w:i/>
                      <w:color w:val="000000"/>
                      <w:szCs w:val="22"/>
                    </w:rPr>
                  </m:ctrlPr>
                </m:fPr>
                <m:num>
                  <m:r>
                    <w:rPr>
                      <w:rFonts w:ascii="Cambria Math" w:hAnsi="Cambria Math" w:cstheme="minorHAnsi"/>
                      <w:color w:val="000000"/>
                      <w:szCs w:val="22"/>
                    </w:rPr>
                    <m:t>int</m:t>
                  </m:r>
                </m:num>
                <m:den>
                  <m:r>
                    <w:rPr>
                      <w:rFonts w:ascii="Cambria Math" w:hAnsi="Cambria Math" w:cstheme="minorHAnsi"/>
                      <w:color w:val="000000"/>
                      <w:szCs w:val="22"/>
                    </w:rPr>
                    <m:t>1200</m:t>
                  </m:r>
                </m:den>
              </m:f>
            </m:sup>
          </m:sSup>
          <m:r>
            <w:rPr>
              <w:rFonts w:ascii="Cambria Math" w:hAnsi="Cambria Math" w:cstheme="minorHAnsi"/>
              <w:color w:val="000000"/>
              <w:szCs w:val="22"/>
            </w:rPr>
            <m:t>×</m:t>
          </m:r>
          <m:sSub>
            <m:sSubPr>
              <m:ctrlPr>
                <w:rPr>
                  <w:rFonts w:ascii="Cambria Math" w:hAnsi="Cambria Math" w:cstheme="minorHAnsi"/>
                  <w:i/>
                  <w:color w:val="000000"/>
                  <w:szCs w:val="22"/>
                </w:rPr>
              </m:ctrlPr>
            </m:sSubPr>
            <m:e>
              <m:r>
                <w:rPr>
                  <w:rFonts w:ascii="Cambria Math" w:hAnsi="Cambria Math" w:cstheme="minorHAnsi"/>
                  <w:color w:val="000000"/>
                  <w:szCs w:val="22"/>
                </w:rPr>
                <m:t>r</m:t>
              </m:r>
            </m:e>
            <m:sub>
              <m:r>
                <w:rPr>
                  <w:rFonts w:ascii="Cambria Math" w:hAnsi="Cambria Math" w:cstheme="minorHAnsi"/>
                  <w:color w:val="000000"/>
                  <w:szCs w:val="22"/>
                </w:rPr>
                <m:t>i-1</m:t>
              </m:r>
            </m:sub>
          </m:sSub>
        </m:oMath>
      </m:oMathPara>
    </w:p>
    <w:p w14:paraId="784CB1F8" w14:textId="3046AF8B" w:rsidR="00632D62" w:rsidRPr="009104D5" w:rsidRDefault="00DB3306" w:rsidP="00DB3306">
      <w:pPr>
        <w:spacing w:line="480" w:lineRule="auto"/>
        <w:rPr>
          <w:rFonts w:cstheme="minorHAnsi"/>
          <w:szCs w:val="22"/>
        </w:rPr>
      </w:pPr>
      <w:r w:rsidRPr="009104D5">
        <w:rPr>
          <w:rFonts w:cstheme="minorHAnsi"/>
          <w:szCs w:val="22"/>
        </w:rPr>
        <w:t xml:space="preserve">where </w:t>
      </w:r>
      <m:oMath>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r</m:t>
            </m:r>
          </m:e>
          <m:sub>
            <m:r>
              <w:rPr>
                <w:rFonts w:ascii="Cambria Math" w:hAnsi="Cambria Math" w:cstheme="minorHAnsi"/>
                <w:color w:val="000000"/>
                <w:szCs w:val="22"/>
                <w:lang w:val="en-GB"/>
              </w:rPr>
              <m:t>i</m:t>
            </m:r>
          </m:sub>
        </m:sSub>
      </m:oMath>
      <w:r w:rsidR="0016410F" w:rsidRPr="009104D5">
        <w:rPr>
          <w:rFonts w:cstheme="minorHAnsi"/>
          <w:color w:val="000000"/>
          <w:szCs w:val="22"/>
          <w:lang w:val="en-GB"/>
        </w:rPr>
        <w:t xml:space="preserve"> </w:t>
      </w:r>
      <w:r w:rsidRPr="009104D5">
        <w:rPr>
          <w:rFonts w:cstheme="minorHAnsi"/>
          <w:szCs w:val="22"/>
        </w:rPr>
        <w:t xml:space="preserve">represents the fundamental reference frequency of the </w:t>
      </w:r>
      <w:proofErr w:type="spellStart"/>
      <w:r w:rsidRPr="009104D5">
        <w:rPr>
          <w:rFonts w:cstheme="minorHAnsi"/>
          <w:i/>
          <w:iCs/>
          <w:szCs w:val="22"/>
        </w:rPr>
        <w:t>i</w:t>
      </w:r>
      <w:r w:rsidRPr="009104D5">
        <w:rPr>
          <w:rFonts w:cstheme="minorHAnsi"/>
          <w:szCs w:val="22"/>
        </w:rPr>
        <w:t>th</w:t>
      </w:r>
      <w:proofErr w:type="spellEnd"/>
      <w:r w:rsidRPr="009104D5">
        <w:rPr>
          <w:rFonts w:cstheme="minorHAnsi"/>
          <w:szCs w:val="22"/>
        </w:rPr>
        <w:t xml:space="preserve"> note in the tune, </w:t>
      </w:r>
      <m:oMath>
        <m:sSub>
          <m:sSubPr>
            <m:ctrlPr>
              <w:rPr>
                <w:rFonts w:ascii="Cambria Math" w:hAnsi="Cambria Math" w:cstheme="minorHAnsi"/>
                <w:i/>
                <w:color w:val="000000"/>
                <w:szCs w:val="22"/>
                <w:lang w:val="en-GB"/>
              </w:rPr>
            </m:ctrlPr>
          </m:sSubPr>
          <m:e>
            <m:r>
              <w:rPr>
                <w:rFonts w:ascii="Cambria Math" w:hAnsi="Cambria Math" w:cstheme="minorHAnsi"/>
                <w:color w:val="000000"/>
                <w:szCs w:val="22"/>
                <w:lang w:val="en-GB"/>
              </w:rPr>
              <m:t>r</m:t>
            </m:r>
          </m:e>
          <m:sub>
            <m:r>
              <w:rPr>
                <w:rFonts w:ascii="Cambria Math" w:hAnsi="Cambria Math" w:cstheme="minorHAnsi"/>
                <w:color w:val="000000"/>
                <w:szCs w:val="22"/>
                <w:lang w:val="en-GB"/>
              </w:rPr>
              <m:t>i-1</m:t>
            </m:r>
          </m:sub>
        </m:sSub>
      </m:oMath>
      <w:r w:rsidRPr="009104D5">
        <w:rPr>
          <w:rFonts w:cstheme="minorHAnsi"/>
          <w:szCs w:val="22"/>
        </w:rPr>
        <w:t xml:space="preserve"> is the fundamental reference frequency of the preceding note and </w:t>
      </w:r>
      <w:r w:rsidRPr="009104D5">
        <w:rPr>
          <w:rFonts w:cstheme="minorHAnsi"/>
          <w:i/>
          <w:iCs/>
          <w:szCs w:val="22"/>
        </w:rPr>
        <w:t>int</w:t>
      </w:r>
      <w:r w:rsidRPr="009104D5">
        <w:rPr>
          <w:rFonts w:cstheme="minorHAnsi"/>
          <w:szCs w:val="22"/>
        </w:rPr>
        <w:t xml:space="preserve"> refers to the expected interval in cents between the two notes.</w:t>
      </w:r>
      <w:r w:rsidR="00A5717D" w:rsidRPr="009104D5">
        <w:rPr>
          <w:rFonts w:cstheme="minorHAnsi"/>
          <w:szCs w:val="22"/>
        </w:rPr>
        <w:t xml:space="preserve"> </w:t>
      </w:r>
      <w:r w:rsidR="00304D41" w:rsidRPr="009104D5">
        <w:rPr>
          <w:rFonts w:cstheme="minorHAnsi"/>
          <w:i/>
          <w:iCs/>
          <w:szCs w:val="22"/>
        </w:rPr>
        <w:t>I</w:t>
      </w:r>
      <w:r w:rsidR="00A5717D" w:rsidRPr="009104D5">
        <w:rPr>
          <w:rFonts w:cstheme="minorHAnsi"/>
          <w:i/>
          <w:iCs/>
          <w:szCs w:val="22"/>
        </w:rPr>
        <w:t>nt</w:t>
      </w:r>
      <w:r w:rsidR="00A5717D" w:rsidRPr="009104D5">
        <w:rPr>
          <w:rFonts w:cstheme="minorHAnsi"/>
          <w:szCs w:val="22"/>
        </w:rPr>
        <w:t xml:space="preserve"> can be calculated by multiplying the difference in semitones between two notes by 100; for example, an interval between notes G and A is two semitones, which equals 200 cents.</w:t>
      </w:r>
      <w:r w:rsidRPr="009104D5">
        <w:rPr>
          <w:rFonts w:cstheme="minorHAnsi"/>
          <w:szCs w:val="22"/>
        </w:rPr>
        <w:t xml:space="preserve"> Octave adjustments </w:t>
      </w:r>
      <w:r w:rsidR="00A70D2F" w:rsidRPr="009104D5">
        <w:rPr>
          <w:rFonts w:cstheme="minorHAnsi"/>
          <w:szCs w:val="22"/>
        </w:rPr>
        <w:t xml:space="preserve">for this task </w:t>
      </w:r>
      <w:r w:rsidRPr="009104D5">
        <w:rPr>
          <w:rFonts w:cstheme="minorHAnsi"/>
          <w:szCs w:val="22"/>
        </w:rPr>
        <w:t>were not required as all expected pitch values were derived from the participant’s starting note.</w:t>
      </w:r>
    </w:p>
    <w:p w14:paraId="5BC4C379" w14:textId="77777777" w:rsidR="00DB3306" w:rsidRPr="009104D5" w:rsidRDefault="00DB3306">
      <w:pPr>
        <w:rPr>
          <w:b/>
          <w:bCs/>
          <w:szCs w:val="22"/>
        </w:rPr>
      </w:pPr>
      <w:r w:rsidRPr="009104D5">
        <w:rPr>
          <w:b/>
          <w:bCs/>
          <w:szCs w:val="22"/>
        </w:rPr>
        <w:br w:type="page"/>
      </w:r>
    </w:p>
    <w:p w14:paraId="7F10F57D" w14:textId="556D4389" w:rsidR="00133BFD" w:rsidRDefault="00133BFD" w:rsidP="00133BFD">
      <w:pPr>
        <w:spacing w:line="480" w:lineRule="auto"/>
      </w:pPr>
      <w:r>
        <w:rPr>
          <w:b/>
          <w:bCs/>
        </w:rPr>
        <w:lastRenderedPageBreak/>
        <w:t>Supplemental Results</w:t>
      </w:r>
    </w:p>
    <w:p w14:paraId="0EF79E43" w14:textId="1C5283A2" w:rsidR="00133BFD" w:rsidRDefault="00C92E08" w:rsidP="00133BFD">
      <w:pPr>
        <w:spacing w:line="480" w:lineRule="auto"/>
      </w:pPr>
      <w:r>
        <w:t>For Figures S1 and S2 below, the twin data was split by randomised twin order. To eliminate birth order effects, the twins</w:t>
      </w:r>
      <w:r w:rsidR="00304D41">
        <w:t>’</w:t>
      </w:r>
      <w:r>
        <w:t xml:space="preserve"> birth order was randomly reallocated within each pair (i.e., one twin of a pair would be randomly allocated a 1, while the other would get a 2). Both samples therefore contain a random mix of first-born and second-born twins. We refer to these as Sample 1 (</w:t>
      </w:r>
      <w:r>
        <w:rPr>
          <w:i/>
          <w:iCs/>
        </w:rPr>
        <w:t>n</w:t>
      </w:r>
      <w:r>
        <w:t xml:space="preserve"> = 587) and Sample 2 (</w:t>
      </w:r>
      <w:r>
        <w:rPr>
          <w:i/>
          <w:iCs/>
        </w:rPr>
        <w:t>n</w:t>
      </w:r>
      <w:r>
        <w:t xml:space="preserve"> = 576)</w:t>
      </w:r>
      <w:r>
        <w:rPr>
          <w:noProof/>
        </w:rPr>
        <w:t>.</w:t>
      </w:r>
      <w:r w:rsidR="004872D8">
        <w:rPr>
          <w:noProof/>
        </w:rPr>
        <w:t xml:space="preserve"> For Figure S3, we used years of training from the original music training variable that was used to create the vocal training variable in the main model</w:t>
      </w:r>
      <w:r w:rsidR="009423C3">
        <w:rPr>
          <w:noProof/>
        </w:rPr>
        <w:t>, which covers training on any instrument</w:t>
      </w:r>
      <w:r w:rsidR="004872D8">
        <w:rPr>
          <w:noProof/>
        </w:rPr>
        <w:t xml:space="preserve">. This general music training variable </w:t>
      </w:r>
      <w:r w:rsidR="00CA5D10">
        <w:rPr>
          <w:noProof/>
        </w:rPr>
        <w:t>replaced the vocal training variable in the analysis</w:t>
      </w:r>
      <w:r w:rsidR="009423C3">
        <w:rPr>
          <w:noProof/>
        </w:rPr>
        <w:t>.</w:t>
      </w:r>
    </w:p>
    <w:p w14:paraId="3F960518" w14:textId="2F06EB44" w:rsidR="00133BFD" w:rsidRDefault="00133BFD" w:rsidP="00133BFD">
      <w:pPr>
        <w:spacing w:line="480" w:lineRule="auto"/>
      </w:pPr>
      <w:r>
        <w:rPr>
          <w:b/>
          <w:bCs/>
        </w:rPr>
        <w:t>Figure S1</w:t>
      </w:r>
    </w:p>
    <w:p w14:paraId="146E8EA2" w14:textId="27106792" w:rsidR="00133BFD" w:rsidRDefault="00974454" w:rsidP="00133BFD">
      <w:pPr>
        <w:spacing w:line="480" w:lineRule="auto"/>
      </w:pPr>
      <w:r>
        <w:t>Structural</w:t>
      </w:r>
      <w:r w:rsidR="00133BFD" w:rsidRPr="003A4637">
        <w:t xml:space="preserve"> equation model</w:t>
      </w:r>
      <w:r w:rsidR="00133BFD">
        <w:t xml:space="preserve"> for Sample 1 (</w:t>
      </w:r>
      <w:r w:rsidR="00133BFD">
        <w:rPr>
          <w:i/>
          <w:iCs/>
        </w:rPr>
        <w:t>n</w:t>
      </w:r>
      <w:r w:rsidR="00133BFD">
        <w:t xml:space="preserve"> = 587)</w:t>
      </w:r>
      <w:r w:rsidR="00133BFD" w:rsidRPr="003A4637">
        <w:t xml:space="preserve">. </w:t>
      </w:r>
      <w:r w:rsidR="00CA5D10">
        <w:t>Standardised path coefficients are shown</w:t>
      </w:r>
      <w:r w:rsidR="00133BFD" w:rsidRPr="003A4637">
        <w:t xml:space="preserve">. SPI = Singing Phenotypic Index. </w:t>
      </w:r>
    </w:p>
    <w:p w14:paraId="376053E8" w14:textId="34F2DE9F" w:rsidR="00133BFD" w:rsidRDefault="00133BFD">
      <w:r w:rsidRPr="00133BFD">
        <w:rPr>
          <w:noProof/>
        </w:rPr>
        <w:drawing>
          <wp:inline distT="0" distB="0" distL="0" distR="0" wp14:anchorId="35102149" wp14:editId="4C298543">
            <wp:extent cx="5731510" cy="3820795"/>
            <wp:effectExtent l="0" t="0" r="0" b="0"/>
            <wp:docPr id="75666532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65326" name=""/>
                    <pic:cNvPicPr/>
                  </pic:nvPicPr>
                  <pic:blipFill>
                    <a:blip r:embed="rId6">
                      <a:extLst>
                        <a:ext uri="{96DAC541-7B7A-43D3-8B79-37D633B846F1}">
                          <asvg:svgBlip xmlns:asvg="http://schemas.microsoft.com/office/drawing/2016/SVG/main" r:embed="rId7"/>
                        </a:ext>
                      </a:extLst>
                    </a:blip>
                    <a:stretch>
                      <a:fillRect/>
                    </a:stretch>
                  </pic:blipFill>
                  <pic:spPr>
                    <a:xfrm>
                      <a:off x="0" y="0"/>
                      <a:ext cx="5731510" cy="3820795"/>
                    </a:xfrm>
                    <a:prstGeom prst="rect">
                      <a:avLst/>
                    </a:prstGeom>
                  </pic:spPr>
                </pic:pic>
              </a:graphicData>
            </a:graphic>
          </wp:inline>
        </w:drawing>
      </w:r>
    </w:p>
    <w:p w14:paraId="7E1C0833" w14:textId="77777777" w:rsidR="00304D41" w:rsidRDefault="00304D41" w:rsidP="00133BFD">
      <w:pPr>
        <w:spacing w:line="480" w:lineRule="auto"/>
        <w:rPr>
          <w:b/>
          <w:bCs/>
        </w:rPr>
      </w:pPr>
    </w:p>
    <w:p w14:paraId="1DAF78E0" w14:textId="2D645BA1" w:rsidR="00133BFD" w:rsidRDefault="00133BFD" w:rsidP="00133BFD">
      <w:pPr>
        <w:spacing w:line="480" w:lineRule="auto"/>
      </w:pPr>
      <w:r>
        <w:rPr>
          <w:b/>
          <w:bCs/>
        </w:rPr>
        <w:lastRenderedPageBreak/>
        <w:t>Figure S2</w:t>
      </w:r>
    </w:p>
    <w:p w14:paraId="6FBCDD26" w14:textId="3BFC3D8B" w:rsidR="00133BFD" w:rsidRDefault="00974454" w:rsidP="00133BFD">
      <w:pPr>
        <w:spacing w:line="480" w:lineRule="auto"/>
      </w:pPr>
      <w:r>
        <w:t>Structural</w:t>
      </w:r>
      <w:r w:rsidR="00133BFD" w:rsidRPr="003A4637">
        <w:t xml:space="preserve"> equation model</w:t>
      </w:r>
      <w:r w:rsidR="00133BFD">
        <w:t xml:space="preserve"> for Sample 2 (</w:t>
      </w:r>
      <w:r w:rsidR="00133BFD">
        <w:rPr>
          <w:i/>
          <w:iCs/>
        </w:rPr>
        <w:t>n</w:t>
      </w:r>
      <w:r w:rsidR="00133BFD">
        <w:t xml:space="preserve"> = 576)</w:t>
      </w:r>
      <w:r w:rsidR="00133BFD" w:rsidRPr="003A4637">
        <w:t xml:space="preserve">. </w:t>
      </w:r>
      <w:r w:rsidR="00CA5D10">
        <w:t>Standardised path coefficients are shown</w:t>
      </w:r>
      <w:r w:rsidR="00CA5D10" w:rsidRPr="003A4637">
        <w:t>.</w:t>
      </w:r>
      <w:r w:rsidR="00CA5D10">
        <w:t xml:space="preserve"> </w:t>
      </w:r>
      <w:r w:rsidR="00133BFD" w:rsidRPr="003A4637">
        <w:t xml:space="preserve">SPI = Singing Phenotypic Index. </w:t>
      </w:r>
    </w:p>
    <w:p w14:paraId="6FB95B5C" w14:textId="6C99C813" w:rsidR="00133BFD" w:rsidRDefault="00133BFD">
      <w:r w:rsidRPr="00133BFD">
        <w:rPr>
          <w:noProof/>
        </w:rPr>
        <w:drawing>
          <wp:inline distT="0" distB="0" distL="0" distR="0" wp14:anchorId="629D683A" wp14:editId="25719470">
            <wp:extent cx="5731510" cy="3820795"/>
            <wp:effectExtent l="0" t="0" r="0" b="0"/>
            <wp:docPr id="18600650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65073" name=""/>
                    <pic:cNvPicPr/>
                  </pic:nvPicPr>
                  <pic:blipFill>
                    <a:blip r:embed="rId8">
                      <a:extLst>
                        <a:ext uri="{96DAC541-7B7A-43D3-8B79-37D633B846F1}">
                          <asvg:svgBlip xmlns:asvg="http://schemas.microsoft.com/office/drawing/2016/SVG/main" r:embed="rId9"/>
                        </a:ext>
                      </a:extLst>
                    </a:blip>
                    <a:stretch>
                      <a:fillRect/>
                    </a:stretch>
                  </pic:blipFill>
                  <pic:spPr>
                    <a:xfrm>
                      <a:off x="0" y="0"/>
                      <a:ext cx="5731510" cy="3820795"/>
                    </a:xfrm>
                    <a:prstGeom prst="rect">
                      <a:avLst/>
                    </a:prstGeom>
                  </pic:spPr>
                </pic:pic>
              </a:graphicData>
            </a:graphic>
          </wp:inline>
        </w:drawing>
      </w:r>
    </w:p>
    <w:p w14:paraId="2CF1C95E" w14:textId="77777777" w:rsidR="00974454" w:rsidRDefault="00974454"/>
    <w:p w14:paraId="353E64C2" w14:textId="35AC24E5" w:rsidR="00974454" w:rsidRDefault="00974454">
      <w:r>
        <w:br w:type="page"/>
      </w:r>
    </w:p>
    <w:p w14:paraId="2810246F" w14:textId="36E363D3" w:rsidR="00974454" w:rsidRDefault="00974454" w:rsidP="00DB102B">
      <w:pPr>
        <w:spacing w:line="480" w:lineRule="auto"/>
      </w:pPr>
      <w:r>
        <w:rPr>
          <w:b/>
          <w:bCs/>
        </w:rPr>
        <w:lastRenderedPageBreak/>
        <w:t>Figure S3</w:t>
      </w:r>
    </w:p>
    <w:p w14:paraId="66D7278D" w14:textId="20862B65" w:rsidR="00974454" w:rsidRDefault="00DB102B" w:rsidP="00DB102B">
      <w:pPr>
        <w:spacing w:line="480" w:lineRule="auto"/>
      </w:pPr>
      <w:r>
        <w:t>Structural equation model</w:t>
      </w:r>
      <w:r w:rsidR="005E4F1C">
        <w:t xml:space="preserve"> for the full sample (</w:t>
      </w:r>
      <w:r w:rsidR="005E4F1C">
        <w:rPr>
          <w:i/>
          <w:iCs/>
        </w:rPr>
        <w:t>n</w:t>
      </w:r>
      <w:r w:rsidR="005E4F1C">
        <w:t xml:space="preserve"> = 1163), with</w:t>
      </w:r>
      <w:r>
        <w:t xml:space="preserve"> </w:t>
      </w:r>
      <w:r w:rsidR="005E4F1C">
        <w:t xml:space="preserve">years of music training on any instrument in place of vocal training. </w:t>
      </w:r>
      <w:r w:rsidR="00CA5D10">
        <w:t>Standardised path coefficients are shown</w:t>
      </w:r>
      <w:r w:rsidR="00CA5D10" w:rsidRPr="003A4637">
        <w:t>.</w:t>
      </w:r>
      <w:r w:rsidR="00CA5D10">
        <w:t xml:space="preserve"> </w:t>
      </w:r>
      <w:r w:rsidRPr="003A4637">
        <w:t>SPI = Singing Phenotypic Index.</w:t>
      </w:r>
    </w:p>
    <w:p w14:paraId="6DDC8FBE" w14:textId="7A2F9839" w:rsidR="00DB102B" w:rsidRPr="00974454" w:rsidRDefault="009E1F22" w:rsidP="00DB102B">
      <w:pPr>
        <w:spacing w:line="480" w:lineRule="auto"/>
      </w:pPr>
      <w:r w:rsidRPr="009E1F22">
        <w:rPr>
          <w:noProof/>
        </w:rPr>
        <w:drawing>
          <wp:inline distT="0" distB="0" distL="0" distR="0" wp14:anchorId="0EEFAB16" wp14:editId="3A9EF6C9">
            <wp:extent cx="5731510" cy="3820795"/>
            <wp:effectExtent l="0" t="0" r="0" b="0"/>
            <wp:docPr id="1011025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25747"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731510" cy="3820795"/>
                    </a:xfrm>
                    <a:prstGeom prst="rect">
                      <a:avLst/>
                    </a:prstGeom>
                  </pic:spPr>
                </pic:pic>
              </a:graphicData>
            </a:graphic>
          </wp:inline>
        </w:drawing>
      </w:r>
    </w:p>
    <w:sectPr w:rsidR="00DB102B" w:rsidRPr="0097445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E43E" w14:textId="77777777" w:rsidR="00E6199E" w:rsidRDefault="00E6199E" w:rsidP="00E6199E">
      <w:pPr>
        <w:spacing w:after="0" w:line="240" w:lineRule="auto"/>
      </w:pPr>
      <w:r>
        <w:separator/>
      </w:r>
    </w:p>
  </w:endnote>
  <w:endnote w:type="continuationSeparator" w:id="0">
    <w:p w14:paraId="3365B93A" w14:textId="77777777" w:rsidR="00E6199E" w:rsidRDefault="00E6199E" w:rsidP="00E6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5CFE" w14:textId="77777777" w:rsidR="00E6199E" w:rsidRDefault="00E6199E" w:rsidP="00E6199E">
      <w:pPr>
        <w:spacing w:after="0" w:line="240" w:lineRule="auto"/>
      </w:pPr>
      <w:r>
        <w:separator/>
      </w:r>
    </w:p>
  </w:footnote>
  <w:footnote w:type="continuationSeparator" w:id="0">
    <w:p w14:paraId="0029D2D5" w14:textId="77777777" w:rsidR="00E6199E" w:rsidRDefault="00E6199E" w:rsidP="00E6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408540"/>
      <w:docPartObj>
        <w:docPartGallery w:val="Page Numbers (Top of Page)"/>
        <w:docPartUnique/>
      </w:docPartObj>
    </w:sdtPr>
    <w:sdtEndPr/>
    <w:sdtContent>
      <w:p w14:paraId="09EB738A" w14:textId="53CDED18" w:rsidR="00E6199E" w:rsidRDefault="00E6199E">
        <w:pPr>
          <w:pStyle w:val="Header"/>
          <w:jc w:val="right"/>
        </w:pPr>
        <w:r>
          <w:fldChar w:fldCharType="begin"/>
        </w:r>
        <w:r>
          <w:instrText>PAGE   \* MERGEFORMAT</w:instrText>
        </w:r>
        <w:r>
          <w:fldChar w:fldCharType="separate"/>
        </w:r>
        <w:r>
          <w:rPr>
            <w:lang w:val="en-GB"/>
          </w:rPr>
          <w:t>2</w:t>
        </w:r>
        <w:r>
          <w:fldChar w:fldCharType="end"/>
        </w:r>
      </w:p>
    </w:sdtContent>
  </w:sdt>
  <w:p w14:paraId="32F9E520" w14:textId="77777777" w:rsidR="00E6199E" w:rsidRDefault="00E61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FD"/>
    <w:rsid w:val="00020DDB"/>
    <w:rsid w:val="00090CA5"/>
    <w:rsid w:val="00133BFD"/>
    <w:rsid w:val="00146D96"/>
    <w:rsid w:val="0016410F"/>
    <w:rsid w:val="002071C0"/>
    <w:rsid w:val="0026043A"/>
    <w:rsid w:val="00304D41"/>
    <w:rsid w:val="0031686D"/>
    <w:rsid w:val="003A5822"/>
    <w:rsid w:val="003B17B5"/>
    <w:rsid w:val="003C18CA"/>
    <w:rsid w:val="00465624"/>
    <w:rsid w:val="004872D8"/>
    <w:rsid w:val="004D5E7C"/>
    <w:rsid w:val="00505795"/>
    <w:rsid w:val="0055379C"/>
    <w:rsid w:val="00570BA6"/>
    <w:rsid w:val="005E4F1C"/>
    <w:rsid w:val="00632D62"/>
    <w:rsid w:val="007F7615"/>
    <w:rsid w:val="00887C9C"/>
    <w:rsid w:val="008C6115"/>
    <w:rsid w:val="009104D5"/>
    <w:rsid w:val="009260EF"/>
    <w:rsid w:val="009423C3"/>
    <w:rsid w:val="00942C3B"/>
    <w:rsid w:val="00974454"/>
    <w:rsid w:val="009C2419"/>
    <w:rsid w:val="009E1F22"/>
    <w:rsid w:val="00A5717D"/>
    <w:rsid w:val="00A70D2F"/>
    <w:rsid w:val="00AC22DA"/>
    <w:rsid w:val="00AD1090"/>
    <w:rsid w:val="00AD5E2E"/>
    <w:rsid w:val="00BB5958"/>
    <w:rsid w:val="00C02A98"/>
    <w:rsid w:val="00C7775B"/>
    <w:rsid w:val="00C92E08"/>
    <w:rsid w:val="00CA5D10"/>
    <w:rsid w:val="00CD197C"/>
    <w:rsid w:val="00DB102B"/>
    <w:rsid w:val="00DB3306"/>
    <w:rsid w:val="00E21792"/>
    <w:rsid w:val="00E45DAC"/>
    <w:rsid w:val="00E6199E"/>
    <w:rsid w:val="00E667FB"/>
    <w:rsid w:val="00ED2B5D"/>
    <w:rsid w:val="00EF1A76"/>
    <w:rsid w:val="00F06CCD"/>
    <w:rsid w:val="00F75E3A"/>
    <w:rsid w:val="00F854B8"/>
    <w:rsid w:val="00F965A5"/>
    <w:rsid w:val="00FB3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A768"/>
  <w15:chartTrackingRefBased/>
  <w15:docId w15:val="{F9B1AB96-AE28-4606-95DE-3E68CB90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BFD"/>
    <w:rPr>
      <w:rFonts w:eastAsiaTheme="minorEastAsia"/>
      <w:kern w:val="0"/>
      <w:szCs w:val="28"/>
      <w:lang w:val="en-NZ" w:eastAsia="zh-CN" w:bidi="th-T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PA">
    <w:name w:val="APA"/>
    <w:basedOn w:val="TableNormal"/>
    <w:uiPriority w:val="99"/>
    <w:rsid w:val="00505795"/>
    <w:pPr>
      <w:spacing w:after="0" w:line="240" w:lineRule="auto"/>
    </w:pPr>
    <w:tblPr>
      <w:tblBorders>
        <w:top w:val="single" w:sz="4" w:space="0" w:color="auto"/>
        <w:bottom w:val="single" w:sz="4" w:space="0" w:color="auto"/>
      </w:tblBorders>
    </w:tblPr>
    <w:tblStylePr w:type="firstRow">
      <w:tblPr/>
      <w:tcPr>
        <w:tcBorders>
          <w:bottom w:val="single" w:sz="4" w:space="0" w:color="auto"/>
        </w:tcBorders>
      </w:tcPr>
    </w:tblStylePr>
  </w:style>
  <w:style w:type="character" w:styleId="Hyperlink">
    <w:name w:val="Hyperlink"/>
    <w:basedOn w:val="DefaultParagraphFont"/>
    <w:uiPriority w:val="99"/>
    <w:unhideWhenUsed/>
    <w:rsid w:val="00133BFD"/>
    <w:rPr>
      <w:color w:val="0563C1" w:themeColor="hyperlink"/>
      <w:u w:val="single"/>
    </w:rPr>
  </w:style>
  <w:style w:type="paragraph" w:styleId="Header">
    <w:name w:val="header"/>
    <w:basedOn w:val="Normal"/>
    <w:link w:val="HeaderChar"/>
    <w:uiPriority w:val="99"/>
    <w:unhideWhenUsed/>
    <w:rsid w:val="00E6199E"/>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E6199E"/>
    <w:rPr>
      <w:rFonts w:eastAsiaTheme="minorEastAsia" w:cs="Angsana New"/>
      <w:kern w:val="0"/>
      <w:szCs w:val="28"/>
      <w:lang w:val="en-NZ" w:eastAsia="zh-CN" w:bidi="th-TH"/>
      <w14:ligatures w14:val="none"/>
    </w:rPr>
  </w:style>
  <w:style w:type="paragraph" w:styleId="Footer">
    <w:name w:val="footer"/>
    <w:basedOn w:val="Normal"/>
    <w:link w:val="FooterChar"/>
    <w:uiPriority w:val="99"/>
    <w:unhideWhenUsed/>
    <w:rsid w:val="00E6199E"/>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E6199E"/>
    <w:rPr>
      <w:rFonts w:eastAsiaTheme="minorEastAsia" w:cs="Angsana New"/>
      <w:kern w:val="0"/>
      <w:szCs w:val="28"/>
      <w:lang w:val="en-NZ" w:eastAsia="zh-CN"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6</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Yeom</dc:creator>
  <cp:keywords/>
  <dc:description/>
  <cp:lastModifiedBy>Daniel Yeom</cp:lastModifiedBy>
  <cp:revision>52</cp:revision>
  <dcterms:created xsi:type="dcterms:W3CDTF">2023-12-04T01:13:00Z</dcterms:created>
  <dcterms:modified xsi:type="dcterms:W3CDTF">2024-03-20T20:10:00Z</dcterms:modified>
</cp:coreProperties>
</file>