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55428" w14:textId="3A166961" w:rsidR="00502958" w:rsidRPr="00B40E21" w:rsidRDefault="00B40E21" w:rsidP="00B40E21">
      <w:pPr>
        <w:pStyle w:val="NormalWeb"/>
        <w:spacing w:line="276" w:lineRule="auto"/>
        <w:rPr>
          <w:rFonts w:ascii="Calibri" w:hAnsi="Calibri" w:cs="Calibri"/>
          <w:sz w:val="20"/>
          <w:lang w:val="en-US"/>
        </w:rPr>
      </w:pPr>
      <w:r>
        <w:rPr>
          <w:rStyle w:val="Strong"/>
          <w:rFonts w:ascii="Calibri" w:hAnsi="Calibri" w:cs="Calibri"/>
          <w:sz w:val="20"/>
          <w:lang w:val="en-US"/>
        </w:rPr>
        <w:t>Supplementa</w:t>
      </w:r>
      <w:r w:rsidR="004461A5">
        <w:rPr>
          <w:rStyle w:val="Strong"/>
          <w:rFonts w:ascii="Calibri" w:hAnsi="Calibri" w:cs="Calibri"/>
          <w:sz w:val="20"/>
          <w:lang w:val="en-US"/>
        </w:rPr>
        <w:t>ry</w:t>
      </w:r>
      <w:r>
        <w:rPr>
          <w:rStyle w:val="Strong"/>
          <w:rFonts w:ascii="Calibri" w:hAnsi="Calibri" w:cs="Calibri"/>
          <w:sz w:val="20"/>
          <w:lang w:val="en-US"/>
        </w:rPr>
        <w:t xml:space="preserve"> Material 2. </w:t>
      </w:r>
      <w:r w:rsidRPr="00B40E21">
        <w:rPr>
          <w:rStyle w:val="Strong"/>
          <w:rFonts w:ascii="Calibri" w:hAnsi="Calibri" w:cs="Calibri"/>
          <w:b w:val="0"/>
          <w:sz w:val="20"/>
          <w:lang w:val="en-US"/>
        </w:rPr>
        <w:t>Study Selection Criteria</w:t>
      </w:r>
    </w:p>
    <w:p w14:paraId="658A6AC1" w14:textId="20B77E45" w:rsidR="00502958" w:rsidRPr="00B40E21" w:rsidRDefault="00502958" w:rsidP="00B40E21">
      <w:pPr>
        <w:pStyle w:val="NormalWeb"/>
        <w:spacing w:line="276" w:lineRule="auto"/>
        <w:rPr>
          <w:rFonts w:ascii="Calibri" w:hAnsi="Calibri" w:cs="Calibri"/>
          <w:sz w:val="20"/>
          <w:lang w:val="en-US"/>
        </w:rPr>
      </w:pPr>
      <w:r w:rsidRPr="00B40E21">
        <w:rPr>
          <w:rStyle w:val="Strong"/>
          <w:rFonts w:ascii="Calibri" w:hAnsi="Calibri" w:cs="Calibri"/>
          <w:sz w:val="20"/>
          <w:lang w:val="en-US"/>
        </w:rPr>
        <w:t>Types of Studies</w:t>
      </w:r>
      <w:r w:rsidRPr="00B40E21">
        <w:rPr>
          <w:rFonts w:ascii="Calibri" w:hAnsi="Calibri" w:cs="Calibri"/>
          <w:sz w:val="20"/>
          <w:lang w:val="en-US"/>
        </w:rPr>
        <w:br/>
        <w:t>All clinical trials, cohort studies, and case-control studies that use RR (Relative Risk), OR (Odds Ratio), or HR (Hazard Ratio) as measures of association or effect will be included. Descriptive studies, analytical studies, and clinical trials that use other measures of association or effect will be excluded.</w:t>
      </w:r>
    </w:p>
    <w:p w14:paraId="0A2E616E" w14:textId="21BA5F26" w:rsidR="00502958" w:rsidRPr="00B40E21" w:rsidRDefault="00502958" w:rsidP="00B40E21">
      <w:pPr>
        <w:pStyle w:val="NormalWeb"/>
        <w:spacing w:line="276" w:lineRule="auto"/>
        <w:rPr>
          <w:rFonts w:ascii="Calibri" w:hAnsi="Calibri" w:cs="Calibri"/>
          <w:sz w:val="20"/>
          <w:lang w:val="en-US"/>
        </w:rPr>
      </w:pPr>
      <w:r w:rsidRPr="00B40E21">
        <w:rPr>
          <w:rStyle w:val="Strong"/>
          <w:rFonts w:ascii="Calibri" w:hAnsi="Calibri" w:cs="Calibri"/>
          <w:sz w:val="20"/>
          <w:lang w:val="en-US"/>
        </w:rPr>
        <w:t>Study Population (Participants)</w:t>
      </w:r>
      <w:r w:rsidRPr="00B40E21">
        <w:rPr>
          <w:rFonts w:ascii="Calibri" w:hAnsi="Calibri" w:cs="Calibri"/>
          <w:sz w:val="20"/>
          <w:lang w:val="en-US"/>
        </w:rPr>
        <w:br/>
        <w:t>The study population should include women aged 30 to 70 years who are postmenopausal.</w:t>
      </w:r>
    </w:p>
    <w:p w14:paraId="305C8158" w14:textId="592A287A" w:rsidR="00502958" w:rsidRPr="00B40E21" w:rsidRDefault="00502958" w:rsidP="00B40E21">
      <w:pPr>
        <w:pStyle w:val="NormalWeb"/>
        <w:spacing w:line="276" w:lineRule="auto"/>
        <w:rPr>
          <w:rFonts w:ascii="Calibri" w:hAnsi="Calibri" w:cs="Calibri"/>
          <w:sz w:val="20"/>
          <w:lang w:val="en-US"/>
        </w:rPr>
      </w:pPr>
      <w:r w:rsidRPr="00B40E21">
        <w:rPr>
          <w:rStyle w:val="Strong"/>
          <w:rFonts w:ascii="Calibri" w:hAnsi="Calibri" w:cs="Calibri"/>
          <w:sz w:val="20"/>
          <w:lang w:val="en-US"/>
        </w:rPr>
        <w:t>Intervention/Exposure</w:t>
      </w:r>
      <w:r w:rsidRPr="00B40E21">
        <w:rPr>
          <w:rFonts w:ascii="Calibri" w:hAnsi="Calibri" w:cs="Calibri"/>
          <w:sz w:val="20"/>
          <w:lang w:val="en-US"/>
        </w:rPr>
        <w:br/>
        <w:t>This review will include studies that analyze female-specific factors such as age at first childbirth, age at menopause, number of children, number of abortions (spontaneous and induced), menstrual cycle duration, use of contraceptive pills, hysterectomy, hormone replacement therapy, common adverse pregnancy outcomes (APOs) (gestational diabetes, hypertensive disorders of pregnancy, low birth weight, high birth weight, and preterm delivery), and breast arterial calcification. An exposed group with some cardiovascular risk factors specific to menopause and a non-exposed group without risk factors will be considered.</w:t>
      </w:r>
    </w:p>
    <w:p w14:paraId="67DAD246" w14:textId="7B057EB1" w:rsidR="00502958" w:rsidRPr="00B40E21" w:rsidRDefault="00502958" w:rsidP="00B40E21">
      <w:pPr>
        <w:pStyle w:val="NormalWeb"/>
        <w:spacing w:line="276" w:lineRule="auto"/>
        <w:rPr>
          <w:rFonts w:ascii="Calibri" w:hAnsi="Calibri" w:cs="Calibri"/>
          <w:sz w:val="20"/>
          <w:lang w:val="en-US"/>
        </w:rPr>
      </w:pPr>
      <w:r w:rsidRPr="00B40E21">
        <w:rPr>
          <w:rStyle w:val="Strong"/>
          <w:rFonts w:ascii="Calibri" w:hAnsi="Calibri" w:cs="Calibri"/>
          <w:sz w:val="20"/>
          <w:lang w:val="en-US"/>
        </w:rPr>
        <w:t>Outcome Measures</w:t>
      </w:r>
      <w:r w:rsidRPr="00B40E21">
        <w:rPr>
          <w:rFonts w:ascii="Calibri" w:hAnsi="Calibri" w:cs="Calibri"/>
          <w:sz w:val="20"/>
          <w:lang w:val="en-US"/>
        </w:rPr>
        <w:br/>
        <w:t>Any of the following will be considered as outcome measures: 1- Cardiovascular events (including coronary heart disease, fatal and non-fatal acute myocardial infarction, angina pectoris, and stroke) and 2- Cardiovascular mortality.</w:t>
      </w:r>
    </w:p>
    <w:p w14:paraId="162B939E" w14:textId="564FC42C" w:rsidR="00747BDF" w:rsidRPr="00B40E21" w:rsidRDefault="00747BDF" w:rsidP="00502958">
      <w:pPr>
        <w:rPr>
          <w:rFonts w:ascii="Calibri" w:hAnsi="Calibri" w:cs="Calibri"/>
          <w:sz w:val="16"/>
          <w:lang w:val="en-US"/>
        </w:rPr>
      </w:pPr>
    </w:p>
    <w:sectPr w:rsidR="00747BDF" w:rsidRPr="00B40E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E5FB3"/>
    <w:multiLevelType w:val="multilevel"/>
    <w:tmpl w:val="D7F45E28"/>
    <w:lvl w:ilvl="0">
      <w:start w:val="1"/>
      <w:numFmt w:val="decimal"/>
      <w:lvlText w:val="%1."/>
      <w:lvlJc w:val="left"/>
      <w:pPr>
        <w:ind w:left="360" w:hanging="360"/>
      </w:pPr>
      <w:rPr>
        <w:rFonts w:ascii="Arial" w:hAnsi="Arial" w:cs="Arial" w:hint="default"/>
        <w:color w:val="auto"/>
        <w:sz w:val="24"/>
        <w:szCs w:val="24"/>
      </w:rPr>
    </w:lvl>
    <w:lvl w:ilvl="1">
      <w:start w:val="1"/>
      <w:numFmt w:val="decimal"/>
      <w:isLgl/>
      <w:lvlText w:val="%1.%2."/>
      <w:lvlJc w:val="left"/>
      <w:pPr>
        <w:ind w:left="1428" w:hanging="720"/>
      </w:pPr>
      <w:rPr>
        <w:rFonts w:ascii="Arial" w:hAnsi="Arial" w:cs="Arial" w:hint="default"/>
        <w:b/>
        <w:bCs/>
        <w:color w:val="auto"/>
        <w:sz w:val="24"/>
        <w:szCs w:val="24"/>
      </w:rPr>
    </w:lvl>
    <w:lvl w:ilvl="2">
      <w:start w:val="1"/>
      <w:numFmt w:val="decimal"/>
      <w:isLgl/>
      <w:lvlText w:val="%1.%2.%3."/>
      <w:lvlJc w:val="left"/>
      <w:pPr>
        <w:ind w:left="1779" w:hanging="720"/>
      </w:pPr>
      <w:rPr>
        <w:rFonts w:hint="default"/>
        <w:b/>
        <w:bCs/>
      </w:rPr>
    </w:lvl>
    <w:lvl w:ilvl="3">
      <w:start w:val="1"/>
      <w:numFmt w:val="decimal"/>
      <w:isLgl/>
      <w:lvlText w:val="%1.%2.%3.%4."/>
      <w:lvlJc w:val="left"/>
      <w:pPr>
        <w:ind w:left="2490" w:hanging="1080"/>
      </w:pPr>
      <w:rPr>
        <w:rFonts w:hint="default"/>
      </w:rPr>
    </w:lvl>
    <w:lvl w:ilvl="4">
      <w:start w:val="1"/>
      <w:numFmt w:val="decimal"/>
      <w:isLgl/>
      <w:lvlText w:val="%1.%2.%3.%4.%5."/>
      <w:lvlJc w:val="left"/>
      <w:pPr>
        <w:ind w:left="2841" w:hanging="1080"/>
      </w:pPr>
      <w:rPr>
        <w:rFonts w:hint="default"/>
      </w:rPr>
    </w:lvl>
    <w:lvl w:ilvl="5">
      <w:start w:val="1"/>
      <w:numFmt w:val="decimal"/>
      <w:isLgl/>
      <w:lvlText w:val="%1.%2.%3.%4.%5.%6."/>
      <w:lvlJc w:val="left"/>
      <w:pPr>
        <w:ind w:left="3552" w:hanging="1440"/>
      </w:pPr>
      <w:rPr>
        <w:rFonts w:hint="default"/>
      </w:rPr>
    </w:lvl>
    <w:lvl w:ilvl="6">
      <w:start w:val="1"/>
      <w:numFmt w:val="decimal"/>
      <w:isLgl/>
      <w:lvlText w:val="%1.%2.%3.%4.%5.%6.%7."/>
      <w:lvlJc w:val="left"/>
      <w:pPr>
        <w:ind w:left="3903" w:hanging="1440"/>
      </w:pPr>
      <w:rPr>
        <w:rFonts w:hint="default"/>
      </w:rPr>
    </w:lvl>
    <w:lvl w:ilvl="7">
      <w:start w:val="1"/>
      <w:numFmt w:val="decimal"/>
      <w:isLgl/>
      <w:lvlText w:val="%1.%2.%3.%4.%5.%6.%7.%8."/>
      <w:lvlJc w:val="left"/>
      <w:pPr>
        <w:ind w:left="4614" w:hanging="1800"/>
      </w:pPr>
      <w:rPr>
        <w:rFonts w:hint="default"/>
      </w:rPr>
    </w:lvl>
    <w:lvl w:ilvl="8">
      <w:start w:val="1"/>
      <w:numFmt w:val="decimal"/>
      <w:isLgl/>
      <w:lvlText w:val="%1.%2.%3.%4.%5.%6.%7.%8.%9."/>
      <w:lvlJc w:val="left"/>
      <w:pPr>
        <w:ind w:left="5325" w:hanging="2160"/>
      </w:pPr>
      <w:rPr>
        <w:rFonts w:hint="default"/>
      </w:rPr>
    </w:lvl>
  </w:abstractNum>
  <w:num w:numId="1" w16cid:durableId="458425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B6B"/>
    <w:rsid w:val="000B70FB"/>
    <w:rsid w:val="00332FDE"/>
    <w:rsid w:val="004461A5"/>
    <w:rsid w:val="00467B6B"/>
    <w:rsid w:val="00502958"/>
    <w:rsid w:val="00596483"/>
    <w:rsid w:val="006D44F8"/>
    <w:rsid w:val="006E0AF3"/>
    <w:rsid w:val="00747BDF"/>
    <w:rsid w:val="00A14D0C"/>
    <w:rsid w:val="00B40E21"/>
    <w:rsid w:val="00C76DED"/>
    <w:rsid w:val="00E01BC2"/>
    <w:rsid w:val="00E602DA"/>
    <w:rsid w:val="00FB31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FAD12"/>
  <w15:chartTrackingRefBased/>
  <w15:docId w15:val="{865F7F1A-D5D2-4F92-9169-6E119356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B6B"/>
    <w:pPr>
      <w:suppressAutoHyphens/>
      <w:spacing w:after="0" w:line="240" w:lineRule="auto"/>
    </w:pPr>
    <w:rPr>
      <w:rFonts w:ascii="Times New Roman" w:eastAsia="Times New Roman" w:hAnsi="Times New Roman" w:cs="Times New Roman"/>
      <w:sz w:val="20"/>
      <w:szCs w:val="20"/>
      <w:lang w:eastAsia="zh-CN"/>
    </w:rPr>
  </w:style>
  <w:style w:type="paragraph" w:styleId="Heading3">
    <w:name w:val="heading 3"/>
    <w:basedOn w:val="Normal"/>
    <w:next w:val="Normal"/>
    <w:link w:val="Heading3Char"/>
    <w:uiPriority w:val="9"/>
    <w:unhideWhenUsed/>
    <w:qFormat/>
    <w:rsid w:val="00467B6B"/>
    <w:pPr>
      <w:keepNext/>
      <w:keepLines/>
      <w:suppressAutoHyphens w:val="0"/>
      <w:spacing w:before="40" w:line="276" w:lineRule="auto"/>
      <w:ind w:left="357"/>
      <w:jc w:val="both"/>
      <w:outlineLvl w:val="2"/>
    </w:pPr>
    <w:rPr>
      <w:rFonts w:asciiTheme="majorHAnsi" w:eastAsiaTheme="majorEastAsia" w:hAnsiTheme="majorHAnsi" w:cstheme="majorBidi"/>
      <w:color w:val="1F3763" w:themeColor="accent1" w:themeShade="7F"/>
      <w:sz w:val="24"/>
      <w:szCs w:val="24"/>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67B6B"/>
    <w:rPr>
      <w:rFonts w:asciiTheme="majorHAnsi" w:eastAsiaTheme="majorEastAsia" w:hAnsiTheme="majorHAnsi" w:cstheme="majorBidi"/>
      <w:color w:val="1F3763" w:themeColor="accent1" w:themeShade="7F"/>
      <w:sz w:val="24"/>
      <w:szCs w:val="24"/>
      <w:lang w:val="es-ES_tradnl"/>
    </w:rPr>
  </w:style>
  <w:style w:type="paragraph" w:styleId="ListParagraph">
    <w:name w:val="List Paragraph"/>
    <w:basedOn w:val="Normal"/>
    <w:uiPriority w:val="34"/>
    <w:qFormat/>
    <w:rsid w:val="00467B6B"/>
    <w:pPr>
      <w:suppressAutoHyphens w:val="0"/>
      <w:spacing w:line="276" w:lineRule="auto"/>
      <w:ind w:left="720"/>
      <w:contextualSpacing/>
    </w:pPr>
    <w:rPr>
      <w:rFonts w:ascii="Calibri" w:eastAsia="Calibri" w:hAnsi="Calibri"/>
      <w:sz w:val="22"/>
      <w:szCs w:val="22"/>
      <w:lang w:eastAsia="en-US"/>
    </w:rPr>
  </w:style>
  <w:style w:type="paragraph" w:styleId="NormalWeb">
    <w:name w:val="Normal (Web)"/>
    <w:basedOn w:val="Normal"/>
    <w:uiPriority w:val="99"/>
    <w:semiHidden/>
    <w:unhideWhenUsed/>
    <w:rsid w:val="00502958"/>
    <w:pPr>
      <w:suppressAutoHyphens w:val="0"/>
      <w:spacing w:before="100" w:beforeAutospacing="1" w:after="100" w:afterAutospacing="1"/>
    </w:pPr>
    <w:rPr>
      <w:sz w:val="24"/>
      <w:szCs w:val="24"/>
      <w:lang w:eastAsia="es-ES"/>
    </w:rPr>
  </w:style>
  <w:style w:type="character" w:styleId="Strong">
    <w:name w:val="Strong"/>
    <w:basedOn w:val="DefaultParagraphFont"/>
    <w:uiPriority w:val="22"/>
    <w:qFormat/>
    <w:rsid w:val="005029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46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Dailet Mesa Ramirez</dc:creator>
  <cp:keywords/>
  <dc:description/>
  <cp:lastModifiedBy>Priscilla Goldby</cp:lastModifiedBy>
  <cp:revision>4</cp:revision>
  <dcterms:created xsi:type="dcterms:W3CDTF">2025-02-21T14:07:00Z</dcterms:created>
  <dcterms:modified xsi:type="dcterms:W3CDTF">2025-02-21T14:07:00Z</dcterms:modified>
</cp:coreProperties>
</file>