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3DE6" w14:textId="1ED53A43" w:rsidR="00FF1005" w:rsidRPr="00252A8C" w:rsidRDefault="00FF1005" w:rsidP="00FF1005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2A8C">
        <w:rPr>
          <w:rFonts w:ascii="Times New Roman" w:hAnsi="Times New Roman" w:cs="Times New Roman"/>
          <w:b/>
          <w:bCs/>
          <w:sz w:val="22"/>
          <w:szCs w:val="22"/>
        </w:rPr>
        <w:t>Online Appendix 1.</w:t>
      </w:r>
      <w:r w:rsidR="00FC73BF" w:rsidRPr="00252A8C">
        <w:rPr>
          <w:rFonts w:ascii="Times New Roman" w:hAnsi="Times New Roman" w:cs="Times New Roman"/>
          <w:b/>
          <w:bCs/>
          <w:sz w:val="22"/>
          <w:szCs w:val="22"/>
        </w:rPr>
        <w:t xml:space="preserve"> Operationalising collective skill formation systems</w:t>
      </w:r>
    </w:p>
    <w:p w14:paraId="1A2C4AAF" w14:textId="210A30BD" w:rsidR="00FF1005" w:rsidRDefault="003C0C7F" w:rsidP="00FF1005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2A8C">
        <w:rPr>
          <w:rFonts w:ascii="Times New Roman" w:hAnsi="Times New Roman" w:cs="Times New Roman"/>
          <w:sz w:val="22"/>
          <w:szCs w:val="22"/>
        </w:rPr>
        <w:t xml:space="preserve">Operationalising collective skill formation systems entails making choices about variables. One approach would lie in the use of </w:t>
      </w:r>
      <w:r w:rsidR="000B36A1" w:rsidRPr="00252A8C">
        <w:rPr>
          <w:rFonts w:ascii="Times New Roman" w:hAnsi="Times New Roman" w:cs="Times New Roman"/>
          <w:sz w:val="22"/>
          <w:szCs w:val="22"/>
        </w:rPr>
        <w:t>a categorical variable</w:t>
      </w:r>
      <w:r w:rsidRPr="00252A8C">
        <w:rPr>
          <w:rFonts w:ascii="Times New Roman" w:hAnsi="Times New Roman" w:cs="Times New Roman"/>
          <w:sz w:val="22"/>
          <w:szCs w:val="22"/>
        </w:rPr>
        <w:t xml:space="preserve"> distinguishing collective skill formation systems from non-collective ones.</w:t>
      </w:r>
      <w:r w:rsidR="000B36A1" w:rsidRPr="00252A8C">
        <w:rPr>
          <w:rFonts w:ascii="Times New Roman" w:hAnsi="Times New Roman" w:cs="Times New Roman"/>
          <w:sz w:val="22"/>
          <w:szCs w:val="22"/>
        </w:rPr>
        <w:t xml:space="preserve"> </w:t>
      </w:r>
      <w:r w:rsidRPr="00252A8C">
        <w:rPr>
          <w:rFonts w:ascii="Times New Roman" w:hAnsi="Times New Roman" w:cs="Times New Roman"/>
          <w:sz w:val="22"/>
          <w:szCs w:val="22"/>
        </w:rPr>
        <w:t xml:space="preserve">There are, however, two drawbacks related </w:t>
      </w:r>
      <w:r w:rsidR="00880837" w:rsidRPr="00252A8C">
        <w:rPr>
          <w:rFonts w:ascii="Times New Roman" w:hAnsi="Times New Roman" w:cs="Times New Roman"/>
          <w:sz w:val="22"/>
          <w:szCs w:val="22"/>
        </w:rPr>
        <w:t>to</w:t>
      </w:r>
      <w:r w:rsidRPr="00252A8C">
        <w:rPr>
          <w:rFonts w:ascii="Times New Roman" w:hAnsi="Times New Roman" w:cs="Times New Roman"/>
          <w:sz w:val="22"/>
          <w:szCs w:val="22"/>
        </w:rPr>
        <w:t xml:space="preserve"> this approach. First, there is not </w:t>
      </w:r>
      <w:proofErr w:type="gramStart"/>
      <w:r w:rsidRPr="00252A8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252A8C">
        <w:rPr>
          <w:rFonts w:ascii="Times New Roman" w:hAnsi="Times New Roman" w:cs="Times New Roman"/>
          <w:sz w:val="22"/>
          <w:szCs w:val="22"/>
        </w:rPr>
        <w:t xml:space="preserve"> unanimously agreed ‘list’ of collective skill formation systems. Most studies would point to five countries that unequivocally feature this kind of system:</w:t>
      </w:r>
      <w:r w:rsidR="000B36A1" w:rsidRPr="00252A8C">
        <w:rPr>
          <w:rFonts w:ascii="Times New Roman" w:hAnsi="Times New Roman" w:cs="Times New Roman"/>
          <w:sz w:val="22"/>
          <w:szCs w:val="22"/>
        </w:rPr>
        <w:t xml:space="preserve"> Austria, Denmark, Germany, Netherlands, and Switzerland </w:t>
      </w:r>
      <w:r w:rsidR="000B36A1" w:rsidRPr="00727AB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Bonoli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r w:rsidR="006760CB">
        <w:rPr>
          <w:rFonts w:ascii="Times New Roman" w:hAnsi="Times New Roman" w:cs="Times New Roman"/>
          <w:sz w:val="22"/>
          <w:szCs w:val="22"/>
        </w:rPr>
        <w:t>and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Emmennegger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 xml:space="preserve">, 2022; 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Busemeyer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r w:rsidR="006760CB">
        <w:rPr>
          <w:rFonts w:ascii="Times New Roman" w:hAnsi="Times New Roman" w:cs="Times New Roman"/>
          <w:sz w:val="22"/>
          <w:szCs w:val="22"/>
        </w:rPr>
        <w:t>and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Trampusch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 xml:space="preserve"> 2011). However, while these countries may be ideal-typical, the</w:t>
      </w:r>
      <w:r w:rsidR="00880837" w:rsidRPr="00727AB7">
        <w:rPr>
          <w:rFonts w:ascii="Times New Roman" w:hAnsi="Times New Roman" w:cs="Times New Roman"/>
          <w:sz w:val="22"/>
          <w:szCs w:val="22"/>
        </w:rPr>
        <w:t>re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r w:rsidR="00880837" w:rsidRPr="00727AB7">
        <w:rPr>
          <w:rFonts w:ascii="Times New Roman" w:hAnsi="Times New Roman" w:cs="Times New Roman"/>
          <w:sz w:val="22"/>
          <w:szCs w:val="22"/>
        </w:rPr>
        <w:t>are others who would plausibly quali</w:t>
      </w:r>
      <w:r w:rsidR="006760CB">
        <w:rPr>
          <w:rFonts w:ascii="Times New Roman" w:hAnsi="Times New Roman" w:cs="Times New Roman"/>
          <w:sz w:val="22"/>
          <w:szCs w:val="22"/>
        </w:rPr>
        <w:t>f</w:t>
      </w:r>
      <w:r w:rsidR="00880837" w:rsidRPr="00727AB7">
        <w:rPr>
          <w:rFonts w:ascii="Times New Roman" w:hAnsi="Times New Roman" w:cs="Times New Roman"/>
          <w:sz w:val="22"/>
          <w:szCs w:val="22"/>
        </w:rPr>
        <w:t>y</w:t>
      </w:r>
      <w:r w:rsidR="000B36A1" w:rsidRPr="00727AB7">
        <w:rPr>
          <w:rFonts w:ascii="Times New Roman" w:hAnsi="Times New Roman" w:cs="Times New Roman"/>
          <w:sz w:val="22"/>
          <w:szCs w:val="22"/>
        </w:rPr>
        <w:t>.</w:t>
      </w:r>
      <w:r w:rsidRPr="00727AB7">
        <w:rPr>
          <w:rFonts w:ascii="Times New Roman" w:hAnsi="Times New Roman" w:cs="Times New Roman"/>
          <w:sz w:val="22"/>
          <w:szCs w:val="22"/>
        </w:rPr>
        <w:t xml:space="preserve"> The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r w:rsidRPr="00727AB7">
        <w:rPr>
          <w:rFonts w:ascii="Times New Roman" w:hAnsi="Times New Roman" w:cs="Times New Roman"/>
          <w:sz w:val="22"/>
          <w:szCs w:val="22"/>
        </w:rPr>
        <w:t>Norwegian training system, for instance,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</w:t>
      </w:r>
      <w:r w:rsidRPr="00727AB7">
        <w:rPr>
          <w:rFonts w:ascii="Times New Roman" w:hAnsi="Times New Roman" w:cs="Times New Roman"/>
          <w:sz w:val="22"/>
          <w:szCs w:val="22"/>
        </w:rPr>
        <w:t>has been recently compared to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the Danish system</w:t>
      </w:r>
      <w:r w:rsidR="00880837" w:rsidRPr="00727AB7">
        <w:rPr>
          <w:rFonts w:ascii="Times New Roman" w:hAnsi="Times New Roman" w:cs="Times New Roman"/>
          <w:sz w:val="22"/>
          <w:szCs w:val="22"/>
        </w:rPr>
        <w:t xml:space="preserve"> precisely</w:t>
      </w:r>
      <w:r w:rsidRPr="00727AB7">
        <w:rPr>
          <w:rFonts w:ascii="Times New Roman" w:hAnsi="Times New Roman" w:cs="Times New Roman"/>
          <w:sz w:val="22"/>
          <w:szCs w:val="22"/>
        </w:rPr>
        <w:t xml:space="preserve"> by virtue of their similar institutional set-up</w:t>
      </w:r>
      <w:r w:rsidR="000B36A1" w:rsidRPr="00727AB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Arnholz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0B36A1" w:rsidRPr="00727AB7">
        <w:rPr>
          <w:rFonts w:ascii="Times New Roman" w:hAnsi="Times New Roman" w:cs="Times New Roman"/>
          <w:sz w:val="22"/>
          <w:szCs w:val="22"/>
        </w:rPr>
        <w:t>Østhus</w:t>
      </w:r>
      <w:proofErr w:type="spellEnd"/>
      <w:r w:rsidR="000B36A1" w:rsidRPr="00727AB7">
        <w:rPr>
          <w:rFonts w:ascii="Times New Roman" w:hAnsi="Times New Roman" w:cs="Times New Roman"/>
          <w:sz w:val="22"/>
          <w:szCs w:val="22"/>
        </w:rPr>
        <w:t>, 2024).</w:t>
      </w:r>
      <w:r w:rsidRPr="00727AB7">
        <w:rPr>
          <w:rFonts w:ascii="Times New Roman" w:hAnsi="Times New Roman" w:cs="Times New Roman"/>
          <w:sz w:val="22"/>
          <w:szCs w:val="22"/>
        </w:rPr>
        <w:t xml:space="preserve"> Moreover, </w:t>
      </w:r>
      <w:r w:rsidR="00880837" w:rsidRPr="00727AB7">
        <w:rPr>
          <w:rFonts w:ascii="Times New Roman" w:hAnsi="Times New Roman" w:cs="Times New Roman"/>
          <w:sz w:val="22"/>
          <w:szCs w:val="22"/>
        </w:rPr>
        <w:t xml:space="preserve">some </w:t>
      </w:r>
      <w:r w:rsidR="0077202A" w:rsidRPr="00727AB7">
        <w:rPr>
          <w:rFonts w:ascii="Times New Roman" w:hAnsi="Times New Roman" w:cs="Times New Roman"/>
          <w:sz w:val="22"/>
          <w:szCs w:val="22"/>
        </w:rPr>
        <w:t>Central and Eastern Europe</w:t>
      </w:r>
      <w:r w:rsidR="00880837" w:rsidRPr="00727AB7">
        <w:rPr>
          <w:rFonts w:ascii="Times New Roman" w:hAnsi="Times New Roman" w:cs="Times New Roman"/>
          <w:sz w:val="22"/>
          <w:szCs w:val="22"/>
        </w:rPr>
        <w:t>an countries,</w:t>
      </w:r>
      <w:r w:rsidR="0077202A" w:rsidRPr="00727AB7">
        <w:rPr>
          <w:rFonts w:ascii="Times New Roman" w:hAnsi="Times New Roman" w:cs="Times New Roman"/>
          <w:sz w:val="22"/>
          <w:szCs w:val="22"/>
        </w:rPr>
        <w:t xml:space="preserve"> often excluded from</w:t>
      </w:r>
      <w:r w:rsidR="0077202A" w:rsidRPr="00252A8C">
        <w:rPr>
          <w:rFonts w:ascii="Times New Roman" w:hAnsi="Times New Roman" w:cs="Times New Roman"/>
          <w:sz w:val="22"/>
          <w:szCs w:val="22"/>
        </w:rPr>
        <w:t xml:space="preserve"> these categorisations, </w:t>
      </w:r>
      <w:r w:rsidR="00880837" w:rsidRPr="00252A8C">
        <w:rPr>
          <w:rFonts w:ascii="Times New Roman" w:hAnsi="Times New Roman" w:cs="Times New Roman"/>
          <w:sz w:val="22"/>
          <w:szCs w:val="22"/>
        </w:rPr>
        <w:t xml:space="preserve">have </w:t>
      </w:r>
      <w:r w:rsidR="0077202A" w:rsidRPr="00252A8C">
        <w:rPr>
          <w:rFonts w:ascii="Times New Roman" w:hAnsi="Times New Roman" w:cs="Times New Roman"/>
          <w:sz w:val="22"/>
          <w:szCs w:val="22"/>
        </w:rPr>
        <w:t xml:space="preserve">developed elements in their training system that makes them in some respects </w:t>
      </w:r>
      <w:proofErr w:type="gramStart"/>
      <w:r w:rsidR="0077202A" w:rsidRPr="00252A8C">
        <w:rPr>
          <w:rFonts w:ascii="Times New Roman" w:hAnsi="Times New Roman" w:cs="Times New Roman"/>
          <w:sz w:val="22"/>
          <w:szCs w:val="22"/>
        </w:rPr>
        <w:t>similar to</w:t>
      </w:r>
      <w:proofErr w:type="gramEnd"/>
      <w:r w:rsidR="0077202A" w:rsidRPr="00252A8C">
        <w:rPr>
          <w:rFonts w:ascii="Times New Roman" w:hAnsi="Times New Roman" w:cs="Times New Roman"/>
          <w:sz w:val="22"/>
          <w:szCs w:val="22"/>
        </w:rPr>
        <w:t xml:space="preserve"> those of German-speaking countries (</w:t>
      </w:r>
      <w:proofErr w:type="spellStart"/>
      <w:r w:rsidR="0077202A" w:rsidRPr="00252A8C">
        <w:rPr>
          <w:rFonts w:ascii="Times New Roman" w:hAnsi="Times New Roman" w:cs="Times New Roman"/>
          <w:sz w:val="22"/>
          <w:szCs w:val="22"/>
        </w:rPr>
        <w:t>Hancké</w:t>
      </w:r>
      <w:proofErr w:type="spellEnd"/>
      <w:r w:rsidR="0077202A" w:rsidRPr="00252A8C">
        <w:rPr>
          <w:rFonts w:ascii="Times New Roman" w:hAnsi="Times New Roman" w:cs="Times New Roman"/>
          <w:sz w:val="22"/>
          <w:szCs w:val="22"/>
        </w:rPr>
        <w:t xml:space="preserve"> 2012). Secondly, and perhaps more fundamentally, national training systems can hardly be considered as organised in their entirety according to one over-arching principle. Rather, different forms of training typically exist within each country</w:t>
      </w:r>
      <w:r w:rsidR="00880837" w:rsidRPr="00252A8C">
        <w:rPr>
          <w:rFonts w:ascii="Times New Roman" w:hAnsi="Times New Roman" w:cs="Times New Roman"/>
          <w:sz w:val="22"/>
          <w:szCs w:val="22"/>
        </w:rPr>
        <w:t>, with different skill ‘eco-system’ often emerging at regional or sectoral level (Finegold 1999, Crouch et al. 2009)</w:t>
      </w:r>
      <w:r w:rsidR="0077202A" w:rsidRPr="00252A8C">
        <w:rPr>
          <w:rFonts w:ascii="Times New Roman" w:hAnsi="Times New Roman" w:cs="Times New Roman"/>
          <w:sz w:val="22"/>
          <w:szCs w:val="22"/>
        </w:rPr>
        <w:t>. Countries that are quintessentially collectivist feature</w:t>
      </w:r>
      <w:r w:rsidR="00880837" w:rsidRPr="00252A8C">
        <w:rPr>
          <w:rFonts w:ascii="Times New Roman" w:hAnsi="Times New Roman" w:cs="Times New Roman"/>
          <w:sz w:val="22"/>
          <w:szCs w:val="22"/>
        </w:rPr>
        <w:t xml:space="preserve"> for instance</w:t>
      </w:r>
      <w:r w:rsidR="0077202A" w:rsidRPr="00252A8C">
        <w:rPr>
          <w:rFonts w:ascii="Times New Roman" w:hAnsi="Times New Roman" w:cs="Times New Roman"/>
          <w:sz w:val="22"/>
          <w:szCs w:val="22"/>
        </w:rPr>
        <w:t xml:space="preserve"> ‘statist’ elements that co-exist alongside collectivist ones (</w:t>
      </w:r>
      <w:r w:rsidR="00880837" w:rsidRPr="00252A8C">
        <w:rPr>
          <w:rFonts w:ascii="Times New Roman" w:hAnsi="Times New Roman" w:cs="Times New Roman"/>
          <w:sz w:val="22"/>
          <w:szCs w:val="22"/>
        </w:rPr>
        <w:t xml:space="preserve">see </w:t>
      </w:r>
      <w:r w:rsidR="0077202A" w:rsidRPr="00252A8C">
        <w:rPr>
          <w:rFonts w:ascii="Times New Roman" w:hAnsi="Times New Roman" w:cs="Times New Roman"/>
          <w:sz w:val="22"/>
          <w:szCs w:val="22"/>
        </w:rPr>
        <w:t xml:space="preserve">e.g. </w:t>
      </w:r>
      <w:r w:rsidR="00880837" w:rsidRPr="00252A8C">
        <w:rPr>
          <w:rFonts w:ascii="Times New Roman" w:hAnsi="Times New Roman" w:cs="Times New Roman"/>
          <w:sz w:val="22"/>
          <w:szCs w:val="22"/>
        </w:rPr>
        <w:t xml:space="preserve">Graf </w:t>
      </w:r>
      <w:r w:rsidR="00727AB7">
        <w:rPr>
          <w:rFonts w:ascii="Times New Roman" w:hAnsi="Times New Roman" w:cs="Times New Roman"/>
          <w:sz w:val="22"/>
          <w:szCs w:val="22"/>
        </w:rPr>
        <w:t>et al.</w:t>
      </w:r>
      <w:r w:rsidR="00880837" w:rsidRPr="00252A8C">
        <w:rPr>
          <w:rFonts w:ascii="Times New Roman" w:hAnsi="Times New Roman" w:cs="Times New Roman"/>
          <w:sz w:val="22"/>
          <w:szCs w:val="22"/>
        </w:rPr>
        <w:t xml:space="preserve"> 2012</w:t>
      </w:r>
      <w:r w:rsidR="0077202A" w:rsidRPr="00252A8C">
        <w:rPr>
          <w:rFonts w:ascii="Times New Roman" w:hAnsi="Times New Roman" w:cs="Times New Roman"/>
          <w:sz w:val="22"/>
          <w:szCs w:val="22"/>
        </w:rPr>
        <w:t>)</w:t>
      </w:r>
      <w:r w:rsidR="00880837" w:rsidRPr="00252A8C">
        <w:rPr>
          <w:rFonts w:ascii="Times New Roman" w:hAnsi="Times New Roman" w:cs="Times New Roman"/>
          <w:sz w:val="22"/>
          <w:szCs w:val="22"/>
        </w:rPr>
        <w:t>, while countries labelled as ‘liberal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skill formation systems’ have had moments in which they conducted reforms approximating their skill formation systems to collective ones (</w:t>
      </w:r>
      <w:proofErr w:type="spellStart"/>
      <w:r w:rsidR="0034642F" w:rsidRPr="00252A8C">
        <w:rPr>
          <w:rFonts w:ascii="Times New Roman" w:hAnsi="Times New Roman" w:cs="Times New Roman"/>
          <w:sz w:val="22"/>
          <w:szCs w:val="22"/>
        </w:rPr>
        <w:t>Vossiek</w:t>
      </w:r>
      <w:proofErr w:type="spellEnd"/>
      <w:r w:rsidR="0034642F" w:rsidRPr="00252A8C">
        <w:rPr>
          <w:rFonts w:ascii="Times New Roman" w:hAnsi="Times New Roman" w:cs="Times New Roman"/>
          <w:sz w:val="22"/>
          <w:szCs w:val="22"/>
        </w:rPr>
        <w:t xml:space="preserve"> 2018).</w:t>
      </w:r>
      <w:r w:rsidR="0077202A" w:rsidRPr="00252A8C">
        <w:rPr>
          <w:rFonts w:ascii="Times New Roman" w:hAnsi="Times New Roman" w:cs="Times New Roman"/>
          <w:sz w:val="22"/>
          <w:szCs w:val="22"/>
        </w:rPr>
        <w:t xml:space="preserve"> </w:t>
      </w:r>
      <w:r w:rsidR="0034642F" w:rsidRPr="00252A8C">
        <w:rPr>
          <w:rFonts w:ascii="Times New Roman" w:hAnsi="Times New Roman" w:cs="Times New Roman"/>
          <w:sz w:val="22"/>
          <w:szCs w:val="22"/>
        </w:rPr>
        <w:t>In short, m</w:t>
      </w:r>
      <w:r w:rsidR="000B36A1" w:rsidRPr="00252A8C">
        <w:rPr>
          <w:rFonts w:ascii="Times New Roman" w:hAnsi="Times New Roman" w:cs="Times New Roman"/>
          <w:sz w:val="22"/>
          <w:szCs w:val="22"/>
        </w:rPr>
        <w:t>aking discrete choices about which countries should belong to the universe of collective systems would require a considerable degree of subjectiv</w:t>
      </w:r>
      <w:r w:rsidR="0034642F" w:rsidRPr="00252A8C">
        <w:rPr>
          <w:rFonts w:ascii="Times New Roman" w:hAnsi="Times New Roman" w:cs="Times New Roman"/>
          <w:sz w:val="22"/>
          <w:szCs w:val="22"/>
        </w:rPr>
        <w:t>ity and it would inevitably lack the nuance that is itself characteristic of all national skill formation systems</w:t>
      </w:r>
      <w:r w:rsidR="000B36A1" w:rsidRPr="00252A8C">
        <w:rPr>
          <w:rFonts w:ascii="Times New Roman" w:hAnsi="Times New Roman" w:cs="Times New Roman"/>
          <w:sz w:val="22"/>
          <w:szCs w:val="22"/>
        </w:rPr>
        <w:t>. Thus, we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take a different approach</w:t>
      </w:r>
      <w:r w:rsidR="006760CB">
        <w:rPr>
          <w:rFonts w:ascii="Times New Roman" w:hAnsi="Times New Roman" w:cs="Times New Roman"/>
          <w:sz w:val="22"/>
          <w:szCs w:val="22"/>
        </w:rPr>
        <w:t>.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</w:t>
      </w:r>
      <w:r w:rsidR="006760CB">
        <w:rPr>
          <w:rFonts w:ascii="Times New Roman" w:hAnsi="Times New Roman" w:cs="Times New Roman"/>
          <w:sz w:val="22"/>
          <w:szCs w:val="22"/>
        </w:rPr>
        <w:t>We</w:t>
      </w:r>
      <w:r w:rsidR="000B36A1" w:rsidRPr="00252A8C">
        <w:rPr>
          <w:rFonts w:ascii="Times New Roman" w:hAnsi="Times New Roman" w:cs="Times New Roman"/>
          <w:sz w:val="22"/>
          <w:szCs w:val="22"/>
        </w:rPr>
        <w:t xml:space="preserve"> follow </w:t>
      </w:r>
      <w:proofErr w:type="spellStart"/>
      <w:r w:rsidR="000B36A1" w:rsidRPr="00252A8C">
        <w:rPr>
          <w:rFonts w:ascii="Times New Roman" w:hAnsi="Times New Roman" w:cs="Times New Roman"/>
          <w:sz w:val="22"/>
          <w:szCs w:val="22"/>
        </w:rPr>
        <w:t>Emmenegger</w:t>
      </w:r>
      <w:proofErr w:type="spellEnd"/>
      <w:r w:rsidR="000B36A1" w:rsidRPr="00252A8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0B36A1" w:rsidRPr="00252A8C">
        <w:rPr>
          <w:rFonts w:ascii="Times New Roman" w:hAnsi="Times New Roman" w:cs="Times New Roman"/>
          <w:sz w:val="22"/>
          <w:szCs w:val="22"/>
        </w:rPr>
        <w:t>Haslberger</w:t>
      </w:r>
      <w:proofErr w:type="spellEnd"/>
      <w:r w:rsidR="000B36A1" w:rsidRPr="00252A8C">
        <w:rPr>
          <w:rFonts w:ascii="Times New Roman" w:hAnsi="Times New Roman" w:cs="Times New Roman"/>
          <w:sz w:val="22"/>
          <w:szCs w:val="22"/>
        </w:rPr>
        <w:t xml:space="preserve"> (2023) and measure collective skill formation systems 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through a </w:t>
      </w:r>
      <w:proofErr w:type="gramStart"/>
      <w:r w:rsidR="0034642F" w:rsidRPr="00252A8C">
        <w:rPr>
          <w:rFonts w:ascii="Times New Roman" w:hAnsi="Times New Roman" w:cs="Times New Roman"/>
          <w:sz w:val="22"/>
          <w:szCs w:val="22"/>
        </w:rPr>
        <w:t>continuous variables</w:t>
      </w:r>
      <w:proofErr w:type="gramEnd"/>
      <w:r w:rsidR="0034642F" w:rsidRPr="00252A8C">
        <w:rPr>
          <w:rFonts w:ascii="Times New Roman" w:hAnsi="Times New Roman" w:cs="Times New Roman"/>
          <w:sz w:val="22"/>
          <w:szCs w:val="22"/>
        </w:rPr>
        <w:t xml:space="preserve"> that captures the share of students engaged in</w:t>
      </w:r>
      <w:r w:rsidR="006760CB">
        <w:rPr>
          <w:rFonts w:ascii="Times New Roman" w:hAnsi="Times New Roman" w:cs="Times New Roman"/>
          <w:sz w:val="22"/>
          <w:szCs w:val="22"/>
        </w:rPr>
        <w:t xml:space="preserve"> any given year in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upper-secondary vocational training programmes that combine school- and work- based learning as a share of all upper-secondary students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(which we refer to as “Dual VET share”)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. The dual nature of training – taking place both in schools and at the workplace – is the most </w:t>
      </w:r>
      <w:r w:rsidR="00FF1005" w:rsidRPr="00252A8C">
        <w:rPr>
          <w:rFonts w:ascii="Times New Roman" w:hAnsi="Times New Roman" w:cs="Times New Roman"/>
          <w:sz w:val="22"/>
          <w:szCs w:val="22"/>
        </w:rPr>
        <w:t>important feature of collective skill formation systems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</w:t>
      </w:r>
      <w:r w:rsidR="00252A8C" w:rsidRPr="00252A8C">
        <w:rPr>
          <w:rFonts w:ascii="Times New Roman" w:hAnsi="Times New Roman" w:cs="Times New Roman"/>
          <w:sz w:val="22"/>
          <w:szCs w:val="22"/>
        </w:rPr>
        <w:lastRenderedPageBreak/>
        <w:t>(</w:t>
      </w:r>
      <w:proofErr w:type="spellStart"/>
      <w:r w:rsidR="00252A8C" w:rsidRPr="00252A8C">
        <w:rPr>
          <w:rFonts w:ascii="Times New Roman" w:hAnsi="Times New Roman" w:cs="Times New Roman"/>
          <w:sz w:val="22"/>
          <w:szCs w:val="22"/>
        </w:rPr>
        <w:t>Streeck</w:t>
      </w:r>
      <w:proofErr w:type="spellEnd"/>
      <w:r w:rsidR="00252A8C" w:rsidRPr="00252A8C">
        <w:rPr>
          <w:rFonts w:ascii="Times New Roman" w:hAnsi="Times New Roman" w:cs="Times New Roman"/>
          <w:sz w:val="22"/>
          <w:szCs w:val="22"/>
        </w:rPr>
        <w:t xml:space="preserve"> 2012)</w:t>
      </w:r>
      <w:r w:rsidR="00FF1005" w:rsidRPr="00252A8C">
        <w:rPr>
          <w:rFonts w:ascii="Times New Roman" w:hAnsi="Times New Roman" w:cs="Times New Roman"/>
          <w:sz w:val="22"/>
          <w:szCs w:val="22"/>
        </w:rPr>
        <w:t>.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Using this variable allows us therefore to capture a key feature of collective skill formation systems, while also </w:t>
      </w:r>
      <w:r w:rsidR="00252A8C" w:rsidRPr="00252A8C">
        <w:rPr>
          <w:rFonts w:ascii="Times New Roman" w:hAnsi="Times New Roman" w:cs="Times New Roman"/>
          <w:sz w:val="22"/>
          <w:szCs w:val="22"/>
        </w:rPr>
        <w:t>retaining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some of the nuance discussed above. For example, by relying on this variable we </w:t>
      </w:r>
      <w:proofErr w:type="gramStart"/>
      <w:r w:rsidR="0034642F" w:rsidRPr="00252A8C">
        <w:rPr>
          <w:rFonts w:ascii="Times New Roman" w:hAnsi="Times New Roman" w:cs="Times New Roman"/>
          <w:sz w:val="22"/>
          <w:szCs w:val="22"/>
        </w:rPr>
        <w:t>are able to</w:t>
      </w:r>
      <w:proofErr w:type="gramEnd"/>
      <w:r w:rsidR="0034642F" w:rsidRPr="00252A8C">
        <w:rPr>
          <w:rFonts w:ascii="Times New Roman" w:hAnsi="Times New Roman" w:cs="Times New Roman"/>
          <w:sz w:val="22"/>
          <w:szCs w:val="22"/>
        </w:rPr>
        <w:t xml:space="preserve"> assign a ‘higher’ value to Switzerland compared to Austria. </w:t>
      </w:r>
      <w:r w:rsidR="00252A8C" w:rsidRPr="00252A8C">
        <w:rPr>
          <w:rFonts w:ascii="Times New Roman" w:hAnsi="Times New Roman" w:cs="Times New Roman"/>
          <w:sz w:val="22"/>
          <w:szCs w:val="22"/>
        </w:rPr>
        <w:t>T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he </w:t>
      </w:r>
      <w:r w:rsidR="00252A8C" w:rsidRPr="00252A8C">
        <w:rPr>
          <w:rFonts w:ascii="Times New Roman" w:hAnsi="Times New Roman" w:cs="Times New Roman"/>
          <w:sz w:val="22"/>
          <w:szCs w:val="22"/>
        </w:rPr>
        <w:t>d</w:t>
      </w:r>
      <w:r w:rsidR="0034642F" w:rsidRPr="00252A8C">
        <w:rPr>
          <w:rFonts w:ascii="Times New Roman" w:hAnsi="Times New Roman" w:cs="Times New Roman"/>
          <w:sz w:val="22"/>
          <w:szCs w:val="22"/>
        </w:rPr>
        <w:t>ual VET share indicator reveals</w:t>
      </w:r>
      <w:r w:rsidR="00252A8C" w:rsidRPr="00252A8C">
        <w:rPr>
          <w:rFonts w:ascii="Times New Roman" w:hAnsi="Times New Roman" w:cs="Times New Roman"/>
          <w:sz w:val="22"/>
          <w:szCs w:val="22"/>
        </w:rPr>
        <w:t>, in line with assessments in the literature,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that in the case of Switzerland the primacy of collective skill formation systems at national level is greater than in Austria where non-negligible forms of highly successful school-based training exist too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(see e.g. Graf </w:t>
      </w:r>
      <w:r w:rsidR="00C02D82">
        <w:rPr>
          <w:rFonts w:ascii="Times New Roman" w:hAnsi="Times New Roman" w:cs="Times New Roman"/>
          <w:sz w:val="22"/>
          <w:szCs w:val="22"/>
        </w:rPr>
        <w:t>et al.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2012)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. At the same time, when placing the five countries that are most often identified as collective skill formation systems in the literature </w:t>
      </w:r>
      <w:r w:rsidR="00252A8C" w:rsidRPr="00252A8C">
        <w:rPr>
          <w:rFonts w:ascii="Times New Roman" w:hAnsi="Times New Roman" w:cs="Times New Roman"/>
          <w:sz w:val="22"/>
          <w:szCs w:val="22"/>
        </w:rPr>
        <w:t>along the proposed dual VET share measure,</w:t>
      </w:r>
      <w:r w:rsidR="0034642F" w:rsidRPr="00252A8C">
        <w:rPr>
          <w:rFonts w:ascii="Times New Roman" w:hAnsi="Times New Roman" w:cs="Times New Roman"/>
          <w:sz w:val="22"/>
          <w:szCs w:val="22"/>
        </w:rPr>
        <w:t xml:space="preserve"> they all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locate toward the top, boosting our confidence in </w:t>
      </w:r>
      <w:r w:rsidR="006760CB">
        <w:rPr>
          <w:rFonts w:ascii="Times New Roman" w:hAnsi="Times New Roman" w:cs="Times New Roman"/>
          <w:sz w:val="22"/>
          <w:szCs w:val="22"/>
        </w:rPr>
        <w:t>the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accuracy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 </w:t>
      </w:r>
      <w:r w:rsidR="006760CB">
        <w:rPr>
          <w:rFonts w:ascii="Times New Roman" w:hAnsi="Times New Roman" w:cs="Times New Roman"/>
          <w:sz w:val="22"/>
          <w:szCs w:val="22"/>
        </w:rPr>
        <w:t xml:space="preserve">of dual VET share </w:t>
      </w:r>
      <w:r w:rsidR="00FF1005" w:rsidRPr="00252A8C">
        <w:rPr>
          <w:rFonts w:ascii="Times New Roman" w:hAnsi="Times New Roman" w:cs="Times New Roman"/>
          <w:sz w:val="22"/>
          <w:szCs w:val="22"/>
        </w:rPr>
        <w:t>as a proxy (Figure A</w:t>
      </w:r>
      <w:r w:rsidR="00880837" w:rsidRPr="00252A8C">
        <w:rPr>
          <w:rFonts w:ascii="Times New Roman" w:hAnsi="Times New Roman" w:cs="Times New Roman"/>
          <w:sz w:val="22"/>
          <w:szCs w:val="22"/>
        </w:rPr>
        <w:t>1.1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). </w:t>
      </w:r>
      <w:r w:rsidR="00252A8C">
        <w:rPr>
          <w:rFonts w:ascii="Times New Roman" w:hAnsi="Times New Roman" w:cs="Times New Roman"/>
          <w:sz w:val="22"/>
          <w:szCs w:val="22"/>
        </w:rPr>
        <w:t>In sum, u</w:t>
      </w:r>
      <w:r w:rsidR="00FF1005" w:rsidRPr="00252A8C">
        <w:rPr>
          <w:rFonts w:ascii="Times New Roman" w:hAnsi="Times New Roman" w:cs="Times New Roman"/>
          <w:sz w:val="22"/>
          <w:szCs w:val="22"/>
        </w:rPr>
        <w:t>sing</w:t>
      </w:r>
      <w:r w:rsidR="00252A8C">
        <w:rPr>
          <w:rFonts w:ascii="Times New Roman" w:hAnsi="Times New Roman" w:cs="Times New Roman"/>
          <w:sz w:val="22"/>
          <w:szCs w:val="22"/>
        </w:rPr>
        <w:t xml:space="preserve"> the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 dual VET share</w:t>
      </w:r>
      <w:r w:rsidR="00252A8C">
        <w:rPr>
          <w:rFonts w:ascii="Times New Roman" w:hAnsi="Times New Roman" w:cs="Times New Roman"/>
          <w:sz w:val="22"/>
          <w:szCs w:val="22"/>
        </w:rPr>
        <w:t xml:space="preserve"> variable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 allows us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to rely on a data-driven measure of skill formation systems that account</w:t>
      </w:r>
      <w:r w:rsidR="006760CB">
        <w:rPr>
          <w:rFonts w:ascii="Times New Roman" w:hAnsi="Times New Roman" w:cs="Times New Roman"/>
          <w:sz w:val="22"/>
          <w:szCs w:val="22"/>
        </w:rPr>
        <w:t>s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for</w:t>
      </w:r>
      <w:r w:rsidR="006760CB">
        <w:rPr>
          <w:rFonts w:ascii="Times New Roman" w:hAnsi="Times New Roman" w:cs="Times New Roman"/>
          <w:sz w:val="22"/>
          <w:szCs w:val="22"/>
        </w:rPr>
        <w:t xml:space="preserve"> some of</w:t>
      </w:r>
      <w:r w:rsidR="00252A8C" w:rsidRPr="00252A8C">
        <w:rPr>
          <w:rFonts w:ascii="Times New Roman" w:hAnsi="Times New Roman" w:cs="Times New Roman"/>
          <w:sz w:val="22"/>
          <w:szCs w:val="22"/>
        </w:rPr>
        <w:t xml:space="preserve"> the nuance of national training systems </w:t>
      </w:r>
      <w:r w:rsidR="00252A8C">
        <w:rPr>
          <w:rFonts w:ascii="Times New Roman" w:hAnsi="Times New Roman" w:cs="Times New Roman"/>
          <w:sz w:val="22"/>
          <w:szCs w:val="22"/>
        </w:rPr>
        <w:t>while not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 forc</w:t>
      </w:r>
      <w:r w:rsidR="00252A8C">
        <w:rPr>
          <w:rFonts w:ascii="Times New Roman" w:hAnsi="Times New Roman" w:cs="Times New Roman"/>
          <w:sz w:val="22"/>
          <w:szCs w:val="22"/>
        </w:rPr>
        <w:t>ing</w:t>
      </w:r>
      <w:r w:rsidR="00FF1005" w:rsidRPr="00252A8C">
        <w:rPr>
          <w:rFonts w:ascii="Times New Roman" w:hAnsi="Times New Roman" w:cs="Times New Roman"/>
          <w:sz w:val="22"/>
          <w:szCs w:val="22"/>
        </w:rPr>
        <w:t xml:space="preserve"> us to make categorical choices. </w:t>
      </w:r>
    </w:p>
    <w:p w14:paraId="0190DBF6" w14:textId="77777777" w:rsidR="00252A8C" w:rsidRPr="00252A8C" w:rsidRDefault="00252A8C" w:rsidP="00FF1005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39D066" w14:textId="4B03508C" w:rsidR="00FF1005" w:rsidRPr="00252A8C" w:rsidRDefault="00FF1005" w:rsidP="00FF1005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2A8C">
        <w:rPr>
          <w:rFonts w:ascii="Times New Roman" w:hAnsi="Times New Roman" w:cs="Times New Roman"/>
          <w:sz w:val="22"/>
          <w:szCs w:val="22"/>
        </w:rPr>
        <w:t>Figure A</w:t>
      </w:r>
      <w:r w:rsidR="00880837" w:rsidRPr="00252A8C">
        <w:rPr>
          <w:rFonts w:ascii="Times New Roman" w:hAnsi="Times New Roman" w:cs="Times New Roman"/>
          <w:sz w:val="22"/>
          <w:szCs w:val="22"/>
        </w:rPr>
        <w:t>1.1</w:t>
      </w:r>
      <w:r w:rsidR="00252A8C">
        <w:rPr>
          <w:rFonts w:ascii="Times New Roman" w:hAnsi="Times New Roman" w:cs="Times New Roman"/>
          <w:sz w:val="22"/>
          <w:szCs w:val="22"/>
        </w:rPr>
        <w:t>. Collective skill formation systems and dual VET share</w:t>
      </w:r>
    </w:p>
    <w:p w14:paraId="34FCB511" w14:textId="77777777" w:rsidR="00FF1005" w:rsidRPr="00252A8C" w:rsidRDefault="00FF1005" w:rsidP="00252A8C">
      <w:pPr>
        <w:spacing w:line="48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52A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DBB291C" wp14:editId="4DA65AD4">
            <wp:extent cx="5349600" cy="3566401"/>
            <wp:effectExtent l="0" t="0" r="0" b="2540"/>
            <wp:docPr id="147737278" name="Picture 1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7278" name="Picture 1" descr="A graph of different colored ba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391" cy="360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6A67D" w14:textId="23CA3049" w:rsidR="00880837" w:rsidRPr="00252A8C" w:rsidRDefault="00880837">
      <w:pPr>
        <w:spacing w:after="160" w:line="278" w:lineRule="auto"/>
        <w:rPr>
          <w:rFonts w:ascii="Times New Roman" w:hAnsi="Times New Roman" w:cs="Times New Roman"/>
          <w:sz w:val="22"/>
          <w:szCs w:val="22"/>
        </w:rPr>
      </w:pPr>
      <w:r w:rsidRPr="00252A8C">
        <w:rPr>
          <w:rFonts w:ascii="Times New Roman" w:hAnsi="Times New Roman" w:cs="Times New Roman"/>
          <w:sz w:val="22"/>
          <w:szCs w:val="22"/>
        </w:rPr>
        <w:br w:type="page"/>
      </w:r>
    </w:p>
    <w:p w14:paraId="1EAB23BC" w14:textId="2C1411DD" w:rsidR="00B80398" w:rsidRPr="00C02D82" w:rsidRDefault="0088083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02D82">
        <w:rPr>
          <w:rFonts w:ascii="Times New Roman" w:hAnsi="Times New Roman" w:cs="Times New Roman"/>
          <w:b/>
          <w:bCs/>
          <w:sz w:val="22"/>
          <w:szCs w:val="22"/>
        </w:rPr>
        <w:lastRenderedPageBreak/>
        <w:t>References</w:t>
      </w:r>
    </w:p>
    <w:p w14:paraId="69756C3B" w14:textId="77777777" w:rsidR="00880837" w:rsidRPr="00252A8C" w:rsidRDefault="00880837">
      <w:pPr>
        <w:rPr>
          <w:rFonts w:ascii="Times New Roman" w:hAnsi="Times New Roman" w:cs="Times New Roman"/>
          <w:sz w:val="22"/>
          <w:szCs w:val="22"/>
        </w:rPr>
      </w:pPr>
    </w:p>
    <w:p w14:paraId="5951EDC1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02D82">
        <w:rPr>
          <w:rFonts w:ascii="Times New Roman" w:hAnsi="Times New Roman" w:cs="Times New Roman"/>
          <w:sz w:val="22"/>
          <w:szCs w:val="22"/>
        </w:rPr>
        <w:t>Arnholtz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>, J</w:t>
      </w:r>
      <w:r w:rsidRPr="00C02D82">
        <w:rPr>
          <w:rFonts w:ascii="Times New Roman" w:hAnsi="Times New Roman" w:cs="Times New Roman"/>
          <w:sz w:val="22"/>
          <w:szCs w:val="22"/>
        </w:rPr>
        <w:t>ens</w:t>
      </w:r>
      <w:r w:rsidRPr="00C02D82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C02D82">
        <w:rPr>
          <w:rFonts w:ascii="Times New Roman" w:hAnsi="Times New Roman" w:cs="Times New Roman"/>
          <w:sz w:val="22"/>
          <w:szCs w:val="22"/>
        </w:rPr>
        <w:t>Østhus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02D82">
        <w:rPr>
          <w:rFonts w:ascii="Times New Roman" w:hAnsi="Times New Roman" w:cs="Times New Roman"/>
          <w:sz w:val="22"/>
          <w:szCs w:val="22"/>
        </w:rPr>
        <w:t>Ståle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>. (2024). Is labour migration disrupting dual vocational education and training systems? Empirical evidence from the Danish and Norwegian construction sectors. </w:t>
      </w:r>
      <w:r w:rsidRPr="00C02D82">
        <w:rPr>
          <w:rFonts w:ascii="Times New Roman" w:hAnsi="Times New Roman" w:cs="Times New Roman"/>
          <w:i/>
          <w:iCs/>
          <w:sz w:val="22"/>
          <w:szCs w:val="22"/>
        </w:rPr>
        <w:t>European Journal of Industrial Relations</w:t>
      </w:r>
      <w:r w:rsidRPr="00C02D82">
        <w:rPr>
          <w:rFonts w:ascii="Times New Roman" w:hAnsi="Times New Roman" w:cs="Times New Roman"/>
          <w:sz w:val="22"/>
          <w:szCs w:val="22"/>
        </w:rPr>
        <w:t xml:space="preserve"> [online first].</w:t>
      </w:r>
    </w:p>
    <w:p w14:paraId="371ADA02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Bonoli, Giuliano, and Patrick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>Emmenegger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.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2020.  </w:t>
      </w:r>
      <w:r w:rsidRPr="00C02D82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Collective Skill Formation in the Knowledge Economy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Oxford: Oxford University Press.</w:t>
      </w:r>
    </w:p>
    <w:p w14:paraId="1C2A50DA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Busemeyer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M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arius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and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Trampusch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hristine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(2012). </w:t>
      </w:r>
      <w:r w:rsidRPr="00C02D82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The political economy of collective skill formation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Oxford: 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Oxford University Press.</w:t>
      </w:r>
    </w:p>
    <w:p w14:paraId="1E6C71AC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02D82">
        <w:rPr>
          <w:rFonts w:ascii="Times New Roman" w:hAnsi="Times New Roman" w:cs="Times New Roman"/>
          <w:sz w:val="22"/>
          <w:szCs w:val="22"/>
        </w:rPr>
        <w:t xml:space="preserve">Crouch, C., </w:t>
      </w:r>
      <w:proofErr w:type="spellStart"/>
      <w:r w:rsidRPr="00C02D82">
        <w:rPr>
          <w:rFonts w:ascii="Times New Roman" w:hAnsi="Times New Roman" w:cs="Times New Roman"/>
          <w:sz w:val="22"/>
          <w:szCs w:val="22"/>
        </w:rPr>
        <w:t>Schröder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 xml:space="preserve">, M., &amp; </w:t>
      </w:r>
      <w:proofErr w:type="spellStart"/>
      <w:r w:rsidRPr="00C02D82">
        <w:rPr>
          <w:rFonts w:ascii="Times New Roman" w:hAnsi="Times New Roman" w:cs="Times New Roman"/>
          <w:sz w:val="22"/>
          <w:szCs w:val="22"/>
        </w:rPr>
        <w:t>Voelzkow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>, H. (2009). Regional and sectoral varieties of capitalism. </w:t>
      </w:r>
      <w:r w:rsidRPr="00C02D82">
        <w:rPr>
          <w:rFonts w:ascii="Times New Roman" w:hAnsi="Times New Roman" w:cs="Times New Roman"/>
          <w:i/>
          <w:iCs/>
          <w:sz w:val="22"/>
          <w:szCs w:val="22"/>
        </w:rPr>
        <w:t>Economy and society</w:t>
      </w:r>
      <w:r w:rsidRPr="00C02D82">
        <w:rPr>
          <w:rFonts w:ascii="Times New Roman" w:hAnsi="Times New Roman" w:cs="Times New Roman"/>
          <w:sz w:val="22"/>
          <w:szCs w:val="22"/>
        </w:rPr>
        <w:t>, </w:t>
      </w:r>
      <w:r w:rsidRPr="00C02D82">
        <w:rPr>
          <w:rFonts w:ascii="Times New Roman" w:hAnsi="Times New Roman" w:cs="Times New Roman"/>
          <w:i/>
          <w:iCs/>
          <w:sz w:val="22"/>
          <w:szCs w:val="22"/>
        </w:rPr>
        <w:t>38</w:t>
      </w:r>
      <w:r w:rsidRPr="00C02D82">
        <w:rPr>
          <w:rFonts w:ascii="Times New Roman" w:hAnsi="Times New Roman" w:cs="Times New Roman"/>
          <w:sz w:val="22"/>
          <w:szCs w:val="22"/>
        </w:rPr>
        <w:t>(4), 654-678.</w:t>
      </w:r>
    </w:p>
    <w:p w14:paraId="415188FC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Emmenegger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Patrick, and Matthias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Haslberger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2023. “Yesterday’s Model for Tomorrow’s Economy?” University of St. Gallen.</w:t>
      </w:r>
    </w:p>
    <w:p w14:paraId="7000F98B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02D82">
        <w:rPr>
          <w:rFonts w:ascii="Times New Roman" w:hAnsi="Times New Roman" w:cs="Times New Roman"/>
          <w:sz w:val="22"/>
          <w:szCs w:val="22"/>
        </w:rPr>
        <w:t xml:space="preserve">Finegold, D. (1999) ‘Creating self-sustaining, high-skill ecosystems’, </w:t>
      </w:r>
      <w:r w:rsidRPr="00C02D82">
        <w:rPr>
          <w:rFonts w:ascii="Times New Roman" w:hAnsi="Times New Roman" w:cs="Times New Roman"/>
          <w:i/>
          <w:sz w:val="22"/>
          <w:szCs w:val="22"/>
        </w:rPr>
        <w:t>Oxford Review of Economic Policy</w:t>
      </w:r>
      <w:r w:rsidRPr="00C02D82">
        <w:rPr>
          <w:rFonts w:ascii="Times New Roman" w:hAnsi="Times New Roman" w:cs="Times New Roman"/>
          <w:sz w:val="22"/>
          <w:szCs w:val="22"/>
        </w:rPr>
        <w:t>, 15:1, 60-81.</w:t>
      </w:r>
    </w:p>
    <w:p w14:paraId="70724D11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Graf, Lukas, Lorenz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Lassnigg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and Justin J.W. Powell. 2012. “Austrian Corporatism and Institutional Change in the Relationship Between Apprenticeship Training and School-Based VET.” In </w:t>
      </w:r>
      <w:r w:rsidRPr="00C02D82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The Political Economy of Collective Skill Formation</w:t>
      </w:r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edited by Marius R.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Busemeyer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and Christine </w:t>
      </w:r>
      <w:proofErr w:type="spellStart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Trampusch</w:t>
      </w:r>
      <w:proofErr w:type="spellEnd"/>
      <w:r w:rsidRPr="00C02D8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58–82. Oxford: Oxford University Press.</w:t>
      </w:r>
    </w:p>
    <w:p w14:paraId="6C0383E1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02D82">
        <w:rPr>
          <w:rFonts w:ascii="Times New Roman" w:hAnsi="Times New Roman" w:cs="Times New Roman"/>
          <w:sz w:val="22"/>
          <w:szCs w:val="22"/>
          <w:lang w:val="en-US"/>
        </w:rPr>
        <w:t>Hancké</w:t>
      </w:r>
      <w:proofErr w:type="spellEnd"/>
      <w:r w:rsidRPr="00C02D82">
        <w:rPr>
          <w:rFonts w:ascii="Times New Roman" w:hAnsi="Times New Roman" w:cs="Times New Roman"/>
          <w:sz w:val="22"/>
          <w:szCs w:val="22"/>
          <w:lang w:val="en-US"/>
        </w:rPr>
        <w:t xml:space="preserve">, Bob. 2012. </w:t>
      </w:r>
      <w:r w:rsidRPr="00C02D82">
        <w:rPr>
          <w:rFonts w:ascii="Times New Roman" w:hAnsi="Times New Roman" w:cs="Times New Roman"/>
          <w:sz w:val="22"/>
          <w:szCs w:val="22"/>
        </w:rPr>
        <w:t>Endogenous Coordination. Multinational Companies and the Production of Collective Goods in Central and Eastern Europe. </w:t>
      </w:r>
      <w:proofErr w:type="spellStart"/>
      <w:r w:rsidRPr="00C02D82">
        <w:rPr>
          <w:rFonts w:ascii="Times New Roman" w:hAnsi="Times New Roman" w:cs="Times New Roman"/>
          <w:i/>
          <w:iCs/>
          <w:sz w:val="22"/>
          <w:szCs w:val="22"/>
        </w:rPr>
        <w:t>Stato</w:t>
      </w:r>
      <w:proofErr w:type="spellEnd"/>
      <w:r w:rsidRPr="00C02D82">
        <w:rPr>
          <w:rFonts w:ascii="Times New Roman" w:hAnsi="Times New Roman" w:cs="Times New Roman"/>
          <w:i/>
          <w:iCs/>
          <w:sz w:val="22"/>
          <w:szCs w:val="22"/>
        </w:rPr>
        <w:t xml:space="preserve"> e </w:t>
      </w:r>
      <w:proofErr w:type="spellStart"/>
      <w:r w:rsidRPr="00C02D82">
        <w:rPr>
          <w:rFonts w:ascii="Times New Roman" w:hAnsi="Times New Roman" w:cs="Times New Roman"/>
          <w:i/>
          <w:iCs/>
          <w:sz w:val="22"/>
          <w:szCs w:val="22"/>
        </w:rPr>
        <w:t>mercato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>, </w:t>
      </w:r>
      <w:r w:rsidRPr="00C02D82">
        <w:rPr>
          <w:rFonts w:ascii="Times New Roman" w:hAnsi="Times New Roman" w:cs="Times New Roman"/>
          <w:i/>
          <w:iCs/>
          <w:sz w:val="22"/>
          <w:szCs w:val="22"/>
        </w:rPr>
        <w:t>32</w:t>
      </w:r>
      <w:r w:rsidRPr="00C02D82">
        <w:rPr>
          <w:rFonts w:ascii="Times New Roman" w:hAnsi="Times New Roman" w:cs="Times New Roman"/>
          <w:sz w:val="22"/>
          <w:szCs w:val="22"/>
        </w:rPr>
        <w:t>(2), 203-228.</w:t>
      </w:r>
    </w:p>
    <w:p w14:paraId="5DE72E92" w14:textId="77777777" w:rsidR="00C02D82" w:rsidRPr="00C02D82" w:rsidRDefault="00C02D82" w:rsidP="00C02D82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02D82">
        <w:rPr>
          <w:rFonts w:ascii="Times New Roman" w:hAnsi="Times New Roman" w:cs="Times New Roman"/>
          <w:sz w:val="22"/>
          <w:szCs w:val="22"/>
        </w:rPr>
        <w:t>Vossiek</w:t>
      </w:r>
      <w:proofErr w:type="spellEnd"/>
      <w:r w:rsidRPr="00C02D82">
        <w:rPr>
          <w:rFonts w:ascii="Times New Roman" w:hAnsi="Times New Roman" w:cs="Times New Roman"/>
          <w:sz w:val="22"/>
          <w:szCs w:val="22"/>
        </w:rPr>
        <w:t xml:space="preserve">, Janis. 2018. </w:t>
      </w:r>
      <w:r w:rsidRPr="00C02D82">
        <w:rPr>
          <w:rFonts w:ascii="Times New Roman" w:hAnsi="Times New Roman" w:cs="Times New Roman"/>
          <w:sz w:val="22"/>
          <w:szCs w:val="22"/>
          <w:lang w:val="en-US"/>
        </w:rPr>
        <w:t xml:space="preserve">Collective skill formation in liberal market </w:t>
      </w:r>
      <w:proofErr w:type="gramStart"/>
      <w:r w:rsidRPr="00C02D82">
        <w:rPr>
          <w:rFonts w:ascii="Times New Roman" w:hAnsi="Times New Roman" w:cs="Times New Roman"/>
          <w:sz w:val="22"/>
          <w:szCs w:val="22"/>
          <w:lang w:val="en-US"/>
        </w:rPr>
        <w:t>economies?:</w:t>
      </w:r>
      <w:proofErr w:type="gramEnd"/>
      <w:r w:rsidRPr="00C02D82">
        <w:rPr>
          <w:rFonts w:ascii="Times New Roman" w:hAnsi="Times New Roman" w:cs="Times New Roman"/>
          <w:sz w:val="22"/>
          <w:szCs w:val="22"/>
          <w:lang w:val="en-US"/>
        </w:rPr>
        <w:t xml:space="preserve"> the politics of training reforms in Australia, Ireland and the United Kingdom</w:t>
      </w:r>
      <w:r w:rsidRPr="00C02D82">
        <w:rPr>
          <w:rFonts w:ascii="Times New Roman" w:hAnsi="Times New Roman" w:cs="Times New Roman"/>
          <w:sz w:val="22"/>
          <w:szCs w:val="22"/>
          <w:lang w:val="en-US"/>
        </w:rPr>
        <w:t>. Bern: Peter Lang Publishing.</w:t>
      </w:r>
    </w:p>
    <w:sectPr w:rsidR="00C02D82" w:rsidRPr="00C0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9850" w14:textId="77777777" w:rsidR="00D263BA" w:rsidRDefault="00D263BA" w:rsidP="00E64C63">
      <w:r>
        <w:separator/>
      </w:r>
    </w:p>
  </w:endnote>
  <w:endnote w:type="continuationSeparator" w:id="0">
    <w:p w14:paraId="43374BA7" w14:textId="77777777" w:rsidR="00D263BA" w:rsidRDefault="00D263BA" w:rsidP="00E6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5DEF" w14:textId="77777777" w:rsidR="00D263BA" w:rsidRDefault="00D263BA" w:rsidP="00E64C63">
      <w:r>
        <w:separator/>
      </w:r>
    </w:p>
  </w:footnote>
  <w:footnote w:type="continuationSeparator" w:id="0">
    <w:p w14:paraId="2811DD71" w14:textId="77777777" w:rsidR="00D263BA" w:rsidRDefault="00D263BA" w:rsidP="00E6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5"/>
    <w:rsid w:val="00046A24"/>
    <w:rsid w:val="000B36A1"/>
    <w:rsid w:val="00252A8C"/>
    <w:rsid w:val="002722EB"/>
    <w:rsid w:val="0034642F"/>
    <w:rsid w:val="003C0C7F"/>
    <w:rsid w:val="003F49C0"/>
    <w:rsid w:val="006760CB"/>
    <w:rsid w:val="00727AB7"/>
    <w:rsid w:val="0077202A"/>
    <w:rsid w:val="00820408"/>
    <w:rsid w:val="00880837"/>
    <w:rsid w:val="008C3CE8"/>
    <w:rsid w:val="00B80398"/>
    <w:rsid w:val="00C02D82"/>
    <w:rsid w:val="00C26220"/>
    <w:rsid w:val="00C97460"/>
    <w:rsid w:val="00D263BA"/>
    <w:rsid w:val="00E64C63"/>
    <w:rsid w:val="00FC73BF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976BC"/>
  <w15:chartTrackingRefBased/>
  <w15:docId w15:val="{99444B78-4B46-5740-B55D-4919B7B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05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0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0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0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0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0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0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F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005"/>
    <w:pPr>
      <w:spacing w:before="160" w:after="160" w:line="278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F1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005"/>
    <w:pPr>
      <w:spacing w:after="160" w:line="278" w:lineRule="auto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FF1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00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C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C6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64C6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 Durazzi</dc:creator>
  <cp:keywords/>
  <dc:description/>
  <cp:lastModifiedBy>Niccolo Durazzi</cp:lastModifiedBy>
  <cp:revision>14</cp:revision>
  <dcterms:created xsi:type="dcterms:W3CDTF">2024-10-21T13:44:00Z</dcterms:created>
  <dcterms:modified xsi:type="dcterms:W3CDTF">2024-10-27T15:43:00Z</dcterms:modified>
</cp:coreProperties>
</file>