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E1B42" w14:textId="77777777" w:rsidR="0043283E" w:rsidRDefault="0043283E" w:rsidP="0043283E">
      <w:pPr>
        <w:rPr>
          <w:b/>
          <w:lang w:val="en-GB"/>
        </w:rPr>
      </w:pPr>
      <w:r w:rsidRPr="00945347">
        <w:rPr>
          <w:b/>
          <w:lang w:val="en-GB"/>
        </w:rPr>
        <w:t>Appendi</w:t>
      </w:r>
      <w:r>
        <w:rPr>
          <w:b/>
          <w:lang w:val="en-GB"/>
        </w:rPr>
        <w:t>x – Exemplary Vignettes EU-improvement and national-no improvement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83E" w:rsidRPr="00BF0F59" w14:paraId="2020854A" w14:textId="77777777" w:rsidTr="008258FF">
        <w:tc>
          <w:tcPr>
            <w:tcW w:w="9062" w:type="dxa"/>
            <w:shd w:val="clear" w:color="auto" w:fill="D9D9D9" w:themeFill="background1" w:themeFillShade="D9"/>
          </w:tcPr>
          <w:p w14:paraId="3AD88985" w14:textId="77777777" w:rsidR="0043283E" w:rsidRPr="00BF0F59" w:rsidRDefault="0043283E" w:rsidP="008258FF">
            <w:pPr>
              <w:contextualSpacing/>
              <w:rPr>
                <w:b/>
                <w:lang w:val="en-GB"/>
              </w:rPr>
            </w:pPr>
            <w:r w:rsidRPr="00BF0F59">
              <w:rPr>
                <w:b/>
                <w:lang w:val="en-GB"/>
              </w:rPr>
              <w:t xml:space="preserve">EU, improvement  </w:t>
            </w:r>
          </w:p>
        </w:tc>
      </w:tr>
      <w:tr w:rsidR="0043283E" w:rsidRPr="008258FF" w14:paraId="6A3CEAD2" w14:textId="77777777" w:rsidTr="008258FF">
        <w:tc>
          <w:tcPr>
            <w:tcW w:w="9062" w:type="dxa"/>
            <w:shd w:val="clear" w:color="auto" w:fill="FFFFFF" w:themeFill="background1"/>
          </w:tcPr>
          <w:p w14:paraId="1AA636C9" w14:textId="77777777" w:rsidR="0043283E" w:rsidRPr="00BF0F59" w:rsidRDefault="0043283E" w:rsidP="008258FF">
            <w:pPr>
              <w:contextualSpacing/>
              <w:rPr>
                <w:lang w:val="en-GB"/>
              </w:rPr>
            </w:pPr>
            <w:r w:rsidRPr="00BF0F59">
              <w:rPr>
                <w:lang w:val="en-GB"/>
              </w:rPr>
              <w:t xml:space="preserve">The agency for energy regulation at the European Union level has the important function of ensuring sufficient energy supply and fair prices for citizens. Its main task is to foster a fully integrated and well-functioning energy market inside the European Union. This includes the supervision of the energy market and solving conflicts among national energy regulators. </w:t>
            </w:r>
          </w:p>
          <w:p w14:paraId="75907AC2" w14:textId="77777777" w:rsidR="0043283E" w:rsidRPr="00BF0F59" w:rsidRDefault="0043283E" w:rsidP="008258FF">
            <w:pPr>
              <w:contextualSpacing/>
              <w:rPr>
                <w:lang w:val="en-GB"/>
              </w:rPr>
            </w:pPr>
          </w:p>
          <w:p w14:paraId="42C25817" w14:textId="77777777" w:rsidR="0043283E" w:rsidRPr="00BF0F59" w:rsidRDefault="0043283E" w:rsidP="008258FF">
            <w:pPr>
              <w:contextualSpacing/>
              <w:rPr>
                <w:lang w:val="en-GB"/>
              </w:rPr>
            </w:pPr>
            <w:r w:rsidRPr="00BF0F59">
              <w:rPr>
                <w:lang w:val="en-GB"/>
              </w:rPr>
              <w:t xml:space="preserve">Following a number of complaints by companies in the energy sector, the agency was evaluated by an independent expert committee two years ago. The evaluation exposed several problems: the agency had difficulties with recruiting highly qualified staff; it failed to comply with important rules for procurement; and it was criticized for an overly strict application of rules that didn't </w:t>
            </w:r>
            <w:proofErr w:type="gramStart"/>
            <w:r w:rsidRPr="00BF0F59">
              <w:rPr>
                <w:lang w:val="en-GB"/>
              </w:rPr>
              <w:t>take into account</w:t>
            </w:r>
            <w:proofErr w:type="gramEnd"/>
            <w:r w:rsidRPr="00BF0F59">
              <w:rPr>
                <w:lang w:val="en-GB"/>
              </w:rPr>
              <w:t xml:space="preserve"> different companies' characteristics.  At the time, the agency leadership acknowledged these problems and promised to tackle them within two years. </w:t>
            </w:r>
          </w:p>
          <w:p w14:paraId="34BA4EAF" w14:textId="77777777" w:rsidR="0043283E" w:rsidRPr="00BF0F59" w:rsidRDefault="0043283E" w:rsidP="008258FF">
            <w:pPr>
              <w:contextualSpacing/>
              <w:rPr>
                <w:lang w:val="en-GB"/>
              </w:rPr>
            </w:pPr>
          </w:p>
          <w:p w14:paraId="6A6971BA" w14:textId="77777777" w:rsidR="0043283E" w:rsidRPr="00BF0F59" w:rsidRDefault="0043283E" w:rsidP="008258FF">
            <w:pPr>
              <w:contextualSpacing/>
              <w:rPr>
                <w:lang w:val="en-GB"/>
              </w:rPr>
            </w:pPr>
            <w:r w:rsidRPr="00BF0F59">
              <w:rPr>
                <w:lang w:val="en-GB"/>
              </w:rPr>
              <w:t>Recently, a follow-up evaluation showed that the problems inside the agency had been successfully addressed. This was also confirmed in a survey conducted among key stakeholders of the agency. The evaluation showed that the agency had successfully implemented a major reform.</w:t>
            </w:r>
          </w:p>
        </w:tc>
      </w:tr>
    </w:tbl>
    <w:p w14:paraId="3E097CF7" w14:textId="77777777" w:rsidR="0043283E" w:rsidRDefault="0043283E" w:rsidP="0043283E">
      <w:pPr>
        <w:rPr>
          <w:b/>
          <w:lang w:val="en-GB"/>
        </w:rPr>
      </w:pPr>
    </w:p>
    <w:p w14:paraId="0D0BE12E" w14:textId="77777777" w:rsidR="0043283E" w:rsidRDefault="0043283E" w:rsidP="0043283E">
      <w:pPr>
        <w:spacing w:line="259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1BCA6633" w14:textId="77777777" w:rsidR="0043283E" w:rsidRDefault="0043283E" w:rsidP="0043283E">
      <w:pPr>
        <w:rPr>
          <w:b/>
          <w:lang w:val="en-GB"/>
        </w:rPr>
      </w:pPr>
      <w:r>
        <w:rPr>
          <w:b/>
          <w:lang w:val="en-GB"/>
        </w:rPr>
        <w:lastRenderedPageBreak/>
        <w:t>Appendix – Control variables</w:t>
      </w:r>
    </w:p>
    <w:p w14:paraId="3EBF66C1" w14:textId="77777777" w:rsidR="0043283E" w:rsidRPr="003E4398" w:rsidRDefault="0043283E" w:rsidP="0043283E">
      <w:pPr>
        <w:rPr>
          <w:lang w:val="en-US"/>
        </w:rPr>
      </w:pPr>
      <w:r>
        <w:rPr>
          <w:lang w:val="en-GB"/>
        </w:rPr>
        <w:t>W</w:t>
      </w:r>
      <w:r w:rsidRPr="00C0461C">
        <w:rPr>
          <w:lang w:val="en-GB"/>
        </w:rPr>
        <w:t>e run ordinal logistic regressions in a hierarchical manner to estimate</w:t>
      </w:r>
      <w:r>
        <w:rPr>
          <w:lang w:val="en-GB"/>
        </w:rPr>
        <w:t xml:space="preserve"> the</w:t>
      </w:r>
      <w:r w:rsidRPr="00C0461C">
        <w:rPr>
          <w:lang w:val="en-GB"/>
        </w:rPr>
        <w:t xml:space="preserve"> effects of our</w:t>
      </w:r>
      <w:r>
        <w:rPr>
          <w:lang w:val="en-GB"/>
        </w:rPr>
        <w:t xml:space="preserve"> control variables. As the table below indicates, the inclusion of the two controls in the model (ii) does not substantively change the effects of our treatment variables on the post-test trust question. </w:t>
      </w:r>
    </w:p>
    <w:tbl>
      <w:tblPr>
        <w:tblW w:w="4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1700"/>
        <w:gridCol w:w="2694"/>
      </w:tblGrid>
      <w:tr w:rsidR="0043283E" w:rsidRPr="001547DD" w14:paraId="77896633" w14:textId="77777777" w:rsidTr="008258FF">
        <w:trPr>
          <w:trHeight w:val="300"/>
        </w:trPr>
        <w:tc>
          <w:tcPr>
            <w:tcW w:w="2180" w:type="pct"/>
            <w:shd w:val="clear" w:color="auto" w:fill="auto"/>
            <w:noWrap/>
            <w:vAlign w:val="bottom"/>
            <w:hideMark/>
          </w:tcPr>
          <w:p w14:paraId="4FD5C4BE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lang w:val="en-US" w:eastAsia="de-DE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56E98391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lang w:eastAsia="de-DE"/>
              </w:rPr>
            </w:pPr>
            <w:r w:rsidRPr="000D75B9">
              <w:rPr>
                <w:rFonts w:eastAsia="Times New Roman" w:cs="Calibri"/>
                <w:color w:val="000000"/>
                <w:szCs w:val="26"/>
                <w:lang w:eastAsia="de-DE"/>
              </w:rPr>
              <w:t>(i)</w:t>
            </w:r>
          </w:p>
        </w:tc>
        <w:tc>
          <w:tcPr>
            <w:tcW w:w="1729" w:type="pct"/>
            <w:vAlign w:val="bottom"/>
          </w:tcPr>
          <w:p w14:paraId="576923A5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lang w:eastAsia="de-DE"/>
              </w:rPr>
            </w:pPr>
            <w:r w:rsidRPr="000D75B9">
              <w:rPr>
                <w:rFonts w:eastAsia="Times New Roman" w:cs="Calibri"/>
                <w:color w:val="000000"/>
                <w:szCs w:val="26"/>
                <w:lang w:eastAsia="de-DE"/>
              </w:rPr>
              <w:t>(ii)</w:t>
            </w:r>
          </w:p>
        </w:tc>
      </w:tr>
      <w:tr w:rsidR="0043283E" w:rsidRPr="001547DD" w14:paraId="6B779CE6" w14:textId="77777777" w:rsidTr="008258FF">
        <w:trPr>
          <w:trHeight w:val="300"/>
        </w:trPr>
        <w:tc>
          <w:tcPr>
            <w:tcW w:w="2180" w:type="pct"/>
            <w:shd w:val="clear" w:color="auto" w:fill="auto"/>
            <w:noWrap/>
            <w:vAlign w:val="bottom"/>
            <w:hideMark/>
          </w:tcPr>
          <w:p w14:paraId="6D22BCFE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lang w:eastAsia="de-DE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68B94FE3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u w:val="single"/>
                <w:lang w:eastAsia="de-DE"/>
              </w:rPr>
            </w:pPr>
            <w:proofErr w:type="spellStart"/>
            <w:r w:rsidRPr="000D75B9">
              <w:rPr>
                <w:rFonts w:eastAsia="Times New Roman" w:cs="Calibri"/>
                <w:color w:val="000000"/>
                <w:szCs w:val="26"/>
                <w:u w:val="single"/>
                <w:lang w:eastAsia="de-DE"/>
              </w:rPr>
              <w:t>Exp</w:t>
            </w:r>
            <w:proofErr w:type="spellEnd"/>
            <w:r w:rsidRPr="000D75B9">
              <w:rPr>
                <w:rFonts w:eastAsia="Times New Roman" w:cs="Calibri"/>
                <w:color w:val="000000"/>
                <w:szCs w:val="26"/>
                <w:u w:val="single"/>
                <w:lang w:eastAsia="de-DE"/>
              </w:rPr>
              <w:t>(B)</w:t>
            </w:r>
          </w:p>
        </w:tc>
        <w:tc>
          <w:tcPr>
            <w:tcW w:w="1729" w:type="pct"/>
            <w:vAlign w:val="bottom"/>
          </w:tcPr>
          <w:p w14:paraId="283A9BCC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lang w:eastAsia="de-DE"/>
              </w:rPr>
            </w:pPr>
            <w:proofErr w:type="spellStart"/>
            <w:r w:rsidRPr="000D75B9">
              <w:rPr>
                <w:rFonts w:eastAsia="Times New Roman" w:cs="Calibri"/>
                <w:color w:val="000000"/>
                <w:szCs w:val="26"/>
                <w:u w:val="single"/>
                <w:lang w:eastAsia="de-DE"/>
              </w:rPr>
              <w:t>Exp</w:t>
            </w:r>
            <w:proofErr w:type="spellEnd"/>
            <w:r w:rsidRPr="000D75B9">
              <w:rPr>
                <w:rFonts w:eastAsia="Times New Roman" w:cs="Calibri"/>
                <w:color w:val="000000"/>
                <w:szCs w:val="26"/>
                <w:u w:val="single"/>
                <w:lang w:eastAsia="de-DE"/>
              </w:rPr>
              <w:t>(B)</w:t>
            </w:r>
          </w:p>
        </w:tc>
      </w:tr>
      <w:tr w:rsidR="0043283E" w:rsidRPr="001547DD" w14:paraId="3580C302" w14:textId="77777777" w:rsidTr="008258FF">
        <w:trPr>
          <w:trHeight w:val="450"/>
        </w:trPr>
        <w:tc>
          <w:tcPr>
            <w:tcW w:w="218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CB21CF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lang w:val="en-US" w:eastAsia="de-DE"/>
              </w:rPr>
            </w:pPr>
            <w:proofErr w:type="spellStart"/>
            <w:r w:rsidRPr="000D75B9">
              <w:rPr>
                <w:rFonts w:eastAsia="Times New Roman" w:cs="Calibri"/>
                <w:color w:val="000000"/>
                <w:szCs w:val="26"/>
                <w:lang w:val="en-US" w:eastAsia="de-DE"/>
              </w:rPr>
              <w:t>Reg_Level</w:t>
            </w:r>
            <w:proofErr w:type="spellEnd"/>
            <w:r w:rsidRPr="000D75B9">
              <w:rPr>
                <w:rFonts w:eastAsia="Times New Roman" w:cs="Calibri"/>
                <w:color w:val="000000"/>
                <w:szCs w:val="26"/>
                <w:lang w:val="en-US" w:eastAsia="de-DE"/>
              </w:rPr>
              <w:t xml:space="preserve"> (reference EU)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DCDE97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lang w:eastAsia="de-DE"/>
              </w:rPr>
            </w:pPr>
            <w:r w:rsidRPr="000D75B9">
              <w:rPr>
                <w:rFonts w:eastAsia="Times New Roman" w:cs="Calibri"/>
                <w:color w:val="000000"/>
                <w:szCs w:val="26"/>
                <w:lang w:val="en-US" w:eastAsia="de-DE"/>
              </w:rPr>
              <w:t>1.135</w:t>
            </w:r>
          </w:p>
        </w:tc>
        <w:tc>
          <w:tcPr>
            <w:tcW w:w="1729" w:type="pct"/>
            <w:tcBorders>
              <w:top w:val="single" w:sz="4" w:space="0" w:color="auto"/>
            </w:tcBorders>
            <w:vAlign w:val="bottom"/>
          </w:tcPr>
          <w:p w14:paraId="4953F8E8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lang w:eastAsia="de-DE"/>
              </w:rPr>
            </w:pPr>
            <w:r w:rsidRPr="000D75B9">
              <w:rPr>
                <w:rFonts w:eastAsia="Times New Roman" w:cs="Calibri"/>
                <w:color w:val="000000"/>
                <w:szCs w:val="26"/>
                <w:lang w:eastAsia="de-DE"/>
              </w:rPr>
              <w:t>1.106</w:t>
            </w:r>
          </w:p>
        </w:tc>
      </w:tr>
      <w:tr w:rsidR="0043283E" w:rsidRPr="001547DD" w14:paraId="47202A79" w14:textId="77777777" w:rsidTr="008258FF">
        <w:trPr>
          <w:trHeight w:val="300"/>
        </w:trPr>
        <w:tc>
          <w:tcPr>
            <w:tcW w:w="2180" w:type="pct"/>
            <w:shd w:val="clear" w:color="auto" w:fill="auto"/>
            <w:vAlign w:val="bottom"/>
            <w:hideMark/>
          </w:tcPr>
          <w:p w14:paraId="27C5FEB1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lang w:val="en-US" w:eastAsia="de-DE"/>
              </w:rPr>
            </w:pPr>
            <w:r w:rsidRPr="000D75B9">
              <w:rPr>
                <w:rFonts w:eastAsia="Times New Roman" w:cs="Calibri"/>
                <w:color w:val="000000"/>
                <w:szCs w:val="26"/>
                <w:lang w:val="en-US" w:eastAsia="de-DE"/>
              </w:rPr>
              <w:t>Performance (reference low)</w:t>
            </w: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71C89368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lang w:eastAsia="de-DE"/>
              </w:rPr>
            </w:pPr>
            <w:r w:rsidRPr="000D75B9">
              <w:rPr>
                <w:rFonts w:eastAsia="Times New Roman" w:cs="Calibri"/>
                <w:color w:val="000000"/>
                <w:szCs w:val="26"/>
                <w:lang w:val="en-US" w:eastAsia="de-DE"/>
              </w:rPr>
              <w:t>3.163 ***</w:t>
            </w:r>
          </w:p>
        </w:tc>
        <w:tc>
          <w:tcPr>
            <w:tcW w:w="1729" w:type="pct"/>
            <w:vAlign w:val="bottom"/>
          </w:tcPr>
          <w:p w14:paraId="36CBE515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lang w:eastAsia="de-DE"/>
              </w:rPr>
            </w:pPr>
            <w:r w:rsidRPr="000D75B9">
              <w:rPr>
                <w:rFonts w:eastAsia="Times New Roman" w:cs="Calibri"/>
                <w:color w:val="000000"/>
                <w:szCs w:val="26"/>
                <w:lang w:eastAsia="de-DE"/>
              </w:rPr>
              <w:t>3.593***</w:t>
            </w:r>
          </w:p>
        </w:tc>
      </w:tr>
      <w:tr w:rsidR="0043283E" w:rsidRPr="001547DD" w14:paraId="1DD8DB26" w14:textId="77777777" w:rsidTr="008258FF">
        <w:trPr>
          <w:trHeight w:val="300"/>
        </w:trPr>
        <w:tc>
          <w:tcPr>
            <w:tcW w:w="2180" w:type="pct"/>
            <w:shd w:val="clear" w:color="auto" w:fill="auto"/>
            <w:noWrap/>
            <w:vAlign w:val="bottom"/>
          </w:tcPr>
          <w:p w14:paraId="380A479D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lang w:val="en-US" w:eastAsia="de-DE"/>
              </w:rPr>
            </w:pPr>
            <w:proofErr w:type="spellStart"/>
            <w:r w:rsidRPr="000D75B9">
              <w:rPr>
                <w:rFonts w:eastAsia="Times New Roman" w:cs="Calibri"/>
                <w:color w:val="000000"/>
                <w:szCs w:val="26"/>
                <w:lang w:val="en-US" w:eastAsia="de-DE"/>
              </w:rPr>
              <w:t>Home_Trust</w:t>
            </w:r>
            <w:proofErr w:type="spellEnd"/>
            <w:r w:rsidRPr="000D75B9">
              <w:rPr>
                <w:rFonts w:eastAsia="Times New Roman" w:cs="Calibri"/>
                <w:color w:val="000000"/>
                <w:szCs w:val="26"/>
                <w:lang w:val="en-US" w:eastAsia="de-DE"/>
              </w:rPr>
              <w:t xml:space="preserve"> (reference low)</w:t>
            </w: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7D6A1BD6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szCs w:val="26"/>
                <w:lang w:val="en-US" w:eastAsia="de-DE"/>
              </w:rPr>
            </w:pPr>
          </w:p>
        </w:tc>
        <w:tc>
          <w:tcPr>
            <w:tcW w:w="1729" w:type="pct"/>
            <w:vAlign w:val="bottom"/>
          </w:tcPr>
          <w:p w14:paraId="6ABADDB8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lang w:eastAsia="de-DE"/>
              </w:rPr>
            </w:pPr>
            <w:r w:rsidRPr="000D75B9">
              <w:rPr>
                <w:rFonts w:eastAsia="Times New Roman" w:cs="Calibri"/>
                <w:color w:val="000000"/>
                <w:szCs w:val="26"/>
                <w:lang w:eastAsia="de-DE"/>
              </w:rPr>
              <w:t>1.569*</w:t>
            </w:r>
          </w:p>
        </w:tc>
      </w:tr>
      <w:tr w:rsidR="0043283E" w:rsidRPr="001547DD" w14:paraId="16DEB012" w14:textId="77777777" w:rsidTr="008258FF">
        <w:trPr>
          <w:trHeight w:val="300"/>
        </w:trPr>
        <w:tc>
          <w:tcPr>
            <w:tcW w:w="2180" w:type="pct"/>
            <w:shd w:val="clear" w:color="auto" w:fill="auto"/>
            <w:noWrap/>
            <w:vAlign w:val="bottom"/>
          </w:tcPr>
          <w:p w14:paraId="235C0B96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lang w:val="en-US" w:eastAsia="de-DE"/>
              </w:rPr>
            </w:pPr>
            <w:proofErr w:type="spellStart"/>
            <w:r w:rsidRPr="000D75B9">
              <w:rPr>
                <w:rFonts w:eastAsia="Times New Roman" w:cs="Calibri"/>
                <w:color w:val="000000"/>
                <w:szCs w:val="26"/>
                <w:lang w:val="en-US" w:eastAsia="de-DE"/>
              </w:rPr>
              <w:t>Electricity_Imp_Exp</w:t>
            </w:r>
            <w:proofErr w:type="spellEnd"/>
            <w:r w:rsidRPr="000D75B9">
              <w:rPr>
                <w:rFonts w:eastAsia="Times New Roman" w:cs="Calibri"/>
                <w:color w:val="000000"/>
                <w:szCs w:val="26"/>
                <w:lang w:val="en-US" w:eastAsia="de-DE"/>
              </w:rPr>
              <w:t>:</w:t>
            </w: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1D35379C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szCs w:val="26"/>
                <w:lang w:val="en-US" w:eastAsia="de-DE"/>
              </w:rPr>
            </w:pPr>
          </w:p>
        </w:tc>
        <w:tc>
          <w:tcPr>
            <w:tcW w:w="1729" w:type="pct"/>
            <w:vAlign w:val="bottom"/>
          </w:tcPr>
          <w:p w14:paraId="1DA32567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lang w:eastAsia="de-DE"/>
              </w:rPr>
            </w:pPr>
            <w:r w:rsidRPr="000D75B9">
              <w:rPr>
                <w:rFonts w:eastAsia="Times New Roman" w:cs="Calibri"/>
                <w:color w:val="000000"/>
                <w:szCs w:val="26"/>
                <w:lang w:eastAsia="de-DE"/>
              </w:rPr>
              <w:t>1.797***</w:t>
            </w:r>
          </w:p>
        </w:tc>
      </w:tr>
      <w:tr w:rsidR="0043283E" w:rsidRPr="001547DD" w14:paraId="7CEB6244" w14:textId="77777777" w:rsidTr="008258FF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7815593C" w14:textId="77777777" w:rsidR="0043283E" w:rsidRPr="006C6C1C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lang w:val="en-GB" w:eastAsia="de-DE"/>
              </w:rPr>
            </w:pPr>
            <w:r w:rsidRPr="006C6C1C">
              <w:rPr>
                <w:rFonts w:eastAsia="Times New Roman" w:cs="Calibri"/>
                <w:color w:val="000000"/>
                <w:szCs w:val="26"/>
                <w:lang w:val="en-GB" w:eastAsia="de-DE"/>
              </w:rPr>
              <w:t>N= 752</w:t>
            </w:r>
          </w:p>
          <w:p w14:paraId="660D4390" w14:textId="77777777" w:rsidR="0043283E" w:rsidRPr="002A6A82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highlight w:val="yellow"/>
                <w:lang w:val="en-GB" w:eastAsia="de-DE"/>
              </w:rPr>
            </w:pPr>
            <w:r w:rsidRPr="00F1103F">
              <w:rPr>
                <w:rFonts w:eastAsia="Times New Roman" w:cs="Calibri"/>
                <w:color w:val="000000"/>
                <w:szCs w:val="26"/>
                <w:lang w:val="en-GB" w:eastAsia="de-DE"/>
              </w:rPr>
              <w:t>Dependent Variable: Post-test trust levels (1-10)</w:t>
            </w:r>
          </w:p>
          <w:p w14:paraId="25E5D364" w14:textId="77777777" w:rsidR="0043283E" w:rsidRPr="000D75B9" w:rsidRDefault="0043283E" w:rsidP="008258FF">
            <w:pPr>
              <w:spacing w:after="0"/>
              <w:rPr>
                <w:rFonts w:eastAsia="Times New Roman" w:cs="Calibri"/>
                <w:color w:val="000000"/>
                <w:szCs w:val="26"/>
                <w:lang w:eastAsia="de-DE"/>
              </w:rPr>
            </w:pPr>
            <w:proofErr w:type="spellStart"/>
            <w:r w:rsidRPr="00F1103F">
              <w:rPr>
                <w:rFonts w:eastAsia="Times New Roman" w:cs="Calibri"/>
                <w:color w:val="000000"/>
                <w:szCs w:val="26"/>
                <w:lang w:eastAsia="de-DE"/>
              </w:rPr>
              <w:t>Significance</w:t>
            </w:r>
            <w:proofErr w:type="spellEnd"/>
            <w:r w:rsidRPr="00F1103F">
              <w:rPr>
                <w:rFonts w:eastAsia="Times New Roman" w:cs="Calibri"/>
                <w:color w:val="000000"/>
                <w:szCs w:val="26"/>
                <w:lang w:eastAsia="de-DE"/>
              </w:rPr>
              <w:t xml:space="preserve"> </w:t>
            </w:r>
            <w:proofErr w:type="spellStart"/>
            <w:r w:rsidRPr="00F1103F">
              <w:rPr>
                <w:rFonts w:eastAsia="Times New Roman" w:cs="Calibri"/>
                <w:color w:val="000000"/>
                <w:szCs w:val="26"/>
                <w:lang w:eastAsia="de-DE"/>
              </w:rPr>
              <w:t>level</w:t>
            </w:r>
            <w:proofErr w:type="spellEnd"/>
            <w:r w:rsidRPr="00F1103F">
              <w:rPr>
                <w:rFonts w:eastAsia="Times New Roman" w:cs="Calibri"/>
                <w:color w:val="000000"/>
                <w:szCs w:val="26"/>
                <w:lang w:eastAsia="de-DE"/>
              </w:rPr>
              <w:t>: *** 1%, ** 5%, * 10%</w:t>
            </w:r>
          </w:p>
        </w:tc>
      </w:tr>
    </w:tbl>
    <w:p w14:paraId="6D25BAB8" w14:textId="77777777" w:rsidR="0043283E" w:rsidRDefault="0043283E" w:rsidP="0043283E">
      <w:pPr>
        <w:rPr>
          <w:b/>
          <w:lang w:val="en-GB"/>
        </w:rPr>
      </w:pPr>
    </w:p>
    <w:p w14:paraId="5B7913F6" w14:textId="77777777" w:rsidR="0043283E" w:rsidRPr="00343A10" w:rsidRDefault="0043283E" w:rsidP="0043283E">
      <w:pPr>
        <w:rPr>
          <w:lang w:val="en-GB"/>
        </w:rPr>
      </w:pPr>
    </w:p>
    <w:p w14:paraId="5B497D7E" w14:textId="77777777" w:rsidR="00EC0598" w:rsidRDefault="00EC0598">
      <w:bookmarkStart w:id="0" w:name="_GoBack"/>
      <w:bookmarkEnd w:id="0"/>
    </w:p>
    <w:sectPr w:rsidR="00EC05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18"/>
    <w:rsid w:val="0043283E"/>
    <w:rsid w:val="00472088"/>
    <w:rsid w:val="005F5D18"/>
    <w:rsid w:val="00A03FCF"/>
    <w:rsid w:val="00E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421BF-DB4C-45A2-8B1B-C9CDA5FE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283E"/>
    <w:pPr>
      <w:spacing w:line="48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283E"/>
    <w:pPr>
      <w:spacing w:after="0" w:line="240" w:lineRule="auto"/>
    </w:pPr>
    <w:rPr>
      <w:rFonts w:eastAsiaTheme="minorEastAsia"/>
      <w:sz w:val="24"/>
      <w:szCs w:val="24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Kappler, Moritz</dc:creator>
  <cp:keywords/>
  <dc:description/>
  <cp:lastModifiedBy>Kappler, Moritz</cp:lastModifiedBy>
  <cp:revision>2</cp:revision>
  <dcterms:created xsi:type="dcterms:W3CDTF">2023-09-13T09:18:00Z</dcterms:created>
  <dcterms:modified xsi:type="dcterms:W3CDTF">2023-09-13T09:18:00Z</dcterms:modified>
</cp:coreProperties>
</file>