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910E9" w14:textId="53645221" w:rsidR="00C62806" w:rsidRDefault="00957679" w:rsidP="00BE33B1">
      <w:pPr>
        <w:spacing w:line="480" w:lineRule="auto"/>
        <w:jc w:val="center"/>
        <w:rPr>
          <w:rFonts w:ascii="Times New Roman" w:hAnsi="Times New Roman" w:cs="Times New Roman"/>
          <w:b/>
          <w:bCs/>
        </w:rPr>
      </w:pPr>
      <w:r>
        <w:rPr>
          <w:rFonts w:ascii="Times New Roman" w:hAnsi="Times New Roman" w:cs="Times New Roman"/>
          <w:b/>
          <w:bCs/>
        </w:rPr>
        <w:t>A pilot evaluation of a high-intensity treatment pathway for prolonged grief reactions in a Devon NHS Talking Therapies Service</w:t>
      </w:r>
      <w:r w:rsidR="00BE33B1">
        <w:rPr>
          <w:rFonts w:ascii="Times New Roman" w:hAnsi="Times New Roman" w:cs="Times New Roman"/>
          <w:b/>
          <w:bCs/>
        </w:rPr>
        <w:t xml:space="preserve"> (Goff et al): Supporting Online Materials)</w:t>
      </w:r>
    </w:p>
    <w:p w14:paraId="597D8A8F" w14:textId="186EBE3B" w:rsidR="004D5FC8" w:rsidRPr="00D00F19" w:rsidRDefault="004D5FC8">
      <w:pPr>
        <w:rPr>
          <w:rFonts w:ascii="Times New Roman" w:hAnsi="Times New Roman" w:cs="Times New Roman"/>
          <w:u w:val="single"/>
        </w:rPr>
      </w:pPr>
      <w:r w:rsidRPr="00D00F19">
        <w:rPr>
          <w:rFonts w:ascii="Times New Roman" w:hAnsi="Times New Roman" w:cs="Times New Roman"/>
          <w:u w:val="single"/>
        </w:rPr>
        <w:t xml:space="preserve">Detailed overview of measures </w:t>
      </w:r>
    </w:p>
    <w:p w14:paraId="6398B5E2" w14:textId="77777777" w:rsidR="00C270F3" w:rsidRPr="00226A28" w:rsidRDefault="00C270F3" w:rsidP="00C270F3">
      <w:pPr>
        <w:pStyle w:val="NoSpacing"/>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Reflecting standard NHS-TT practice, levels of anxiety, depression and associated functional impairment </w:t>
      </w:r>
      <w:proofErr w:type="gramStart"/>
      <w:r>
        <w:rPr>
          <w:rFonts w:ascii="Times New Roman" w:hAnsi="Times New Roman" w:cs="Times New Roman"/>
          <w:bCs/>
          <w:sz w:val="24"/>
          <w:szCs w:val="24"/>
        </w:rPr>
        <w:t>were assessed</w:t>
      </w:r>
      <w:proofErr w:type="gramEnd"/>
      <w:r>
        <w:rPr>
          <w:rFonts w:ascii="Times New Roman" w:hAnsi="Times New Roman" w:cs="Times New Roman"/>
          <w:bCs/>
          <w:sz w:val="24"/>
          <w:szCs w:val="24"/>
        </w:rPr>
        <w:t xml:space="preserve"> at each session attended with the standard NHS-TT minimum data set. </w:t>
      </w:r>
    </w:p>
    <w:p w14:paraId="74867D95" w14:textId="77777777" w:rsidR="00C270F3" w:rsidRPr="00AB4A28" w:rsidRDefault="00C270F3" w:rsidP="00C270F3">
      <w:pPr>
        <w:pStyle w:val="NoSpacing"/>
        <w:spacing w:line="480" w:lineRule="auto"/>
        <w:ind w:firstLine="720"/>
        <w:rPr>
          <w:rFonts w:ascii="Times New Roman" w:hAnsi="Times New Roman" w:cs="Times New Roman"/>
          <w:sz w:val="24"/>
          <w:szCs w:val="24"/>
        </w:rPr>
      </w:pPr>
      <w:r w:rsidRPr="00AB4A28">
        <w:rPr>
          <w:rFonts w:ascii="Times New Roman" w:hAnsi="Times New Roman" w:cs="Times New Roman"/>
          <w:sz w:val="24"/>
          <w:szCs w:val="24"/>
        </w:rPr>
        <w:t>The Patient Health Questionnaire (PHQ-9</w:t>
      </w:r>
      <w:r>
        <w:rPr>
          <w:rFonts w:ascii="Times New Roman" w:hAnsi="Times New Roman" w:cs="Times New Roman"/>
          <w:sz w:val="24"/>
          <w:szCs w:val="24"/>
        </w:rPr>
        <w:t xml:space="preserve">; </w:t>
      </w:r>
      <w:r w:rsidRPr="00377052">
        <w:rPr>
          <w:rFonts w:ascii="Times New Roman" w:hAnsi="Times New Roman" w:cs="Times New Roman"/>
          <w:sz w:val="24"/>
          <w:szCs w:val="24"/>
        </w:rPr>
        <w:t>Kroenke et al., 2001</w:t>
      </w:r>
      <w:r w:rsidRPr="00AB4A28">
        <w:rPr>
          <w:rFonts w:ascii="Times New Roman" w:hAnsi="Times New Roman" w:cs="Times New Roman"/>
          <w:sz w:val="24"/>
          <w:szCs w:val="24"/>
        </w:rPr>
        <w:t xml:space="preserve">) </w:t>
      </w:r>
      <w:r>
        <w:rPr>
          <w:rFonts w:ascii="Times New Roman" w:hAnsi="Times New Roman" w:cs="Times New Roman"/>
          <w:sz w:val="24"/>
          <w:szCs w:val="24"/>
        </w:rPr>
        <w:t xml:space="preserve">indexed </w:t>
      </w:r>
      <w:r w:rsidRPr="00AB4A28">
        <w:rPr>
          <w:rFonts w:ascii="Times New Roman" w:hAnsi="Times New Roman" w:cs="Times New Roman"/>
          <w:sz w:val="24"/>
          <w:szCs w:val="24"/>
        </w:rPr>
        <w:t>depression severity</w:t>
      </w:r>
      <w:r>
        <w:rPr>
          <w:rFonts w:ascii="Times New Roman" w:hAnsi="Times New Roman" w:cs="Times New Roman"/>
          <w:sz w:val="24"/>
          <w:szCs w:val="24"/>
        </w:rPr>
        <w:t>, with e</w:t>
      </w:r>
      <w:r w:rsidRPr="00AB4A28">
        <w:rPr>
          <w:rFonts w:ascii="Times New Roman" w:hAnsi="Times New Roman" w:cs="Times New Roman"/>
          <w:sz w:val="24"/>
          <w:szCs w:val="24"/>
        </w:rPr>
        <w:t xml:space="preserve">ach of </w:t>
      </w:r>
      <w:r>
        <w:rPr>
          <w:rFonts w:ascii="Times New Roman" w:hAnsi="Times New Roman" w:cs="Times New Roman"/>
          <w:sz w:val="24"/>
          <w:szCs w:val="24"/>
        </w:rPr>
        <w:t>nine</w:t>
      </w:r>
      <w:r w:rsidRPr="00AB4A28">
        <w:rPr>
          <w:rFonts w:ascii="Times New Roman" w:hAnsi="Times New Roman" w:cs="Times New Roman"/>
          <w:sz w:val="24"/>
          <w:szCs w:val="24"/>
        </w:rPr>
        <w:t xml:space="preserve"> </w:t>
      </w:r>
      <w:r>
        <w:rPr>
          <w:rFonts w:ascii="Times New Roman" w:hAnsi="Times New Roman" w:cs="Times New Roman"/>
          <w:sz w:val="24"/>
          <w:szCs w:val="24"/>
        </w:rPr>
        <w:t xml:space="preserve">(self-report) </w:t>
      </w:r>
      <w:r w:rsidRPr="00AB4A28">
        <w:rPr>
          <w:rFonts w:ascii="Times New Roman" w:hAnsi="Times New Roman" w:cs="Times New Roman"/>
          <w:sz w:val="24"/>
          <w:szCs w:val="24"/>
        </w:rPr>
        <w:t>items describing common depression symptoms</w:t>
      </w:r>
      <w:r>
        <w:rPr>
          <w:rFonts w:ascii="Times New Roman" w:hAnsi="Times New Roman" w:cs="Times New Roman"/>
          <w:sz w:val="24"/>
          <w:szCs w:val="24"/>
        </w:rPr>
        <w:t xml:space="preserve">. How </w:t>
      </w:r>
      <w:r w:rsidRPr="00AB4A28">
        <w:rPr>
          <w:rFonts w:ascii="Times New Roman" w:hAnsi="Times New Roman" w:cs="Times New Roman"/>
          <w:sz w:val="24"/>
          <w:szCs w:val="24"/>
        </w:rPr>
        <w:t>frequen</w:t>
      </w:r>
      <w:r>
        <w:rPr>
          <w:rFonts w:ascii="Times New Roman" w:hAnsi="Times New Roman" w:cs="Times New Roman"/>
          <w:sz w:val="24"/>
          <w:szCs w:val="24"/>
        </w:rPr>
        <w:t xml:space="preserve">tly participants have experienced each symptom </w:t>
      </w:r>
      <w:r w:rsidRPr="00AB4A28">
        <w:rPr>
          <w:rFonts w:ascii="Times New Roman" w:hAnsi="Times New Roman" w:cs="Times New Roman"/>
          <w:sz w:val="24"/>
          <w:szCs w:val="24"/>
        </w:rPr>
        <w:t xml:space="preserve">over the past two weeks </w:t>
      </w:r>
      <w:r>
        <w:rPr>
          <w:rFonts w:ascii="Times New Roman" w:hAnsi="Times New Roman" w:cs="Times New Roman"/>
          <w:sz w:val="24"/>
          <w:szCs w:val="24"/>
        </w:rPr>
        <w:t xml:space="preserve">is rated on a scale </w:t>
      </w:r>
      <w:r w:rsidRPr="00AB4A28">
        <w:rPr>
          <w:rFonts w:ascii="Times New Roman" w:hAnsi="Times New Roman" w:cs="Times New Roman"/>
          <w:sz w:val="24"/>
          <w:szCs w:val="24"/>
        </w:rPr>
        <w:t xml:space="preserve">from </w:t>
      </w:r>
      <w:proofErr w:type="gramStart"/>
      <w:r w:rsidRPr="00AB4A28">
        <w:rPr>
          <w:rFonts w:ascii="Times New Roman" w:hAnsi="Times New Roman" w:cs="Times New Roman"/>
          <w:sz w:val="24"/>
          <w:szCs w:val="24"/>
        </w:rPr>
        <w:t>0</w:t>
      </w:r>
      <w:proofErr w:type="gramEnd"/>
      <w:r w:rsidRPr="00AB4A28">
        <w:rPr>
          <w:rFonts w:ascii="Times New Roman" w:hAnsi="Times New Roman" w:cs="Times New Roman"/>
          <w:sz w:val="24"/>
          <w:szCs w:val="24"/>
        </w:rPr>
        <w:t xml:space="preserve"> (not at all) to 3 (nearly every day). The scores </w:t>
      </w:r>
      <w:proofErr w:type="gramStart"/>
      <w:r w:rsidRPr="00AB4A28">
        <w:rPr>
          <w:rFonts w:ascii="Times New Roman" w:hAnsi="Times New Roman" w:cs="Times New Roman"/>
          <w:sz w:val="24"/>
          <w:szCs w:val="24"/>
        </w:rPr>
        <w:t>are sum</w:t>
      </w:r>
      <w:bookmarkStart w:id="0" w:name="_GoBack"/>
      <w:bookmarkEnd w:id="0"/>
      <w:r w:rsidRPr="00AB4A28">
        <w:rPr>
          <w:rFonts w:ascii="Times New Roman" w:hAnsi="Times New Roman" w:cs="Times New Roman"/>
          <w:sz w:val="24"/>
          <w:szCs w:val="24"/>
        </w:rPr>
        <w:t>med</w:t>
      </w:r>
      <w:proofErr w:type="gramEnd"/>
      <w:r w:rsidRPr="00AB4A28">
        <w:rPr>
          <w:rFonts w:ascii="Times New Roman" w:hAnsi="Times New Roman" w:cs="Times New Roman"/>
          <w:sz w:val="24"/>
          <w:szCs w:val="24"/>
        </w:rPr>
        <w:t xml:space="preserve">, leading to a range from 0-27, </w:t>
      </w:r>
      <w:r>
        <w:rPr>
          <w:rFonts w:ascii="Times New Roman" w:hAnsi="Times New Roman" w:cs="Times New Roman"/>
          <w:sz w:val="24"/>
          <w:szCs w:val="24"/>
        </w:rPr>
        <w:t xml:space="preserve">with higher scores indicating </w:t>
      </w:r>
      <w:r w:rsidRPr="00AB4A28">
        <w:rPr>
          <w:rFonts w:ascii="Times New Roman" w:hAnsi="Times New Roman" w:cs="Times New Roman"/>
          <w:sz w:val="24"/>
          <w:szCs w:val="24"/>
        </w:rPr>
        <w:t>greater severity of depression. A score of</w:t>
      </w:r>
      <w:r>
        <w:rPr>
          <w:rFonts w:ascii="Times New Roman" w:hAnsi="Times New Roman" w:cs="Times New Roman"/>
          <w:sz w:val="24"/>
          <w:szCs w:val="24"/>
        </w:rPr>
        <w:t xml:space="preserve"> </w:t>
      </w:r>
      <w:r w:rsidRPr="00DC1447">
        <w:rPr>
          <w:rFonts w:ascii="Times New Roman" w:hAnsi="Times New Roman" w:cs="Times New Roman"/>
          <w:sz w:val="24"/>
          <w:szCs w:val="24"/>
          <w:u w:val="single"/>
        </w:rPr>
        <w:t>&gt;</w:t>
      </w:r>
      <w:r w:rsidRPr="00AB4A28">
        <w:rPr>
          <w:rFonts w:ascii="Times New Roman" w:hAnsi="Times New Roman" w:cs="Times New Roman"/>
          <w:sz w:val="24"/>
          <w:szCs w:val="24"/>
        </w:rPr>
        <w:t xml:space="preserve"> 10 </w:t>
      </w:r>
      <w:r>
        <w:rPr>
          <w:rFonts w:ascii="Times New Roman" w:hAnsi="Times New Roman" w:cs="Times New Roman"/>
          <w:sz w:val="24"/>
          <w:szCs w:val="24"/>
        </w:rPr>
        <w:t xml:space="preserve">indicates clinically significant depression and a change of </w:t>
      </w:r>
      <w:r w:rsidRPr="00DC1447">
        <w:rPr>
          <w:rFonts w:ascii="Times New Roman" w:hAnsi="Times New Roman" w:cs="Times New Roman"/>
          <w:sz w:val="24"/>
          <w:szCs w:val="24"/>
          <w:u w:val="single"/>
        </w:rPr>
        <w:t>&gt;</w:t>
      </w:r>
      <w:r w:rsidRPr="005A7D23">
        <w:rPr>
          <w:rFonts w:ascii="Times New Roman" w:hAnsi="Times New Roman" w:cs="Times New Roman"/>
          <w:sz w:val="24"/>
          <w:szCs w:val="24"/>
        </w:rPr>
        <w:t xml:space="preserve"> </w:t>
      </w:r>
      <w:r>
        <w:rPr>
          <w:rFonts w:ascii="Times New Roman" w:hAnsi="Times New Roman" w:cs="Times New Roman"/>
          <w:sz w:val="24"/>
          <w:szCs w:val="24"/>
        </w:rPr>
        <w:t xml:space="preserve">6 points indicates reliable improvement/deterioration. </w:t>
      </w:r>
      <w:r w:rsidRPr="00AB4A28">
        <w:rPr>
          <w:rFonts w:ascii="Times New Roman" w:hAnsi="Times New Roman" w:cs="Times New Roman"/>
          <w:sz w:val="24"/>
          <w:szCs w:val="24"/>
        </w:rPr>
        <w:t xml:space="preserve">Studies indicate </w:t>
      </w:r>
      <w:r>
        <w:rPr>
          <w:rFonts w:ascii="Times New Roman" w:hAnsi="Times New Roman" w:cs="Times New Roman"/>
          <w:sz w:val="24"/>
          <w:szCs w:val="24"/>
        </w:rPr>
        <w:t xml:space="preserve">satisfactory </w:t>
      </w:r>
      <w:r w:rsidRPr="00AB4A28">
        <w:rPr>
          <w:rFonts w:ascii="Times New Roman" w:hAnsi="Times New Roman" w:cs="Times New Roman"/>
          <w:sz w:val="24"/>
          <w:szCs w:val="24"/>
        </w:rPr>
        <w:t xml:space="preserve">internal </w:t>
      </w:r>
      <w:r>
        <w:rPr>
          <w:rFonts w:ascii="Times New Roman" w:hAnsi="Times New Roman" w:cs="Times New Roman"/>
          <w:sz w:val="24"/>
          <w:szCs w:val="24"/>
        </w:rPr>
        <w:t>consistency (</w:t>
      </w:r>
      <w:r w:rsidRPr="00AB4A28">
        <w:rPr>
          <w:rFonts w:ascii="Times New Roman" w:hAnsi="Times New Roman" w:cs="Times New Roman"/>
          <w:sz w:val="24"/>
          <w:szCs w:val="24"/>
        </w:rPr>
        <w:t>Cronbach’s α of 0.86 – 0.89</w:t>
      </w:r>
      <w:r>
        <w:rPr>
          <w:rFonts w:ascii="Times New Roman" w:hAnsi="Times New Roman" w:cs="Times New Roman"/>
          <w:sz w:val="24"/>
          <w:szCs w:val="24"/>
        </w:rPr>
        <w:t xml:space="preserve">; </w:t>
      </w:r>
      <w:r w:rsidRPr="00377052">
        <w:rPr>
          <w:rFonts w:ascii="Times New Roman" w:hAnsi="Times New Roman" w:cs="Times New Roman"/>
          <w:sz w:val="24"/>
          <w:szCs w:val="24"/>
        </w:rPr>
        <w:t>Kroenke et al., 2001</w:t>
      </w:r>
      <w:r w:rsidRPr="00AB4A28">
        <w:rPr>
          <w:rFonts w:ascii="Times New Roman" w:hAnsi="Times New Roman" w:cs="Times New Roman"/>
          <w:sz w:val="24"/>
          <w:szCs w:val="24"/>
        </w:rPr>
        <w:t>).</w:t>
      </w:r>
    </w:p>
    <w:p w14:paraId="668CBF34" w14:textId="77777777" w:rsidR="00C270F3" w:rsidRPr="00AB4A28" w:rsidRDefault="00C270F3" w:rsidP="00C270F3">
      <w:pPr>
        <w:pStyle w:val="NoSpacing"/>
        <w:spacing w:line="480" w:lineRule="auto"/>
        <w:ind w:firstLine="720"/>
        <w:rPr>
          <w:rFonts w:ascii="Times New Roman" w:hAnsi="Times New Roman" w:cs="Times New Roman"/>
          <w:sz w:val="24"/>
          <w:szCs w:val="24"/>
        </w:rPr>
      </w:pPr>
      <w:r w:rsidRPr="00AB4A28">
        <w:rPr>
          <w:rFonts w:ascii="Times New Roman" w:hAnsi="Times New Roman" w:cs="Times New Roman"/>
          <w:sz w:val="24"/>
          <w:szCs w:val="24"/>
        </w:rPr>
        <w:t>The Generali</w:t>
      </w:r>
      <w:r>
        <w:rPr>
          <w:rFonts w:ascii="Times New Roman" w:hAnsi="Times New Roman" w:cs="Times New Roman"/>
          <w:sz w:val="24"/>
          <w:szCs w:val="24"/>
        </w:rPr>
        <w:t>z</w:t>
      </w:r>
      <w:r w:rsidRPr="00AB4A28">
        <w:rPr>
          <w:rFonts w:ascii="Times New Roman" w:hAnsi="Times New Roman" w:cs="Times New Roman"/>
          <w:sz w:val="24"/>
          <w:szCs w:val="24"/>
        </w:rPr>
        <w:t xml:space="preserve">ed Anxiety </w:t>
      </w:r>
      <w:r>
        <w:rPr>
          <w:rFonts w:ascii="Times New Roman" w:hAnsi="Times New Roman" w:cs="Times New Roman"/>
          <w:sz w:val="24"/>
          <w:szCs w:val="24"/>
        </w:rPr>
        <w:t>D</w:t>
      </w:r>
      <w:r w:rsidRPr="00AB4A28">
        <w:rPr>
          <w:rFonts w:ascii="Times New Roman" w:hAnsi="Times New Roman" w:cs="Times New Roman"/>
          <w:sz w:val="24"/>
          <w:szCs w:val="24"/>
        </w:rPr>
        <w:t xml:space="preserve">isorder </w:t>
      </w:r>
      <w:r>
        <w:rPr>
          <w:rFonts w:ascii="Times New Roman" w:hAnsi="Times New Roman" w:cs="Times New Roman"/>
          <w:sz w:val="24"/>
          <w:szCs w:val="24"/>
        </w:rPr>
        <w:t xml:space="preserve">Scale </w:t>
      </w:r>
      <w:r w:rsidRPr="00AB4A28">
        <w:rPr>
          <w:rFonts w:ascii="Times New Roman" w:hAnsi="Times New Roman" w:cs="Times New Roman"/>
          <w:sz w:val="24"/>
          <w:szCs w:val="24"/>
        </w:rPr>
        <w:t>(GAD-7</w:t>
      </w:r>
      <w:r>
        <w:rPr>
          <w:rFonts w:ascii="Times New Roman" w:hAnsi="Times New Roman" w:cs="Times New Roman"/>
          <w:sz w:val="24"/>
          <w:szCs w:val="24"/>
        </w:rPr>
        <w:t xml:space="preserve">; </w:t>
      </w:r>
      <w:r w:rsidRPr="00377052">
        <w:rPr>
          <w:rFonts w:ascii="Times New Roman" w:hAnsi="Times New Roman" w:cs="Times New Roman"/>
          <w:sz w:val="24"/>
          <w:szCs w:val="24"/>
        </w:rPr>
        <w:t>Spitzer et al., 2006</w:t>
      </w:r>
      <w:r w:rsidRPr="00AB4A28">
        <w:rPr>
          <w:rFonts w:ascii="Times New Roman" w:hAnsi="Times New Roman" w:cs="Times New Roman"/>
          <w:sz w:val="24"/>
          <w:szCs w:val="24"/>
        </w:rPr>
        <w:t xml:space="preserve">) </w:t>
      </w:r>
      <w:r>
        <w:rPr>
          <w:rFonts w:ascii="Times New Roman" w:hAnsi="Times New Roman" w:cs="Times New Roman"/>
          <w:sz w:val="24"/>
          <w:szCs w:val="24"/>
        </w:rPr>
        <w:t xml:space="preserve">indexed symptoms of anxiety, with each of seven (self-report) items describing common symptoms of anxiety (and rated on the same frequency scale as the PHQ-9). Items </w:t>
      </w:r>
      <w:proofErr w:type="gramStart"/>
      <w:r>
        <w:rPr>
          <w:rFonts w:ascii="Times New Roman" w:hAnsi="Times New Roman" w:cs="Times New Roman"/>
          <w:sz w:val="24"/>
          <w:szCs w:val="24"/>
        </w:rPr>
        <w:t>are summed</w:t>
      </w:r>
      <w:proofErr w:type="gramEnd"/>
      <w:r>
        <w:rPr>
          <w:rFonts w:ascii="Times New Roman" w:hAnsi="Times New Roman" w:cs="Times New Roman"/>
          <w:sz w:val="24"/>
          <w:szCs w:val="24"/>
        </w:rPr>
        <w:t xml:space="preserve">, with the scale ranging from 0-21 (higher scores indicating greater anxiety severity). Scores </w:t>
      </w:r>
      <w:r w:rsidRPr="005A7D23">
        <w:rPr>
          <w:rFonts w:ascii="Times New Roman" w:hAnsi="Times New Roman" w:cs="Times New Roman"/>
          <w:sz w:val="24"/>
          <w:szCs w:val="24"/>
          <w:u w:val="single"/>
        </w:rPr>
        <w:t>&gt;</w:t>
      </w:r>
      <w:r>
        <w:rPr>
          <w:rFonts w:ascii="Times New Roman" w:hAnsi="Times New Roman" w:cs="Times New Roman"/>
          <w:sz w:val="24"/>
          <w:szCs w:val="24"/>
        </w:rPr>
        <w:t xml:space="preserve"> 8 indicate clinically significant anxiety and a change of </w:t>
      </w:r>
      <w:r w:rsidRPr="001D7DFB">
        <w:rPr>
          <w:rFonts w:ascii="Times New Roman" w:hAnsi="Times New Roman" w:cs="Times New Roman"/>
          <w:sz w:val="24"/>
          <w:szCs w:val="24"/>
          <w:u w:val="single"/>
        </w:rPr>
        <w:t>&gt;</w:t>
      </w:r>
      <w:r>
        <w:rPr>
          <w:rFonts w:ascii="Times New Roman" w:hAnsi="Times New Roman" w:cs="Times New Roman"/>
          <w:sz w:val="24"/>
          <w:szCs w:val="24"/>
        </w:rPr>
        <w:t xml:space="preserve"> 4 points indicates reliable improvement/deterioration. </w:t>
      </w:r>
      <w:r w:rsidRPr="00AB4A28">
        <w:rPr>
          <w:rFonts w:ascii="Times New Roman" w:hAnsi="Times New Roman" w:cs="Times New Roman"/>
          <w:sz w:val="24"/>
          <w:szCs w:val="24"/>
        </w:rPr>
        <w:t>The measure has satisfactory internal consistency (α = 0.92</w:t>
      </w:r>
      <w:r>
        <w:rPr>
          <w:rFonts w:ascii="Times New Roman" w:hAnsi="Times New Roman" w:cs="Times New Roman"/>
          <w:sz w:val="24"/>
          <w:szCs w:val="24"/>
        </w:rPr>
        <w:t>;</w:t>
      </w:r>
      <w:r w:rsidRPr="00AB4A28">
        <w:rPr>
          <w:rFonts w:ascii="Times New Roman" w:hAnsi="Times New Roman" w:cs="Times New Roman"/>
          <w:sz w:val="24"/>
          <w:szCs w:val="24"/>
        </w:rPr>
        <w:t xml:space="preserve"> </w:t>
      </w:r>
      <w:r w:rsidRPr="00377052">
        <w:rPr>
          <w:rFonts w:ascii="Times New Roman" w:hAnsi="Times New Roman" w:cs="Times New Roman"/>
          <w:sz w:val="24"/>
          <w:szCs w:val="24"/>
        </w:rPr>
        <w:t>Spitzer et al., 2006</w:t>
      </w:r>
      <w:r w:rsidRPr="00AB4A28">
        <w:rPr>
          <w:rFonts w:ascii="Times New Roman" w:hAnsi="Times New Roman" w:cs="Times New Roman"/>
          <w:sz w:val="24"/>
          <w:szCs w:val="24"/>
        </w:rPr>
        <w:t xml:space="preserve">). </w:t>
      </w:r>
    </w:p>
    <w:p w14:paraId="40901451" w14:textId="3A5E024E" w:rsidR="00C270F3" w:rsidRDefault="00C270F3" w:rsidP="00C270F3">
      <w:pPr>
        <w:pStyle w:val="NoSpacing"/>
        <w:spacing w:line="480" w:lineRule="auto"/>
        <w:ind w:firstLine="720"/>
        <w:rPr>
          <w:rFonts w:ascii="Times New Roman" w:hAnsi="Times New Roman" w:cs="Times New Roman"/>
          <w:sz w:val="24"/>
          <w:szCs w:val="24"/>
        </w:rPr>
      </w:pPr>
      <w:r w:rsidRPr="00AB4A28">
        <w:rPr>
          <w:rFonts w:ascii="Times New Roman" w:hAnsi="Times New Roman" w:cs="Times New Roman"/>
          <w:sz w:val="24"/>
          <w:szCs w:val="24"/>
        </w:rPr>
        <w:t>The Work and Social Adjustment Scale (WSAS</w:t>
      </w:r>
      <w:r>
        <w:rPr>
          <w:rFonts w:ascii="Times New Roman" w:hAnsi="Times New Roman" w:cs="Times New Roman"/>
          <w:sz w:val="24"/>
          <w:szCs w:val="24"/>
        </w:rPr>
        <w:t xml:space="preserve">; </w:t>
      </w:r>
      <w:r w:rsidRPr="00377052">
        <w:rPr>
          <w:rFonts w:ascii="Times New Roman" w:hAnsi="Times New Roman" w:cs="Times New Roman"/>
          <w:sz w:val="24"/>
          <w:szCs w:val="24"/>
        </w:rPr>
        <w:t>Mundt et al., 2002</w:t>
      </w:r>
      <w:r w:rsidRPr="00AB4A28">
        <w:rPr>
          <w:rFonts w:ascii="Times New Roman" w:hAnsi="Times New Roman" w:cs="Times New Roman"/>
          <w:sz w:val="24"/>
          <w:szCs w:val="24"/>
        </w:rPr>
        <w:t>)</w:t>
      </w:r>
      <w:r>
        <w:rPr>
          <w:rFonts w:ascii="Times New Roman" w:hAnsi="Times New Roman" w:cs="Times New Roman"/>
          <w:sz w:val="24"/>
          <w:szCs w:val="24"/>
        </w:rPr>
        <w:t xml:space="preserve"> consists of five (self-report) items rating degree of impairment linked to psychopathology in work, home management, social leisure, private leisure, and relationship domains. Each item is rated on a scale of impairment from </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(not at all impaired) to 8 (very severely impaired). No </w:t>
      </w:r>
      <w:proofErr w:type="gramStart"/>
      <w:r>
        <w:rPr>
          <w:rFonts w:ascii="Times New Roman" w:hAnsi="Times New Roman" w:cs="Times New Roman"/>
          <w:sz w:val="24"/>
          <w:szCs w:val="24"/>
        </w:rPr>
        <w:t>time period</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over which to rate the item is specified. Items </w:t>
      </w:r>
      <w:proofErr w:type="gramStart"/>
      <w:r>
        <w:rPr>
          <w:rFonts w:ascii="Times New Roman" w:hAnsi="Times New Roman" w:cs="Times New Roman"/>
          <w:sz w:val="24"/>
          <w:szCs w:val="24"/>
        </w:rPr>
        <w:t>are summed</w:t>
      </w:r>
      <w:proofErr w:type="gramEnd"/>
      <w:r>
        <w:rPr>
          <w:rFonts w:ascii="Times New Roman" w:hAnsi="Times New Roman" w:cs="Times New Roman"/>
          <w:sz w:val="24"/>
          <w:szCs w:val="24"/>
        </w:rPr>
        <w:t xml:space="preserve">, leading to a scale range of 0 to 40, with higher scores indicating greater functional impairment. Scores &lt; 10 indicate little or no significant impairment and are associated with subclinical populations, scores between 10 and 19 indicate significant impairment but less severe clinical symptomatology, and scores &gt; 20 indicate more severe impairment associated with moderately severe or worse clinical symptomatology. The measure has adequate internal consistency when used in </w:t>
      </w:r>
      <w:r w:rsidR="00A47127">
        <w:rPr>
          <w:rFonts w:ascii="Times New Roman" w:hAnsi="Times New Roman" w:cs="Times New Roman"/>
          <w:sz w:val="24"/>
          <w:szCs w:val="24"/>
        </w:rPr>
        <w:t>an</w:t>
      </w:r>
      <w:r>
        <w:rPr>
          <w:rFonts w:ascii="Times New Roman" w:hAnsi="Times New Roman" w:cs="Times New Roman"/>
          <w:sz w:val="24"/>
          <w:szCs w:val="24"/>
        </w:rPr>
        <w:t xml:space="preserve"> NHS-TT setting (</w:t>
      </w:r>
      <w:r w:rsidR="00C43ADC" w:rsidRPr="00AB4A28">
        <w:rPr>
          <w:rFonts w:ascii="Times New Roman" w:hAnsi="Times New Roman" w:cs="Times New Roman"/>
          <w:sz w:val="24"/>
          <w:szCs w:val="24"/>
        </w:rPr>
        <w:t xml:space="preserve">α = </w:t>
      </w:r>
      <w:r w:rsidR="00C43ADC">
        <w:rPr>
          <w:rFonts w:ascii="Times New Roman" w:hAnsi="Times New Roman" w:cs="Times New Roman"/>
          <w:sz w:val="24"/>
          <w:szCs w:val="24"/>
        </w:rPr>
        <w:t xml:space="preserve">.82; </w:t>
      </w:r>
      <w:r w:rsidRPr="00377052">
        <w:rPr>
          <w:rFonts w:ascii="Times New Roman" w:hAnsi="Times New Roman" w:cs="Times New Roman"/>
          <w:sz w:val="24"/>
          <w:szCs w:val="24"/>
        </w:rPr>
        <w:t>Zahra et al., 2014</w:t>
      </w:r>
      <w:r>
        <w:rPr>
          <w:rFonts w:ascii="Times New Roman" w:hAnsi="Times New Roman" w:cs="Times New Roman"/>
          <w:sz w:val="24"/>
          <w:szCs w:val="24"/>
        </w:rPr>
        <w:t xml:space="preserve">). There is no agreed threshold for reliable change. Therefore, we estimated the criterion for reliable improvement/deterioration based on the reliability and intake standard deviation of a similar NHS-TT sample reported in Zahra and colleagues (2014). This resulted in a change of </w:t>
      </w:r>
      <w:r w:rsidRPr="001D7DFB">
        <w:rPr>
          <w:rFonts w:ascii="Times New Roman" w:hAnsi="Times New Roman" w:cs="Times New Roman"/>
          <w:sz w:val="24"/>
          <w:szCs w:val="24"/>
          <w:u w:val="single"/>
        </w:rPr>
        <w:t>&gt;</w:t>
      </w:r>
      <w:r>
        <w:rPr>
          <w:rFonts w:ascii="Times New Roman" w:hAnsi="Times New Roman" w:cs="Times New Roman"/>
          <w:sz w:val="24"/>
          <w:szCs w:val="24"/>
        </w:rPr>
        <w:t xml:space="preserve">11 points being set as the threshold. </w:t>
      </w:r>
    </w:p>
    <w:p w14:paraId="74D3E191" w14:textId="7F394A89" w:rsidR="23443BED" w:rsidRPr="0030470E" w:rsidRDefault="00C270F3" w:rsidP="0030470E">
      <w:pPr>
        <w:pStyle w:val="NoSpacing"/>
        <w:spacing w:line="480" w:lineRule="auto"/>
        <w:ind w:firstLine="720"/>
        <w:rPr>
          <w:rFonts w:ascii="Times New Roman" w:hAnsi="Times New Roman" w:cs="Times New Roman"/>
          <w:bCs/>
          <w:sz w:val="24"/>
          <w:szCs w:val="24"/>
        </w:rPr>
      </w:pPr>
      <w:r w:rsidRPr="00226A28">
        <w:rPr>
          <w:rFonts w:ascii="Times New Roman" w:hAnsi="Times New Roman" w:cs="Times New Roman"/>
          <w:bCs/>
          <w:sz w:val="24"/>
          <w:szCs w:val="24"/>
        </w:rPr>
        <w:t xml:space="preserve">The NHS-TT minimum dataset </w:t>
      </w:r>
      <w:proofErr w:type="gramStart"/>
      <w:r w:rsidRPr="00226A28">
        <w:rPr>
          <w:rFonts w:ascii="Times New Roman" w:hAnsi="Times New Roman" w:cs="Times New Roman"/>
          <w:bCs/>
          <w:sz w:val="24"/>
          <w:szCs w:val="24"/>
        </w:rPr>
        <w:t>was optionally supplemented</w:t>
      </w:r>
      <w:proofErr w:type="gramEnd"/>
      <w:r w:rsidRPr="00226A28">
        <w:rPr>
          <w:rFonts w:ascii="Times New Roman" w:hAnsi="Times New Roman" w:cs="Times New Roman"/>
          <w:bCs/>
          <w:sz w:val="24"/>
          <w:szCs w:val="24"/>
        </w:rPr>
        <w:t xml:space="preserve"> </w:t>
      </w:r>
      <w:r>
        <w:rPr>
          <w:rFonts w:ascii="Times New Roman" w:hAnsi="Times New Roman" w:cs="Times New Roman"/>
          <w:bCs/>
          <w:sz w:val="24"/>
          <w:szCs w:val="24"/>
        </w:rPr>
        <w:t xml:space="preserve">with </w:t>
      </w:r>
      <w:r w:rsidRPr="00226A28">
        <w:rPr>
          <w:rFonts w:ascii="Times New Roman" w:hAnsi="Times New Roman" w:cs="Times New Roman"/>
          <w:bCs/>
          <w:sz w:val="24"/>
          <w:szCs w:val="24"/>
        </w:rPr>
        <w:t>the Brief Grief Questionnaire (BGQ;</w:t>
      </w:r>
      <w:r>
        <w:rPr>
          <w:rFonts w:ascii="Times New Roman" w:hAnsi="Times New Roman" w:cs="Times New Roman"/>
          <w:bCs/>
          <w:sz w:val="24"/>
          <w:szCs w:val="24"/>
        </w:rPr>
        <w:t xml:space="preserve"> </w:t>
      </w:r>
      <w:r w:rsidRPr="00226A28">
        <w:rPr>
          <w:rFonts w:ascii="Times New Roman" w:hAnsi="Times New Roman" w:cs="Times New Roman"/>
          <w:bCs/>
          <w:sz w:val="24"/>
          <w:szCs w:val="24"/>
        </w:rPr>
        <w:t xml:space="preserve">Shear </w:t>
      </w:r>
      <w:r w:rsidR="006C4FA9">
        <w:rPr>
          <w:rFonts w:ascii="Times New Roman" w:hAnsi="Times New Roman" w:cs="Times New Roman"/>
          <w:bCs/>
          <w:sz w:val="24"/>
          <w:szCs w:val="24"/>
        </w:rPr>
        <w:t>et al</w:t>
      </w:r>
      <w:r w:rsidRPr="00226A28">
        <w:rPr>
          <w:rFonts w:ascii="Times New Roman" w:hAnsi="Times New Roman" w:cs="Times New Roman"/>
          <w:bCs/>
          <w:sz w:val="24"/>
          <w:szCs w:val="24"/>
        </w:rPr>
        <w:t xml:space="preserve">., 2006) at assessment and final treatment session. This ask five questions about grief reactions to bereavement (e.g., “How much does your grief still interfere with your life?”), each rated on a scale from </w:t>
      </w:r>
      <w:r>
        <w:rPr>
          <w:rFonts w:ascii="Times New Roman" w:hAnsi="Times New Roman" w:cs="Times New Roman"/>
          <w:bCs/>
          <w:sz w:val="24"/>
          <w:szCs w:val="24"/>
        </w:rPr>
        <w:t>0</w:t>
      </w:r>
      <w:r w:rsidRPr="00226A28">
        <w:rPr>
          <w:rFonts w:ascii="Times New Roman" w:hAnsi="Times New Roman" w:cs="Times New Roman"/>
          <w:bCs/>
          <w:sz w:val="24"/>
          <w:szCs w:val="24"/>
        </w:rPr>
        <w:t xml:space="preserve"> (not at all) to </w:t>
      </w:r>
      <w:r>
        <w:rPr>
          <w:rFonts w:ascii="Times New Roman" w:hAnsi="Times New Roman" w:cs="Times New Roman"/>
          <w:bCs/>
          <w:sz w:val="24"/>
          <w:szCs w:val="24"/>
        </w:rPr>
        <w:t>2</w:t>
      </w:r>
      <w:r w:rsidRPr="00226A28">
        <w:rPr>
          <w:rFonts w:ascii="Times New Roman" w:hAnsi="Times New Roman" w:cs="Times New Roman"/>
          <w:bCs/>
          <w:sz w:val="24"/>
          <w:szCs w:val="24"/>
        </w:rPr>
        <w:t xml:space="preserve">(a lot). No </w:t>
      </w:r>
      <w:proofErr w:type="gramStart"/>
      <w:r w:rsidRPr="00226A28">
        <w:rPr>
          <w:rFonts w:ascii="Times New Roman" w:hAnsi="Times New Roman" w:cs="Times New Roman"/>
          <w:bCs/>
          <w:sz w:val="24"/>
          <w:szCs w:val="24"/>
        </w:rPr>
        <w:t>time period</w:t>
      </w:r>
      <w:proofErr w:type="gramEnd"/>
      <w:r w:rsidRPr="00226A28">
        <w:rPr>
          <w:rFonts w:ascii="Times New Roman" w:hAnsi="Times New Roman" w:cs="Times New Roman"/>
          <w:bCs/>
          <w:sz w:val="24"/>
          <w:szCs w:val="24"/>
        </w:rPr>
        <w:t xml:space="preserve"> over which to rate the item is specified. Scores </w:t>
      </w:r>
      <w:proofErr w:type="gramStart"/>
      <w:r w:rsidRPr="00226A28">
        <w:rPr>
          <w:rFonts w:ascii="Times New Roman" w:hAnsi="Times New Roman" w:cs="Times New Roman"/>
          <w:bCs/>
          <w:sz w:val="24"/>
          <w:szCs w:val="24"/>
        </w:rPr>
        <w:t>are summed</w:t>
      </w:r>
      <w:proofErr w:type="gramEnd"/>
      <w:r w:rsidRPr="00226A28">
        <w:rPr>
          <w:rFonts w:ascii="Times New Roman" w:hAnsi="Times New Roman" w:cs="Times New Roman"/>
          <w:bCs/>
          <w:sz w:val="24"/>
          <w:szCs w:val="24"/>
        </w:rPr>
        <w:t>, with higher scores indicating a more marked grief reaction. The scale has adequate internal reliability</w:t>
      </w:r>
      <w:r>
        <w:rPr>
          <w:rFonts w:ascii="Times New Roman" w:hAnsi="Times New Roman" w:cs="Times New Roman"/>
          <w:bCs/>
          <w:sz w:val="24"/>
          <w:szCs w:val="24"/>
        </w:rPr>
        <w:t xml:space="preserve"> in a primary care setting</w:t>
      </w:r>
      <w:r w:rsidRPr="00226A28">
        <w:rPr>
          <w:rFonts w:ascii="Times New Roman" w:hAnsi="Times New Roman" w:cs="Times New Roman"/>
          <w:bCs/>
          <w:sz w:val="24"/>
          <w:szCs w:val="24"/>
        </w:rPr>
        <w:t xml:space="preserve"> (α = </w:t>
      </w:r>
      <w:r>
        <w:rPr>
          <w:rFonts w:ascii="Times New Roman" w:hAnsi="Times New Roman" w:cs="Times New Roman"/>
          <w:bCs/>
          <w:sz w:val="24"/>
          <w:szCs w:val="24"/>
        </w:rPr>
        <w:t>.82</w:t>
      </w:r>
      <w:r w:rsidRPr="00226A28">
        <w:rPr>
          <w:rFonts w:ascii="Times New Roman" w:hAnsi="Times New Roman" w:cs="Times New Roman"/>
          <w:bCs/>
          <w:sz w:val="24"/>
          <w:szCs w:val="24"/>
        </w:rPr>
        <w:t xml:space="preserve">; </w:t>
      </w:r>
      <w:r>
        <w:rPr>
          <w:rFonts w:ascii="Times New Roman" w:hAnsi="Times New Roman" w:cs="Times New Roman"/>
          <w:bCs/>
          <w:sz w:val="24"/>
          <w:szCs w:val="24"/>
        </w:rPr>
        <w:t>Patel et al., 201</w:t>
      </w:r>
      <w:r w:rsidR="00DA322F">
        <w:rPr>
          <w:rFonts w:ascii="Times New Roman" w:hAnsi="Times New Roman" w:cs="Times New Roman"/>
          <w:bCs/>
          <w:sz w:val="24"/>
          <w:szCs w:val="24"/>
        </w:rPr>
        <w:t>9</w:t>
      </w:r>
      <w:r w:rsidRPr="00226A28">
        <w:rPr>
          <w:rFonts w:ascii="Times New Roman" w:hAnsi="Times New Roman" w:cs="Times New Roman"/>
          <w:bCs/>
          <w:sz w:val="24"/>
          <w:szCs w:val="24"/>
        </w:rPr>
        <w:t>).</w:t>
      </w:r>
      <w:r>
        <w:rPr>
          <w:rFonts w:ascii="Times New Roman" w:hAnsi="Times New Roman" w:cs="Times New Roman"/>
          <w:bCs/>
          <w:sz w:val="24"/>
          <w:szCs w:val="24"/>
        </w:rPr>
        <w:t xml:space="preserve"> </w:t>
      </w:r>
      <w:r w:rsidR="00A85866">
        <w:rPr>
          <w:rFonts w:ascii="Times New Roman" w:hAnsi="Times New Roman" w:cs="Times New Roman"/>
          <w:bCs/>
          <w:sz w:val="24"/>
          <w:szCs w:val="24"/>
        </w:rPr>
        <w:t>Patel et al (201</w:t>
      </w:r>
      <w:r w:rsidR="00060788">
        <w:rPr>
          <w:rFonts w:ascii="Times New Roman" w:hAnsi="Times New Roman" w:cs="Times New Roman"/>
          <w:bCs/>
          <w:sz w:val="24"/>
          <w:szCs w:val="24"/>
        </w:rPr>
        <w:t>9</w:t>
      </w:r>
      <w:r w:rsidR="00A85866">
        <w:rPr>
          <w:rFonts w:ascii="Times New Roman" w:hAnsi="Times New Roman" w:cs="Times New Roman"/>
          <w:bCs/>
          <w:sz w:val="24"/>
          <w:szCs w:val="24"/>
        </w:rPr>
        <w:t>) demonstrated that scores of 4 or greater on the BGQ correspond with a score of 30 or more on the longer Inventory of Complicated Grief (</w:t>
      </w:r>
      <w:proofErr w:type="spellStart"/>
      <w:r w:rsidR="00A85866">
        <w:rPr>
          <w:rFonts w:ascii="Times New Roman" w:hAnsi="Times New Roman" w:cs="Times New Roman"/>
          <w:bCs/>
          <w:sz w:val="24"/>
          <w:szCs w:val="24"/>
        </w:rPr>
        <w:t>Prigerson</w:t>
      </w:r>
      <w:proofErr w:type="spellEnd"/>
      <w:r w:rsidR="00A85866">
        <w:rPr>
          <w:rFonts w:ascii="Times New Roman" w:hAnsi="Times New Roman" w:cs="Times New Roman"/>
          <w:bCs/>
          <w:sz w:val="24"/>
          <w:szCs w:val="24"/>
        </w:rPr>
        <w:t xml:space="preserve"> et al. 1995), which in turn is highly predictive of meeting ICD-11 diagnostic criteria for PGD (Mauro, unpublished data provided to DSM-5 committee). Therefore, in the present </w:t>
      </w:r>
      <w:proofErr w:type="gramStart"/>
      <w:r w:rsidR="00A85866">
        <w:rPr>
          <w:rFonts w:ascii="Times New Roman" w:hAnsi="Times New Roman" w:cs="Times New Roman"/>
          <w:bCs/>
          <w:sz w:val="24"/>
          <w:szCs w:val="24"/>
        </w:rPr>
        <w:t>study</w:t>
      </w:r>
      <w:proofErr w:type="gramEnd"/>
      <w:r w:rsidR="00A85866">
        <w:rPr>
          <w:rFonts w:ascii="Times New Roman" w:hAnsi="Times New Roman" w:cs="Times New Roman"/>
          <w:bCs/>
          <w:sz w:val="24"/>
          <w:szCs w:val="24"/>
        </w:rPr>
        <w:t xml:space="preserve"> we use a BGQ score of </w:t>
      </w:r>
      <w:r w:rsidR="00A85866" w:rsidRPr="004B6696">
        <w:rPr>
          <w:rFonts w:ascii="Times New Roman" w:hAnsi="Times New Roman" w:cs="Times New Roman"/>
          <w:bCs/>
          <w:sz w:val="24"/>
          <w:szCs w:val="24"/>
          <w:u w:val="single"/>
        </w:rPr>
        <w:t>&gt;</w:t>
      </w:r>
      <w:r w:rsidR="00A85866">
        <w:rPr>
          <w:rFonts w:ascii="Times New Roman" w:hAnsi="Times New Roman" w:cs="Times New Roman"/>
          <w:bCs/>
          <w:sz w:val="24"/>
          <w:szCs w:val="24"/>
        </w:rPr>
        <w:t xml:space="preserve"> 4 to assess pathway eligibility (and a score of &lt; 4 was used to indicate clinical remission post treatment). Further, we divide PGD into lower severity (BGQ 4-7) and higher severity (BGQ </w:t>
      </w:r>
      <w:r w:rsidR="00A85866" w:rsidRPr="004B6696">
        <w:rPr>
          <w:rFonts w:ascii="Times New Roman" w:hAnsi="Times New Roman" w:cs="Times New Roman"/>
          <w:bCs/>
          <w:sz w:val="24"/>
          <w:szCs w:val="24"/>
          <w:u w:val="single"/>
        </w:rPr>
        <w:t>&gt;</w:t>
      </w:r>
      <w:r w:rsidR="00A85866">
        <w:rPr>
          <w:rFonts w:ascii="Times New Roman" w:hAnsi="Times New Roman" w:cs="Times New Roman"/>
          <w:bCs/>
          <w:sz w:val="24"/>
          <w:szCs w:val="24"/>
        </w:rPr>
        <w:t xml:space="preserve"> 8) categories</w:t>
      </w:r>
      <w:r w:rsidR="002C2A0C">
        <w:rPr>
          <w:rFonts w:ascii="Times New Roman" w:hAnsi="Times New Roman" w:cs="Times New Roman"/>
          <w:bCs/>
          <w:sz w:val="24"/>
          <w:szCs w:val="24"/>
        </w:rPr>
        <w:t xml:space="preserve">. </w:t>
      </w:r>
      <w:r>
        <w:rPr>
          <w:rFonts w:ascii="Times New Roman" w:hAnsi="Times New Roman" w:cs="Times New Roman"/>
          <w:bCs/>
          <w:sz w:val="24"/>
          <w:szCs w:val="24"/>
        </w:rPr>
        <w:t>T</w:t>
      </w:r>
      <w:r w:rsidRPr="00226A28">
        <w:rPr>
          <w:rFonts w:ascii="Times New Roman" w:hAnsi="Times New Roman" w:cs="Times New Roman"/>
          <w:bCs/>
          <w:sz w:val="24"/>
          <w:szCs w:val="24"/>
        </w:rPr>
        <w:t xml:space="preserve">here is no agreed threshold for reliable </w:t>
      </w:r>
      <w:r>
        <w:rPr>
          <w:rFonts w:ascii="Times New Roman" w:hAnsi="Times New Roman" w:cs="Times New Roman"/>
          <w:bCs/>
          <w:sz w:val="24"/>
          <w:szCs w:val="24"/>
        </w:rPr>
        <w:t>change on the BGQ, so we estimated this based on the reliability reported in Patel and colleagues (201</w:t>
      </w:r>
      <w:r w:rsidR="004D25E5">
        <w:rPr>
          <w:rFonts w:ascii="Times New Roman" w:hAnsi="Times New Roman" w:cs="Times New Roman"/>
          <w:bCs/>
          <w:sz w:val="24"/>
          <w:szCs w:val="24"/>
        </w:rPr>
        <w:t>9</w:t>
      </w:r>
      <w:r>
        <w:rPr>
          <w:rFonts w:ascii="Times New Roman" w:hAnsi="Times New Roman" w:cs="Times New Roman"/>
          <w:bCs/>
          <w:sz w:val="24"/>
          <w:szCs w:val="24"/>
        </w:rPr>
        <w:t xml:space="preserve">) and the intake standard deviation of the present sample who had been through the NHS-TT grief pathway. This resulted in a change of </w:t>
      </w:r>
      <w:r w:rsidRPr="004B40C6">
        <w:rPr>
          <w:rFonts w:ascii="Times New Roman" w:hAnsi="Times New Roman" w:cs="Times New Roman"/>
          <w:bCs/>
          <w:sz w:val="24"/>
          <w:szCs w:val="24"/>
          <w:u w:val="single"/>
        </w:rPr>
        <w:t>&gt;</w:t>
      </w:r>
      <w:r>
        <w:rPr>
          <w:rFonts w:ascii="Times New Roman" w:hAnsi="Times New Roman" w:cs="Times New Roman"/>
          <w:bCs/>
          <w:sz w:val="24"/>
          <w:szCs w:val="24"/>
        </w:rPr>
        <w:t xml:space="preserve"> 3 points being set as the threshold. The BGQ was an optional not mandated measure due to operational challenges adding it to the electronic </w:t>
      </w:r>
      <w:proofErr w:type="gramStart"/>
      <w:r>
        <w:rPr>
          <w:rFonts w:ascii="Times New Roman" w:hAnsi="Times New Roman" w:cs="Times New Roman"/>
          <w:bCs/>
          <w:sz w:val="24"/>
          <w:szCs w:val="24"/>
        </w:rPr>
        <w:t>outcome measure capture system</w:t>
      </w:r>
      <w:proofErr w:type="gramEnd"/>
      <w:r>
        <w:rPr>
          <w:rFonts w:ascii="Times New Roman" w:hAnsi="Times New Roman" w:cs="Times New Roman"/>
          <w:bCs/>
          <w:sz w:val="24"/>
          <w:szCs w:val="24"/>
        </w:rPr>
        <w:t xml:space="preserve"> used in service. The company who run the system were only able to add it as ‘clinician delivered’ measure rather than ‘web form deployable’ measure, meaning it could not routinely be sent out to clients to complete online with the other minimum data set measure and instead clinicians had to manually administer and enter scores. This significantly increases the workforce burden and session time associated with completing the measure, so for pragmatic reasons this was an optional not mandatory measure.  </w:t>
      </w:r>
    </w:p>
    <w:p w14:paraId="6D2EBCEB" w14:textId="74F622E1" w:rsidR="56029782" w:rsidRPr="0030470E" w:rsidRDefault="56029782" w:rsidP="23443BED">
      <w:pPr>
        <w:pStyle w:val="NoSpacing"/>
        <w:spacing w:line="480" w:lineRule="auto"/>
        <w:jc w:val="center"/>
        <w:rPr>
          <w:rFonts w:ascii="Times New Roman" w:eastAsia="Times New Roman" w:hAnsi="Times New Roman" w:cs="Times New Roman"/>
          <w:color w:val="000000" w:themeColor="text1"/>
          <w:sz w:val="24"/>
          <w:szCs w:val="24"/>
          <w:u w:val="single"/>
          <w:lang w:val="de-DE"/>
        </w:rPr>
      </w:pPr>
      <w:r w:rsidRPr="0030470E">
        <w:rPr>
          <w:rFonts w:ascii="Times New Roman" w:eastAsia="Times New Roman" w:hAnsi="Times New Roman" w:cs="Times New Roman"/>
          <w:color w:val="000000" w:themeColor="text1"/>
          <w:sz w:val="24"/>
          <w:szCs w:val="24"/>
          <w:u w:val="single"/>
          <w:lang w:val="de-DE"/>
        </w:rPr>
        <w:t>References</w:t>
      </w:r>
    </w:p>
    <w:p w14:paraId="12B68114" w14:textId="289378C1" w:rsidR="56029782" w:rsidRDefault="56029782" w:rsidP="23443BED">
      <w:pPr>
        <w:spacing w:line="480" w:lineRule="auto"/>
        <w:ind w:left="720" w:hanging="720"/>
        <w:rPr>
          <w:rFonts w:ascii="Times New Roman" w:eastAsia="Times New Roman" w:hAnsi="Times New Roman" w:cs="Times New Roman"/>
          <w:color w:val="000000" w:themeColor="text1"/>
          <w:lang w:val="en-US"/>
        </w:rPr>
      </w:pPr>
      <w:r w:rsidRPr="0030470E">
        <w:rPr>
          <w:rFonts w:ascii="Times New Roman" w:eastAsia="Times New Roman" w:hAnsi="Times New Roman" w:cs="Times New Roman"/>
          <w:color w:val="000000" w:themeColor="text1"/>
          <w:lang w:val="de-DE"/>
        </w:rPr>
        <w:t xml:space="preserve">Kroenke, K., Spitzer, R. L., &amp; Williams, J. B. (2001). </w:t>
      </w:r>
      <w:r w:rsidRPr="23443BED">
        <w:rPr>
          <w:rFonts w:ascii="Times New Roman" w:eastAsia="Times New Roman" w:hAnsi="Times New Roman" w:cs="Times New Roman"/>
          <w:color w:val="000000" w:themeColor="text1"/>
          <w:lang w:val="en-US"/>
        </w:rPr>
        <w:t xml:space="preserve">The PHQ-9: validity of a brief depression severity measure. </w:t>
      </w:r>
      <w:r w:rsidRPr="23443BED">
        <w:rPr>
          <w:rFonts w:ascii="Times New Roman" w:eastAsia="Times New Roman" w:hAnsi="Times New Roman" w:cs="Times New Roman"/>
          <w:i/>
          <w:iCs/>
          <w:color w:val="000000" w:themeColor="text1"/>
          <w:lang w:val="en-US"/>
        </w:rPr>
        <w:t>Journal of General Internal Medicine, 16</w:t>
      </w:r>
      <w:r w:rsidRPr="23443BED">
        <w:rPr>
          <w:rFonts w:ascii="Times New Roman" w:eastAsia="Times New Roman" w:hAnsi="Times New Roman" w:cs="Times New Roman"/>
          <w:color w:val="000000" w:themeColor="text1"/>
          <w:lang w:val="en-US"/>
        </w:rPr>
        <w:t xml:space="preserve">(9), 606-613. </w:t>
      </w:r>
      <w:hyperlink r:id="rId4">
        <w:r w:rsidRPr="23443BED">
          <w:rPr>
            <w:rStyle w:val="Hyperlink"/>
            <w:rFonts w:ascii="Times New Roman" w:eastAsia="Times New Roman" w:hAnsi="Times New Roman" w:cs="Times New Roman"/>
            <w:lang w:val="en-US"/>
          </w:rPr>
          <w:t>https://doi.org/10.1046/j.1525-1497.2001.016009606.x</w:t>
        </w:r>
      </w:hyperlink>
      <w:r w:rsidRPr="23443BED">
        <w:rPr>
          <w:rFonts w:ascii="Times New Roman" w:eastAsia="Times New Roman" w:hAnsi="Times New Roman" w:cs="Times New Roman"/>
          <w:color w:val="000000" w:themeColor="text1"/>
          <w:lang w:val="en-US"/>
        </w:rPr>
        <w:t xml:space="preserve"> </w:t>
      </w:r>
    </w:p>
    <w:p w14:paraId="0B0A1009" w14:textId="71A8C3C9" w:rsidR="56029782" w:rsidRDefault="56029782" w:rsidP="23443BED">
      <w:pPr>
        <w:spacing w:line="480" w:lineRule="auto"/>
        <w:ind w:left="720" w:hanging="720"/>
        <w:rPr>
          <w:rFonts w:ascii="Aptos" w:eastAsia="Aptos" w:hAnsi="Aptos" w:cs="Aptos"/>
          <w:color w:val="000000" w:themeColor="text1"/>
          <w:lang w:val="en-US"/>
        </w:rPr>
      </w:pPr>
      <w:r w:rsidRPr="23443BED">
        <w:rPr>
          <w:rFonts w:ascii="Times New Roman" w:eastAsia="Times New Roman" w:hAnsi="Times New Roman" w:cs="Times New Roman"/>
          <w:color w:val="000000" w:themeColor="text1"/>
          <w:lang w:val="en-US"/>
        </w:rPr>
        <w:t xml:space="preserve">Mundt, J. C., Marks, I. M., Shear, K. M., &amp; Griest, J. H. (2002). The Work and Social Adjustment Scale: a simple measure of impairment in functioning. </w:t>
      </w:r>
      <w:r w:rsidRPr="23443BED">
        <w:rPr>
          <w:rFonts w:ascii="Times New Roman" w:eastAsia="Times New Roman" w:hAnsi="Times New Roman" w:cs="Times New Roman"/>
          <w:i/>
          <w:iCs/>
          <w:color w:val="000000" w:themeColor="text1"/>
          <w:lang w:val="en-US"/>
        </w:rPr>
        <w:t>British Journal of Psychiatry, 180</w:t>
      </w:r>
      <w:r w:rsidRPr="23443BED">
        <w:rPr>
          <w:rFonts w:ascii="Times New Roman" w:eastAsia="Times New Roman" w:hAnsi="Times New Roman" w:cs="Times New Roman"/>
          <w:color w:val="000000" w:themeColor="text1"/>
          <w:lang w:val="en-US"/>
        </w:rPr>
        <w:t xml:space="preserve">, 461-464. </w:t>
      </w:r>
      <w:hyperlink r:id="rId5">
        <w:r w:rsidRPr="23443BED">
          <w:rPr>
            <w:rStyle w:val="Hyperlink"/>
            <w:rFonts w:ascii="Times New Roman" w:eastAsia="Times New Roman" w:hAnsi="Times New Roman" w:cs="Times New Roman"/>
            <w:lang w:val="en-US"/>
          </w:rPr>
          <w:t>https://doi.org/10.1192/bjp.180.5.461</w:t>
        </w:r>
      </w:hyperlink>
    </w:p>
    <w:p w14:paraId="1FCD2BD6" w14:textId="49091CA8" w:rsidR="56029782" w:rsidRDefault="56029782" w:rsidP="23443BED">
      <w:pPr>
        <w:spacing w:line="480" w:lineRule="auto"/>
        <w:ind w:left="720" w:hanging="720"/>
        <w:rPr>
          <w:rFonts w:ascii="Aptos" w:eastAsia="Aptos" w:hAnsi="Aptos" w:cs="Aptos"/>
          <w:color w:val="000000" w:themeColor="text1"/>
          <w:lang w:val="en-US"/>
        </w:rPr>
      </w:pPr>
      <w:r w:rsidRPr="23443BED">
        <w:rPr>
          <w:rFonts w:ascii="Times New Roman" w:eastAsia="Times New Roman" w:hAnsi="Times New Roman" w:cs="Times New Roman"/>
          <w:color w:val="000000" w:themeColor="text1"/>
          <w:lang w:val="en-US"/>
        </w:rPr>
        <w:t xml:space="preserve">Patel, S. R., Cole, A., Little, V., Skritskaya, N. A., Lever, E., Dixon, L. B., &amp; Shear, K. M. (2019). Acceptability, feasibility and outcome of a screening </w:t>
      </w:r>
      <w:proofErr w:type="spellStart"/>
      <w:r w:rsidRPr="23443BED">
        <w:rPr>
          <w:rFonts w:ascii="Times New Roman" w:eastAsia="Times New Roman" w:hAnsi="Times New Roman" w:cs="Times New Roman"/>
          <w:color w:val="000000" w:themeColor="text1"/>
          <w:lang w:val="en-US"/>
        </w:rPr>
        <w:t>programme</w:t>
      </w:r>
      <w:proofErr w:type="spellEnd"/>
      <w:r w:rsidRPr="23443BED">
        <w:rPr>
          <w:rFonts w:ascii="Times New Roman" w:eastAsia="Times New Roman" w:hAnsi="Times New Roman" w:cs="Times New Roman"/>
          <w:color w:val="000000" w:themeColor="text1"/>
          <w:lang w:val="en-US"/>
        </w:rPr>
        <w:t xml:space="preserve"> for complicated grief in integrated primary and </w:t>
      </w:r>
      <w:proofErr w:type="spellStart"/>
      <w:r w:rsidRPr="23443BED">
        <w:rPr>
          <w:rFonts w:ascii="Times New Roman" w:eastAsia="Times New Roman" w:hAnsi="Times New Roman" w:cs="Times New Roman"/>
          <w:color w:val="000000" w:themeColor="text1"/>
          <w:lang w:val="en-US"/>
        </w:rPr>
        <w:t>behavioural</w:t>
      </w:r>
      <w:proofErr w:type="spellEnd"/>
      <w:r w:rsidRPr="23443BED">
        <w:rPr>
          <w:rFonts w:ascii="Times New Roman" w:eastAsia="Times New Roman" w:hAnsi="Times New Roman" w:cs="Times New Roman"/>
          <w:color w:val="000000" w:themeColor="text1"/>
          <w:lang w:val="en-US"/>
        </w:rPr>
        <w:t xml:space="preserve"> health care clinics. </w:t>
      </w:r>
      <w:r w:rsidRPr="23443BED">
        <w:rPr>
          <w:rFonts w:ascii="Times New Roman" w:eastAsia="Times New Roman" w:hAnsi="Times New Roman" w:cs="Times New Roman"/>
          <w:i/>
          <w:iCs/>
          <w:color w:val="000000" w:themeColor="text1"/>
          <w:lang w:val="en-US"/>
        </w:rPr>
        <w:t>Family Practice, 36</w:t>
      </w:r>
      <w:r w:rsidRPr="23443BED">
        <w:rPr>
          <w:rFonts w:ascii="Times New Roman" w:eastAsia="Times New Roman" w:hAnsi="Times New Roman" w:cs="Times New Roman"/>
          <w:color w:val="000000" w:themeColor="text1"/>
          <w:lang w:val="en-US"/>
        </w:rPr>
        <w:t xml:space="preserve">(2), 125-131. </w:t>
      </w:r>
      <w:hyperlink r:id="rId6">
        <w:r w:rsidRPr="23443BED">
          <w:rPr>
            <w:rStyle w:val="Hyperlink"/>
            <w:rFonts w:ascii="Times New Roman" w:eastAsia="Times New Roman" w:hAnsi="Times New Roman" w:cs="Times New Roman"/>
            <w:lang w:val="en-US"/>
          </w:rPr>
          <w:t>https://doi.org/10.1093/fampra/cmy050</w:t>
        </w:r>
      </w:hyperlink>
    </w:p>
    <w:p w14:paraId="14A9CEFA" w14:textId="4D1DDBBD" w:rsidR="56029782" w:rsidRDefault="56029782" w:rsidP="23443BED">
      <w:pPr>
        <w:spacing w:line="480" w:lineRule="auto"/>
        <w:ind w:left="720" w:hanging="720"/>
        <w:rPr>
          <w:rFonts w:ascii="Times New Roman" w:eastAsia="Times New Roman" w:hAnsi="Times New Roman" w:cs="Times New Roman"/>
          <w:color w:val="000000" w:themeColor="text1"/>
          <w:lang w:val="en-US"/>
        </w:rPr>
      </w:pPr>
      <w:r w:rsidRPr="23443BED">
        <w:rPr>
          <w:rFonts w:ascii="Times New Roman" w:eastAsia="Times New Roman" w:hAnsi="Times New Roman" w:cs="Times New Roman"/>
          <w:color w:val="000000" w:themeColor="text1"/>
          <w:lang w:val="en-US"/>
        </w:rPr>
        <w:t xml:space="preserve"> Shear, K. M., Jackson, C. T., </w:t>
      </w:r>
      <w:proofErr w:type="spellStart"/>
      <w:r w:rsidRPr="23443BED">
        <w:rPr>
          <w:rFonts w:ascii="Times New Roman" w:eastAsia="Times New Roman" w:hAnsi="Times New Roman" w:cs="Times New Roman"/>
          <w:color w:val="000000" w:themeColor="text1"/>
          <w:lang w:val="en-US"/>
        </w:rPr>
        <w:t>Essock</w:t>
      </w:r>
      <w:proofErr w:type="spellEnd"/>
      <w:r w:rsidRPr="23443BED">
        <w:rPr>
          <w:rFonts w:ascii="Times New Roman" w:eastAsia="Times New Roman" w:hAnsi="Times New Roman" w:cs="Times New Roman"/>
          <w:color w:val="000000" w:themeColor="text1"/>
          <w:lang w:val="en-US"/>
        </w:rPr>
        <w:t xml:space="preserve">, S. M., Donahue, S. A., &amp; Felton, C. J. (2006). Screening for complicated grief among Project Liberty service recipients 18 months after September 11, 2001. </w:t>
      </w:r>
      <w:r w:rsidRPr="23443BED">
        <w:rPr>
          <w:rFonts w:ascii="Times New Roman" w:eastAsia="Times New Roman" w:hAnsi="Times New Roman" w:cs="Times New Roman"/>
          <w:i/>
          <w:iCs/>
          <w:color w:val="000000" w:themeColor="text1"/>
          <w:lang w:val="en-US"/>
        </w:rPr>
        <w:t>Psychiatric Services, 57</w:t>
      </w:r>
      <w:r w:rsidRPr="23443BED">
        <w:rPr>
          <w:rFonts w:ascii="Times New Roman" w:eastAsia="Times New Roman" w:hAnsi="Times New Roman" w:cs="Times New Roman"/>
          <w:color w:val="000000" w:themeColor="text1"/>
          <w:lang w:val="en-US"/>
        </w:rPr>
        <w:t xml:space="preserve">(9), 1291-1297. </w:t>
      </w:r>
      <w:hyperlink r:id="rId7">
        <w:r w:rsidRPr="23443BED">
          <w:rPr>
            <w:rStyle w:val="Hyperlink"/>
            <w:rFonts w:ascii="Times New Roman" w:eastAsia="Times New Roman" w:hAnsi="Times New Roman" w:cs="Times New Roman"/>
            <w:lang w:val="en-US"/>
          </w:rPr>
          <w:t>https://doi.org/10.1176/ps.2006.57.9.1291</w:t>
        </w:r>
      </w:hyperlink>
    </w:p>
    <w:p w14:paraId="0430C973" w14:textId="455FEF88" w:rsidR="56029782" w:rsidRDefault="56029782" w:rsidP="23443BED">
      <w:pPr>
        <w:spacing w:line="480" w:lineRule="auto"/>
        <w:ind w:left="720" w:hanging="720"/>
        <w:rPr>
          <w:rFonts w:ascii="Times New Roman" w:eastAsia="Times New Roman" w:hAnsi="Times New Roman" w:cs="Times New Roman"/>
          <w:color w:val="000000" w:themeColor="text1"/>
          <w:lang w:val="en-US"/>
        </w:rPr>
      </w:pPr>
      <w:r w:rsidRPr="23443BED">
        <w:rPr>
          <w:rFonts w:ascii="Times New Roman" w:eastAsia="Times New Roman" w:hAnsi="Times New Roman" w:cs="Times New Roman"/>
          <w:color w:val="000000" w:themeColor="text1"/>
          <w:lang w:val="en-US"/>
        </w:rPr>
        <w:t xml:space="preserve">Spitzer, R. L., Kroenke, K., Williams, J. B. W., &amp; Lowe, B. (2006). A brief measure for assessing generalized anxiety disorder: The GAD-7. </w:t>
      </w:r>
      <w:r w:rsidRPr="23443BED">
        <w:rPr>
          <w:rFonts w:ascii="Times New Roman" w:eastAsia="Times New Roman" w:hAnsi="Times New Roman" w:cs="Times New Roman"/>
          <w:i/>
          <w:iCs/>
          <w:color w:val="000000" w:themeColor="text1"/>
          <w:lang w:val="en-US"/>
        </w:rPr>
        <w:t>Archives of Internal Medicine, 166</w:t>
      </w:r>
      <w:r w:rsidRPr="23443BED">
        <w:rPr>
          <w:rFonts w:ascii="Times New Roman" w:eastAsia="Times New Roman" w:hAnsi="Times New Roman" w:cs="Times New Roman"/>
          <w:color w:val="000000" w:themeColor="text1"/>
          <w:lang w:val="en-US"/>
        </w:rPr>
        <w:t xml:space="preserve">(10), 1092-1097. </w:t>
      </w:r>
      <w:hyperlink r:id="rId8">
        <w:r w:rsidRPr="23443BED">
          <w:rPr>
            <w:rStyle w:val="Hyperlink"/>
            <w:rFonts w:ascii="Times New Roman" w:eastAsia="Times New Roman" w:hAnsi="Times New Roman" w:cs="Times New Roman"/>
            <w:lang w:val="en-US"/>
          </w:rPr>
          <w:t>https://doi.org/10.1001/archinte.166.10.1092</w:t>
        </w:r>
      </w:hyperlink>
    </w:p>
    <w:p w14:paraId="3DAB72B2" w14:textId="7BF6816B" w:rsidR="56029782" w:rsidRDefault="56029782" w:rsidP="23443BED">
      <w:pPr>
        <w:spacing w:line="480" w:lineRule="auto"/>
        <w:ind w:left="720" w:hanging="720"/>
        <w:rPr>
          <w:rFonts w:ascii="Times New Roman" w:eastAsia="Times New Roman" w:hAnsi="Times New Roman" w:cs="Times New Roman"/>
          <w:color w:val="000000" w:themeColor="text1"/>
          <w:lang w:val="en-US"/>
        </w:rPr>
      </w:pPr>
      <w:r w:rsidRPr="23443BED">
        <w:rPr>
          <w:rFonts w:ascii="Times New Roman" w:eastAsia="Times New Roman" w:hAnsi="Times New Roman" w:cs="Times New Roman"/>
          <w:color w:val="000000" w:themeColor="text1"/>
          <w:lang w:val="en-US"/>
        </w:rPr>
        <w:t>Zahra, D., Qureshi, A., Henley, W., Taylor, R., Quinn, C., Pooler, J., Hardy, G., Newbold, A., &amp; Byng, R. (2014). The work and social adjustment scale: reliability, sensitivity and value.</w:t>
      </w:r>
      <w:r w:rsidRPr="23443BED">
        <w:rPr>
          <w:rFonts w:ascii="Times New Roman" w:eastAsia="Times New Roman" w:hAnsi="Times New Roman" w:cs="Times New Roman"/>
          <w:i/>
          <w:iCs/>
          <w:color w:val="000000" w:themeColor="text1"/>
          <w:lang w:val="en-US"/>
        </w:rPr>
        <w:t xml:space="preserve"> International Journal of Psychiatry in Clinical Practice, 18</w:t>
      </w:r>
      <w:r w:rsidRPr="23443BED">
        <w:rPr>
          <w:rFonts w:ascii="Times New Roman" w:eastAsia="Times New Roman" w:hAnsi="Times New Roman" w:cs="Times New Roman"/>
          <w:color w:val="000000" w:themeColor="text1"/>
          <w:lang w:val="en-US"/>
        </w:rPr>
        <w:t xml:space="preserve">(2), 131-138. </w:t>
      </w:r>
      <w:hyperlink r:id="rId9">
        <w:r w:rsidRPr="23443BED">
          <w:rPr>
            <w:rStyle w:val="Hyperlink"/>
            <w:rFonts w:ascii="Times New Roman" w:eastAsia="Times New Roman" w:hAnsi="Times New Roman" w:cs="Times New Roman"/>
            <w:lang w:val="en-US"/>
          </w:rPr>
          <w:t>https://doi.org/10.3109/13651501.2014.894072</w:t>
        </w:r>
      </w:hyperlink>
    </w:p>
    <w:p w14:paraId="4C60558A" w14:textId="0B869E6B" w:rsidR="23443BED" w:rsidRDefault="23443BED" w:rsidP="23443BED">
      <w:pPr>
        <w:pStyle w:val="NoSpacing"/>
        <w:spacing w:line="480" w:lineRule="auto"/>
        <w:ind w:firstLine="720"/>
        <w:rPr>
          <w:rFonts w:ascii="Times New Roman" w:hAnsi="Times New Roman" w:cs="Times New Roman"/>
          <w:sz w:val="24"/>
          <w:szCs w:val="24"/>
        </w:rPr>
      </w:pPr>
    </w:p>
    <w:p w14:paraId="23D1E71E" w14:textId="77777777" w:rsidR="00D00F19" w:rsidRDefault="00D00F19">
      <w:pPr>
        <w:rPr>
          <w:rFonts w:ascii="Times New Roman" w:hAnsi="Times New Roman" w:cs="Times New Roman"/>
          <w:kern w:val="0"/>
          <w14:ligatures w14:val="none"/>
        </w:rPr>
      </w:pPr>
      <w:r>
        <w:rPr>
          <w:rFonts w:ascii="Times New Roman" w:hAnsi="Times New Roman" w:cs="Times New Roman"/>
        </w:rPr>
        <w:br w:type="page"/>
      </w:r>
    </w:p>
    <w:p w14:paraId="72934683" w14:textId="5972A7BE" w:rsidR="00D00F19" w:rsidRDefault="00D00F19" w:rsidP="00D00F19">
      <w:pPr>
        <w:pStyle w:val="NoSpacing"/>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Supplementary Tables</w:t>
      </w:r>
    </w:p>
    <w:p w14:paraId="10BD0CE5" w14:textId="36A1A713" w:rsidR="00D00F19" w:rsidRPr="00D00F19" w:rsidRDefault="00A606F8" w:rsidP="00A606F8">
      <w:pPr>
        <w:pStyle w:val="NoSpacing"/>
        <w:spacing w:line="480" w:lineRule="auto"/>
        <w:rPr>
          <w:rFonts w:ascii="Times New Roman" w:hAnsi="Times New Roman" w:cs="Times New Roman"/>
          <w:sz w:val="24"/>
          <w:szCs w:val="24"/>
          <w:u w:val="single"/>
        </w:rPr>
      </w:pPr>
      <w:r w:rsidRPr="00D00F19">
        <w:rPr>
          <w:rFonts w:ascii="Times New Roman" w:hAnsi="Times New Roman" w:cs="Times New Roman"/>
          <w:sz w:val="24"/>
          <w:szCs w:val="24"/>
          <w:u w:val="single"/>
        </w:rPr>
        <w:t>Table S1</w:t>
      </w:r>
    </w:p>
    <w:p w14:paraId="49C3731D" w14:textId="5E84E5BE" w:rsidR="00A606F8" w:rsidRPr="00B741F3" w:rsidRDefault="00A606F8" w:rsidP="00A606F8">
      <w:pPr>
        <w:pStyle w:val="NoSpacing"/>
        <w:spacing w:line="480" w:lineRule="auto"/>
        <w:rPr>
          <w:rFonts w:ascii="Times New Roman" w:hAnsi="Times New Roman" w:cs="Times New Roman"/>
          <w:sz w:val="24"/>
          <w:szCs w:val="24"/>
        </w:rPr>
      </w:pPr>
      <w:r w:rsidRPr="00B741F3">
        <w:rPr>
          <w:rFonts w:ascii="Times New Roman" w:hAnsi="Times New Roman" w:cs="Times New Roman"/>
          <w:sz w:val="24"/>
          <w:szCs w:val="24"/>
        </w:rPr>
        <w:t>Therapist characteristics</w:t>
      </w:r>
      <w:r w:rsidR="00A87CCD">
        <w:rPr>
          <w:rFonts w:ascii="Times New Roman" w:hAnsi="Times New Roman" w:cs="Times New Roman"/>
          <w:sz w:val="24"/>
          <w:szCs w:val="24"/>
        </w:rPr>
        <w:t xml:space="preserve"> (N=17)</w:t>
      </w:r>
    </w:p>
    <w:tbl>
      <w:tblPr>
        <w:tblStyle w:val="TableGrid"/>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969"/>
      </w:tblGrid>
      <w:tr w:rsidR="00A606F8" w:rsidRPr="00B741F3" w14:paraId="68BCAA1C" w14:textId="77777777" w:rsidTr="00AC503C">
        <w:tc>
          <w:tcPr>
            <w:tcW w:w="6238" w:type="dxa"/>
            <w:tcBorders>
              <w:top w:val="single" w:sz="4" w:space="0" w:color="auto"/>
              <w:bottom w:val="single" w:sz="4" w:space="0" w:color="auto"/>
            </w:tcBorders>
          </w:tcPr>
          <w:p w14:paraId="6A23FCE5" w14:textId="77777777" w:rsidR="00A606F8" w:rsidRPr="00B741F3" w:rsidRDefault="00A606F8" w:rsidP="008C31D9">
            <w:pPr>
              <w:pStyle w:val="NoSpacing"/>
              <w:spacing w:line="480" w:lineRule="auto"/>
              <w:rPr>
                <w:rFonts w:ascii="Times New Roman" w:hAnsi="Times New Roman" w:cs="Times New Roman"/>
                <w:sz w:val="24"/>
                <w:szCs w:val="24"/>
              </w:rPr>
            </w:pPr>
            <w:r w:rsidRPr="00B741F3">
              <w:rPr>
                <w:rFonts w:ascii="Times New Roman" w:hAnsi="Times New Roman" w:cs="Times New Roman"/>
                <w:sz w:val="24"/>
                <w:szCs w:val="24"/>
              </w:rPr>
              <w:t>Variable</w:t>
            </w:r>
          </w:p>
        </w:tc>
        <w:tc>
          <w:tcPr>
            <w:tcW w:w="3969" w:type="dxa"/>
            <w:tcBorders>
              <w:top w:val="single" w:sz="4" w:space="0" w:color="auto"/>
              <w:bottom w:val="single" w:sz="4" w:space="0" w:color="auto"/>
            </w:tcBorders>
          </w:tcPr>
          <w:p w14:paraId="01A9C379" w14:textId="1A960114" w:rsidR="00A606F8" w:rsidRPr="00B741F3" w:rsidRDefault="005070A8" w:rsidP="008C31D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Summary</w:t>
            </w:r>
          </w:p>
        </w:tc>
      </w:tr>
      <w:tr w:rsidR="00A606F8" w:rsidRPr="00B741F3" w14:paraId="378A67B2" w14:textId="77777777" w:rsidTr="00AC503C">
        <w:tc>
          <w:tcPr>
            <w:tcW w:w="6238" w:type="dxa"/>
            <w:tcBorders>
              <w:top w:val="single" w:sz="4" w:space="0" w:color="auto"/>
            </w:tcBorders>
          </w:tcPr>
          <w:p w14:paraId="28D6D402" w14:textId="77777777" w:rsidR="00A606F8" w:rsidRPr="00B741F3" w:rsidRDefault="00A606F8" w:rsidP="008C31D9">
            <w:pPr>
              <w:pStyle w:val="NoSpacing"/>
              <w:spacing w:line="480" w:lineRule="auto"/>
              <w:rPr>
                <w:rFonts w:ascii="Times New Roman" w:hAnsi="Times New Roman" w:cs="Times New Roman"/>
                <w:sz w:val="24"/>
                <w:szCs w:val="24"/>
              </w:rPr>
            </w:pPr>
            <w:r w:rsidRPr="00B741F3">
              <w:rPr>
                <w:rFonts w:ascii="Times New Roman" w:hAnsi="Times New Roman" w:cs="Times New Roman"/>
                <w:sz w:val="24"/>
                <w:szCs w:val="24"/>
              </w:rPr>
              <w:t>Age</w:t>
            </w:r>
          </w:p>
        </w:tc>
        <w:tc>
          <w:tcPr>
            <w:tcW w:w="3969" w:type="dxa"/>
            <w:tcBorders>
              <w:top w:val="single" w:sz="4" w:space="0" w:color="auto"/>
            </w:tcBorders>
          </w:tcPr>
          <w:p w14:paraId="54901BE1" w14:textId="0283066B" w:rsidR="00A606F8" w:rsidRPr="00B741F3" w:rsidRDefault="008E5D7B" w:rsidP="008C31D9">
            <w:pPr>
              <w:pStyle w:val="NoSpacing"/>
              <w:spacing w:line="480" w:lineRule="auto"/>
              <w:rPr>
                <w:rFonts w:ascii="Times New Roman" w:hAnsi="Times New Roman" w:cs="Times New Roman"/>
                <w:sz w:val="24"/>
                <w:szCs w:val="24"/>
              </w:rPr>
            </w:pPr>
            <w:r w:rsidRPr="00B741F3">
              <w:rPr>
                <w:rFonts w:ascii="Times New Roman" w:hAnsi="Times New Roman" w:cs="Times New Roman"/>
                <w:sz w:val="24"/>
                <w:szCs w:val="24"/>
              </w:rPr>
              <w:t>4</w:t>
            </w:r>
            <w:r w:rsidR="0081455F">
              <w:rPr>
                <w:rFonts w:ascii="Times New Roman" w:hAnsi="Times New Roman" w:cs="Times New Roman"/>
                <w:sz w:val="24"/>
                <w:szCs w:val="24"/>
              </w:rPr>
              <w:t>4.75</w:t>
            </w:r>
            <w:r w:rsidRPr="00B741F3">
              <w:rPr>
                <w:rFonts w:ascii="Times New Roman" w:hAnsi="Times New Roman" w:cs="Times New Roman"/>
                <w:sz w:val="24"/>
                <w:szCs w:val="24"/>
              </w:rPr>
              <w:t xml:space="preserve"> (9.</w:t>
            </w:r>
            <w:r w:rsidR="0081455F">
              <w:rPr>
                <w:rFonts w:ascii="Times New Roman" w:hAnsi="Times New Roman" w:cs="Times New Roman"/>
                <w:sz w:val="24"/>
                <w:szCs w:val="24"/>
              </w:rPr>
              <w:t>81</w:t>
            </w:r>
            <w:r w:rsidRPr="00B741F3">
              <w:rPr>
                <w:rFonts w:ascii="Times New Roman" w:hAnsi="Times New Roman" w:cs="Times New Roman"/>
                <w:sz w:val="24"/>
                <w:szCs w:val="24"/>
              </w:rPr>
              <w:t>), 3</w:t>
            </w:r>
            <w:r w:rsidR="00A87CCD">
              <w:rPr>
                <w:rFonts w:ascii="Times New Roman" w:hAnsi="Times New Roman" w:cs="Times New Roman"/>
                <w:sz w:val="24"/>
                <w:szCs w:val="24"/>
              </w:rPr>
              <w:t>2</w:t>
            </w:r>
            <w:r w:rsidRPr="00B741F3">
              <w:rPr>
                <w:rFonts w:ascii="Times New Roman" w:hAnsi="Times New Roman" w:cs="Times New Roman"/>
                <w:sz w:val="24"/>
                <w:szCs w:val="24"/>
              </w:rPr>
              <w:t xml:space="preserve"> to 61</w:t>
            </w:r>
          </w:p>
        </w:tc>
      </w:tr>
      <w:tr w:rsidR="00A606F8" w:rsidRPr="00B741F3" w14:paraId="4AA281C1" w14:textId="77777777" w:rsidTr="00AC503C">
        <w:tc>
          <w:tcPr>
            <w:tcW w:w="6238" w:type="dxa"/>
          </w:tcPr>
          <w:p w14:paraId="53B8F327" w14:textId="7AC22609" w:rsidR="00A606F8" w:rsidRPr="00B741F3" w:rsidRDefault="002E7532" w:rsidP="008C31D9">
            <w:pPr>
              <w:pStyle w:val="NoSpacing"/>
              <w:spacing w:line="480" w:lineRule="auto"/>
              <w:rPr>
                <w:rFonts w:ascii="Times New Roman" w:hAnsi="Times New Roman" w:cs="Times New Roman"/>
                <w:sz w:val="24"/>
                <w:szCs w:val="24"/>
              </w:rPr>
            </w:pPr>
            <w:r w:rsidRPr="00B741F3">
              <w:rPr>
                <w:rFonts w:ascii="Times New Roman" w:hAnsi="Times New Roman" w:cs="Times New Roman"/>
                <w:sz w:val="24"/>
                <w:szCs w:val="24"/>
              </w:rPr>
              <w:t>G</w:t>
            </w:r>
            <w:r w:rsidR="00A606F8" w:rsidRPr="00B741F3">
              <w:rPr>
                <w:rFonts w:ascii="Times New Roman" w:hAnsi="Times New Roman" w:cs="Times New Roman"/>
                <w:sz w:val="24"/>
                <w:szCs w:val="24"/>
              </w:rPr>
              <w:t>ender</w:t>
            </w:r>
          </w:p>
        </w:tc>
        <w:tc>
          <w:tcPr>
            <w:tcW w:w="3969" w:type="dxa"/>
          </w:tcPr>
          <w:p w14:paraId="7954F0B0" w14:textId="0CD7CD26" w:rsidR="00A606F8" w:rsidRPr="00B741F3" w:rsidRDefault="002E7532" w:rsidP="008C31D9">
            <w:pPr>
              <w:pStyle w:val="NoSpacing"/>
              <w:spacing w:line="480" w:lineRule="auto"/>
              <w:rPr>
                <w:rFonts w:ascii="Times New Roman" w:hAnsi="Times New Roman" w:cs="Times New Roman"/>
                <w:sz w:val="24"/>
                <w:szCs w:val="24"/>
              </w:rPr>
            </w:pPr>
            <w:r w:rsidRPr="00B741F3">
              <w:rPr>
                <w:rFonts w:ascii="Times New Roman" w:hAnsi="Times New Roman" w:cs="Times New Roman"/>
                <w:sz w:val="24"/>
                <w:szCs w:val="24"/>
              </w:rPr>
              <w:t>1</w:t>
            </w:r>
            <w:r w:rsidR="00A87CCD">
              <w:rPr>
                <w:rFonts w:ascii="Times New Roman" w:hAnsi="Times New Roman" w:cs="Times New Roman"/>
                <w:sz w:val="24"/>
                <w:szCs w:val="24"/>
              </w:rPr>
              <w:t>3</w:t>
            </w:r>
            <w:r w:rsidRPr="00B741F3">
              <w:rPr>
                <w:rFonts w:ascii="Times New Roman" w:hAnsi="Times New Roman" w:cs="Times New Roman"/>
                <w:sz w:val="24"/>
                <w:szCs w:val="24"/>
              </w:rPr>
              <w:t xml:space="preserve"> female, </w:t>
            </w:r>
            <w:r w:rsidR="00A87CCD">
              <w:rPr>
                <w:rFonts w:ascii="Times New Roman" w:hAnsi="Times New Roman" w:cs="Times New Roman"/>
                <w:sz w:val="24"/>
                <w:szCs w:val="24"/>
              </w:rPr>
              <w:t>4</w:t>
            </w:r>
            <w:r w:rsidRPr="00B741F3">
              <w:rPr>
                <w:rFonts w:ascii="Times New Roman" w:hAnsi="Times New Roman" w:cs="Times New Roman"/>
                <w:sz w:val="24"/>
                <w:szCs w:val="24"/>
              </w:rPr>
              <w:t xml:space="preserve"> male</w:t>
            </w:r>
          </w:p>
        </w:tc>
      </w:tr>
      <w:tr w:rsidR="00A606F8" w:rsidRPr="00B741F3" w14:paraId="3EAC6F43" w14:textId="77777777" w:rsidTr="00AC503C">
        <w:tc>
          <w:tcPr>
            <w:tcW w:w="6238" w:type="dxa"/>
          </w:tcPr>
          <w:p w14:paraId="57589FA8" w14:textId="79B010E9" w:rsidR="00A606F8" w:rsidRPr="00B741F3" w:rsidRDefault="00A606F8" w:rsidP="008C31D9">
            <w:pPr>
              <w:pStyle w:val="NoSpacing"/>
              <w:spacing w:line="480" w:lineRule="auto"/>
              <w:rPr>
                <w:rFonts w:ascii="Times New Roman" w:hAnsi="Times New Roman" w:cs="Times New Roman"/>
                <w:sz w:val="24"/>
                <w:szCs w:val="24"/>
              </w:rPr>
            </w:pPr>
            <w:r w:rsidRPr="00B741F3">
              <w:rPr>
                <w:rFonts w:ascii="Times New Roman" w:hAnsi="Times New Roman" w:cs="Times New Roman"/>
                <w:sz w:val="24"/>
                <w:szCs w:val="24"/>
              </w:rPr>
              <w:t xml:space="preserve">Years experience as </w:t>
            </w:r>
            <w:r w:rsidR="009A3D44">
              <w:rPr>
                <w:rFonts w:ascii="Times New Roman" w:hAnsi="Times New Roman" w:cs="Times New Roman"/>
                <w:sz w:val="24"/>
                <w:szCs w:val="24"/>
              </w:rPr>
              <w:t xml:space="preserve">a </w:t>
            </w:r>
            <w:r w:rsidR="00BA20D4">
              <w:rPr>
                <w:rFonts w:ascii="Times New Roman" w:hAnsi="Times New Roman" w:cs="Times New Roman"/>
                <w:sz w:val="24"/>
                <w:szCs w:val="24"/>
              </w:rPr>
              <w:t>high intensity therapist</w:t>
            </w:r>
          </w:p>
        </w:tc>
        <w:tc>
          <w:tcPr>
            <w:tcW w:w="3969" w:type="dxa"/>
          </w:tcPr>
          <w:p w14:paraId="7DF1C200" w14:textId="58C7E8DD" w:rsidR="00A606F8" w:rsidRPr="00B741F3" w:rsidRDefault="002E7532" w:rsidP="008C31D9">
            <w:pPr>
              <w:pStyle w:val="NoSpacing"/>
              <w:spacing w:line="480" w:lineRule="auto"/>
              <w:rPr>
                <w:rFonts w:ascii="Times New Roman" w:hAnsi="Times New Roman" w:cs="Times New Roman"/>
                <w:sz w:val="24"/>
                <w:szCs w:val="24"/>
              </w:rPr>
            </w:pPr>
            <w:r w:rsidRPr="00B741F3">
              <w:rPr>
                <w:rFonts w:ascii="Times New Roman" w:hAnsi="Times New Roman" w:cs="Times New Roman"/>
                <w:sz w:val="24"/>
                <w:szCs w:val="24"/>
              </w:rPr>
              <w:t>10.</w:t>
            </w:r>
            <w:r w:rsidR="00A87CCD">
              <w:rPr>
                <w:rFonts w:ascii="Times New Roman" w:hAnsi="Times New Roman" w:cs="Times New Roman"/>
                <w:sz w:val="24"/>
                <w:szCs w:val="24"/>
              </w:rPr>
              <w:t>0</w:t>
            </w:r>
            <w:r w:rsidRPr="00B741F3">
              <w:rPr>
                <w:rFonts w:ascii="Times New Roman" w:hAnsi="Times New Roman" w:cs="Times New Roman"/>
                <w:sz w:val="24"/>
                <w:szCs w:val="24"/>
              </w:rPr>
              <w:t xml:space="preserve"> (5.</w:t>
            </w:r>
            <w:r w:rsidR="00A87CCD">
              <w:rPr>
                <w:rFonts w:ascii="Times New Roman" w:hAnsi="Times New Roman" w:cs="Times New Roman"/>
                <w:sz w:val="24"/>
                <w:szCs w:val="24"/>
              </w:rPr>
              <w:t>83</w:t>
            </w:r>
            <w:r w:rsidRPr="00B741F3">
              <w:rPr>
                <w:rFonts w:ascii="Times New Roman" w:hAnsi="Times New Roman" w:cs="Times New Roman"/>
                <w:sz w:val="24"/>
                <w:szCs w:val="24"/>
              </w:rPr>
              <w:t xml:space="preserve">), 2 to </w:t>
            </w:r>
            <w:r w:rsidR="0046002A" w:rsidRPr="00B741F3">
              <w:rPr>
                <w:rFonts w:ascii="Times New Roman" w:hAnsi="Times New Roman" w:cs="Times New Roman"/>
                <w:sz w:val="24"/>
                <w:szCs w:val="24"/>
              </w:rPr>
              <w:t>21</w:t>
            </w:r>
          </w:p>
        </w:tc>
      </w:tr>
      <w:tr w:rsidR="00BA20D4" w:rsidRPr="00B741F3" w14:paraId="799E6831" w14:textId="77777777" w:rsidTr="00AC503C">
        <w:tc>
          <w:tcPr>
            <w:tcW w:w="6238" w:type="dxa"/>
          </w:tcPr>
          <w:p w14:paraId="23B3414F" w14:textId="690271A3" w:rsidR="00BA20D4" w:rsidRPr="00B741F3" w:rsidRDefault="00AC503C" w:rsidP="008C31D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Year mental health experience prior to high intensity training</w:t>
            </w:r>
          </w:p>
        </w:tc>
        <w:tc>
          <w:tcPr>
            <w:tcW w:w="3969" w:type="dxa"/>
          </w:tcPr>
          <w:p w14:paraId="2EDD44A0" w14:textId="679AE35C" w:rsidR="00BA20D4" w:rsidRPr="00B741F3" w:rsidRDefault="00AC503C" w:rsidP="008C31D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11.19 (6.17)</w:t>
            </w:r>
            <w:r w:rsidR="009A3D44">
              <w:rPr>
                <w:rFonts w:ascii="Times New Roman" w:hAnsi="Times New Roman" w:cs="Times New Roman"/>
                <w:sz w:val="24"/>
                <w:szCs w:val="24"/>
              </w:rPr>
              <w:t>, 4 to 27</w:t>
            </w:r>
          </w:p>
        </w:tc>
      </w:tr>
      <w:tr w:rsidR="00A606F8" w:rsidRPr="00B741F3" w14:paraId="7189E3AD" w14:textId="77777777" w:rsidTr="00AC503C">
        <w:tc>
          <w:tcPr>
            <w:tcW w:w="6238" w:type="dxa"/>
          </w:tcPr>
          <w:p w14:paraId="2C607B7B" w14:textId="182C0F9E" w:rsidR="00A606F8" w:rsidRPr="00B741F3" w:rsidRDefault="00A606F8" w:rsidP="008C31D9">
            <w:pPr>
              <w:pStyle w:val="NoSpacing"/>
              <w:spacing w:line="480" w:lineRule="auto"/>
              <w:rPr>
                <w:rFonts w:ascii="Times New Roman" w:hAnsi="Times New Roman" w:cs="Times New Roman"/>
                <w:sz w:val="24"/>
                <w:szCs w:val="24"/>
              </w:rPr>
            </w:pPr>
            <w:r w:rsidRPr="00B741F3">
              <w:rPr>
                <w:rFonts w:ascii="Times New Roman" w:hAnsi="Times New Roman" w:cs="Times New Roman"/>
                <w:sz w:val="24"/>
                <w:szCs w:val="24"/>
              </w:rPr>
              <w:t>Primary clinical credential</w:t>
            </w:r>
            <w:r w:rsidR="005070A8">
              <w:rPr>
                <w:rFonts w:ascii="Times New Roman" w:hAnsi="Times New Roman" w:cs="Times New Roman"/>
                <w:sz w:val="24"/>
                <w:szCs w:val="24"/>
              </w:rPr>
              <w:t>s</w:t>
            </w:r>
          </w:p>
        </w:tc>
        <w:tc>
          <w:tcPr>
            <w:tcW w:w="3969" w:type="dxa"/>
          </w:tcPr>
          <w:p w14:paraId="0C6DF62D" w14:textId="375FDCAA" w:rsidR="00A606F8" w:rsidRPr="00B741F3" w:rsidRDefault="005070A8" w:rsidP="008C31D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w:t>
            </w:r>
            <w:r w:rsidR="00CD51AD" w:rsidRPr="00B741F3">
              <w:rPr>
                <w:rFonts w:ascii="Times New Roman" w:hAnsi="Times New Roman" w:cs="Times New Roman"/>
                <w:sz w:val="24"/>
                <w:szCs w:val="24"/>
              </w:rPr>
              <w:t xml:space="preserve">ll high intensity trained; in </w:t>
            </w:r>
            <w:proofErr w:type="gramStart"/>
            <w:r w:rsidR="00CD51AD" w:rsidRPr="00B741F3">
              <w:rPr>
                <w:rFonts w:ascii="Times New Roman" w:hAnsi="Times New Roman" w:cs="Times New Roman"/>
                <w:sz w:val="24"/>
                <w:szCs w:val="24"/>
              </w:rPr>
              <w:t>addition</w:t>
            </w:r>
            <w:proofErr w:type="gramEnd"/>
            <w:r w:rsidR="00CD51AD" w:rsidRPr="00B741F3">
              <w:rPr>
                <w:rFonts w:ascii="Times New Roman" w:hAnsi="Times New Roman" w:cs="Times New Roman"/>
                <w:sz w:val="24"/>
                <w:szCs w:val="24"/>
              </w:rPr>
              <w:t xml:space="preserve"> </w:t>
            </w:r>
            <w:r w:rsidR="00E847E4" w:rsidRPr="00B741F3">
              <w:rPr>
                <w:rFonts w:ascii="Times New Roman" w:hAnsi="Times New Roman" w:cs="Times New Roman"/>
                <w:sz w:val="24"/>
                <w:szCs w:val="24"/>
              </w:rPr>
              <w:t xml:space="preserve">5 were occupational therapists; </w:t>
            </w:r>
            <w:r w:rsidR="0039481C" w:rsidRPr="00B741F3">
              <w:rPr>
                <w:rFonts w:ascii="Times New Roman" w:hAnsi="Times New Roman" w:cs="Times New Roman"/>
                <w:sz w:val="24"/>
                <w:szCs w:val="24"/>
              </w:rPr>
              <w:t xml:space="preserve">6 </w:t>
            </w:r>
            <w:r w:rsidR="00E847E4" w:rsidRPr="00B741F3">
              <w:rPr>
                <w:rFonts w:ascii="Times New Roman" w:hAnsi="Times New Roman" w:cs="Times New Roman"/>
                <w:sz w:val="24"/>
                <w:szCs w:val="24"/>
              </w:rPr>
              <w:t>were nurses; one was a social worker</w:t>
            </w:r>
            <w:r>
              <w:rPr>
                <w:rFonts w:ascii="Times New Roman" w:hAnsi="Times New Roman" w:cs="Times New Roman"/>
                <w:sz w:val="24"/>
                <w:szCs w:val="24"/>
              </w:rPr>
              <w:t>.</w:t>
            </w:r>
          </w:p>
        </w:tc>
      </w:tr>
      <w:tr w:rsidR="00A606F8" w14:paraId="51260853" w14:textId="77777777" w:rsidTr="00AC503C">
        <w:tc>
          <w:tcPr>
            <w:tcW w:w="6238" w:type="dxa"/>
            <w:tcBorders>
              <w:bottom w:val="single" w:sz="4" w:space="0" w:color="auto"/>
            </w:tcBorders>
          </w:tcPr>
          <w:p w14:paraId="51F0610D" w14:textId="5B2242FE" w:rsidR="00A606F8" w:rsidRPr="00B741F3" w:rsidRDefault="00C97122" w:rsidP="008C31D9">
            <w:pPr>
              <w:pStyle w:val="NoSpacing"/>
              <w:spacing w:line="480" w:lineRule="auto"/>
              <w:rPr>
                <w:rFonts w:ascii="Times New Roman" w:hAnsi="Times New Roman" w:cs="Times New Roman"/>
                <w:sz w:val="24"/>
                <w:szCs w:val="24"/>
              </w:rPr>
            </w:pPr>
            <w:r w:rsidRPr="00B741F3">
              <w:rPr>
                <w:rFonts w:ascii="Times New Roman" w:hAnsi="Times New Roman" w:cs="Times New Roman"/>
                <w:sz w:val="24"/>
                <w:szCs w:val="24"/>
              </w:rPr>
              <w:t>C</w:t>
            </w:r>
            <w:r w:rsidRPr="00B741F3">
              <w:t>lients</w:t>
            </w:r>
            <w:r w:rsidRPr="00B741F3">
              <w:rPr>
                <w:rFonts w:ascii="Times New Roman" w:hAnsi="Times New Roman" w:cs="Times New Roman"/>
                <w:sz w:val="24"/>
                <w:szCs w:val="24"/>
              </w:rPr>
              <w:t xml:space="preserve"> </w:t>
            </w:r>
            <w:r w:rsidR="00A606F8" w:rsidRPr="00B741F3">
              <w:rPr>
                <w:rFonts w:ascii="Times New Roman" w:hAnsi="Times New Roman" w:cs="Times New Roman"/>
                <w:sz w:val="24"/>
                <w:szCs w:val="24"/>
              </w:rPr>
              <w:t>treated in audit</w:t>
            </w:r>
          </w:p>
        </w:tc>
        <w:tc>
          <w:tcPr>
            <w:tcW w:w="3969" w:type="dxa"/>
            <w:tcBorders>
              <w:bottom w:val="single" w:sz="4" w:space="0" w:color="auto"/>
            </w:tcBorders>
          </w:tcPr>
          <w:p w14:paraId="0DC81DA5" w14:textId="7CAB9A7B" w:rsidR="00A606F8" w:rsidRDefault="007419BF" w:rsidP="008C31D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5.71</w:t>
            </w:r>
            <w:r w:rsidR="00631C60" w:rsidRPr="00B741F3">
              <w:rPr>
                <w:rFonts w:ascii="Times New Roman" w:hAnsi="Times New Roman" w:cs="Times New Roman"/>
                <w:sz w:val="24"/>
                <w:szCs w:val="24"/>
              </w:rPr>
              <w:t xml:space="preserve"> (5.</w:t>
            </w:r>
            <w:r>
              <w:rPr>
                <w:rFonts w:ascii="Times New Roman" w:hAnsi="Times New Roman" w:cs="Times New Roman"/>
                <w:sz w:val="24"/>
                <w:szCs w:val="24"/>
              </w:rPr>
              <w:t>02</w:t>
            </w:r>
            <w:r w:rsidR="00631C60" w:rsidRPr="00B741F3">
              <w:rPr>
                <w:rFonts w:ascii="Times New Roman" w:hAnsi="Times New Roman" w:cs="Times New Roman"/>
                <w:sz w:val="24"/>
                <w:szCs w:val="24"/>
              </w:rPr>
              <w:t xml:space="preserve">), 1 to </w:t>
            </w:r>
            <w:r w:rsidR="00B741F3" w:rsidRPr="00B741F3">
              <w:rPr>
                <w:rFonts w:ascii="Times New Roman" w:hAnsi="Times New Roman" w:cs="Times New Roman"/>
                <w:sz w:val="24"/>
                <w:szCs w:val="24"/>
              </w:rPr>
              <w:t>20</w:t>
            </w:r>
          </w:p>
        </w:tc>
      </w:tr>
    </w:tbl>
    <w:p w14:paraId="3B1A39A2" w14:textId="6685F1CA" w:rsidR="00A606F8" w:rsidRDefault="005070A8" w:rsidP="00A606F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Note: for age, </w:t>
      </w:r>
      <w:proofErr w:type="spellStart"/>
      <w:r>
        <w:rPr>
          <w:rFonts w:ascii="Times New Roman" w:hAnsi="Times New Roman" w:cs="Times New Roman"/>
          <w:sz w:val="24"/>
          <w:szCs w:val="24"/>
        </w:rPr>
        <w:t>years experience</w:t>
      </w:r>
      <w:proofErr w:type="spellEnd"/>
      <w:r>
        <w:rPr>
          <w:rFonts w:ascii="Times New Roman" w:hAnsi="Times New Roman" w:cs="Times New Roman"/>
          <w:sz w:val="24"/>
          <w:szCs w:val="24"/>
        </w:rPr>
        <w:t xml:space="preserve">, and clients treated, data are mean (SD), range. </w:t>
      </w:r>
    </w:p>
    <w:p w14:paraId="7821E1C0" w14:textId="69A3C6EC" w:rsidR="00A606F8" w:rsidRDefault="00A606F8" w:rsidP="00A606F8">
      <w:pPr>
        <w:pStyle w:val="NoSpacing"/>
        <w:spacing w:line="480" w:lineRule="auto"/>
        <w:rPr>
          <w:rFonts w:ascii="Times New Roman" w:hAnsi="Times New Roman" w:cs="Times New Roman"/>
          <w:sz w:val="24"/>
          <w:szCs w:val="24"/>
        </w:rPr>
      </w:pPr>
    </w:p>
    <w:p w14:paraId="46DE8427" w14:textId="77777777" w:rsidR="00A606F8" w:rsidRDefault="00A606F8" w:rsidP="00A606F8">
      <w:pPr>
        <w:rPr>
          <w:rFonts w:ascii="Times New Roman" w:hAnsi="Times New Roman" w:cs="Times New Roman"/>
          <w:kern w:val="0"/>
          <w14:ligatures w14:val="none"/>
        </w:rPr>
      </w:pPr>
      <w:r>
        <w:rPr>
          <w:rFonts w:ascii="Times New Roman" w:hAnsi="Times New Roman" w:cs="Times New Roman"/>
        </w:rPr>
        <w:br w:type="page"/>
      </w:r>
    </w:p>
    <w:p w14:paraId="72BA6015" w14:textId="7304F6D8" w:rsidR="009469F1" w:rsidRPr="009469F1" w:rsidRDefault="00A606F8" w:rsidP="00A606F8">
      <w:pPr>
        <w:pStyle w:val="NoSpacing"/>
        <w:spacing w:line="480" w:lineRule="auto"/>
        <w:rPr>
          <w:rFonts w:ascii="Times New Roman" w:hAnsi="Times New Roman" w:cs="Times New Roman"/>
          <w:sz w:val="24"/>
          <w:szCs w:val="24"/>
          <w:u w:val="single"/>
        </w:rPr>
      </w:pPr>
      <w:r w:rsidRPr="009469F1">
        <w:rPr>
          <w:rFonts w:ascii="Times New Roman" w:hAnsi="Times New Roman" w:cs="Times New Roman"/>
          <w:sz w:val="24"/>
          <w:szCs w:val="24"/>
          <w:u w:val="single"/>
        </w:rPr>
        <w:t xml:space="preserve">Table S2 </w:t>
      </w:r>
    </w:p>
    <w:p w14:paraId="61809A51" w14:textId="4E49421A" w:rsidR="00A606F8" w:rsidRDefault="00A606F8" w:rsidP="00A606F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Clinical and demographic characteristics of </w:t>
      </w:r>
      <w:r w:rsidR="00C97122">
        <w:rPr>
          <w:rFonts w:ascii="Times New Roman" w:hAnsi="Times New Roman" w:cs="Times New Roman"/>
          <w:sz w:val="24"/>
          <w:szCs w:val="24"/>
        </w:rPr>
        <w:t xml:space="preserve">clients </w:t>
      </w:r>
      <w:r>
        <w:rPr>
          <w:rFonts w:ascii="Times New Roman" w:hAnsi="Times New Roman" w:cs="Times New Roman"/>
          <w:sz w:val="24"/>
          <w:szCs w:val="24"/>
        </w:rPr>
        <w:t xml:space="preserve">in </w:t>
      </w:r>
      <w:proofErr w:type="spellStart"/>
      <w:r w:rsidR="00AD31BD">
        <w:rPr>
          <w:rFonts w:ascii="Times New Roman" w:hAnsi="Times New Roman" w:cs="Times New Roman"/>
          <w:sz w:val="24"/>
          <w:szCs w:val="24"/>
        </w:rPr>
        <w:t>hgiehr</w:t>
      </w:r>
      <w:proofErr w:type="spellEnd"/>
      <w:r w:rsidR="00AD31BD">
        <w:rPr>
          <w:rFonts w:ascii="Times New Roman" w:hAnsi="Times New Roman" w:cs="Times New Roman"/>
          <w:sz w:val="24"/>
          <w:szCs w:val="24"/>
        </w:rPr>
        <w:t xml:space="preserve"> severity</w:t>
      </w:r>
      <w:r>
        <w:rPr>
          <w:rFonts w:ascii="Times New Roman" w:hAnsi="Times New Roman" w:cs="Times New Roman"/>
          <w:sz w:val="24"/>
          <w:szCs w:val="24"/>
        </w:rPr>
        <w:t xml:space="preserve"> PGD subgroup versus remaining </w:t>
      </w:r>
      <w:r w:rsidR="00C97122">
        <w:rPr>
          <w:rFonts w:ascii="Times New Roman" w:hAnsi="Times New Roman" w:cs="Times New Roman"/>
          <w:sz w:val="24"/>
          <w:szCs w:val="24"/>
        </w:rPr>
        <w:t xml:space="preserve">clients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1790"/>
        <w:gridCol w:w="2016"/>
        <w:gridCol w:w="1920"/>
      </w:tblGrid>
      <w:tr w:rsidR="00A606F8" w14:paraId="546A5773" w14:textId="77777777" w:rsidTr="008C31D9">
        <w:tc>
          <w:tcPr>
            <w:tcW w:w="3584" w:type="dxa"/>
            <w:tcBorders>
              <w:top w:val="single" w:sz="4" w:space="0" w:color="auto"/>
              <w:bottom w:val="single" w:sz="4" w:space="0" w:color="auto"/>
            </w:tcBorders>
          </w:tcPr>
          <w:p w14:paraId="1DAD0093" w14:textId="77777777" w:rsidR="00A606F8" w:rsidRDefault="00A606F8" w:rsidP="008C31D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Variable </w:t>
            </w:r>
          </w:p>
        </w:tc>
        <w:tc>
          <w:tcPr>
            <w:tcW w:w="1790" w:type="dxa"/>
            <w:tcBorders>
              <w:top w:val="single" w:sz="4" w:space="0" w:color="auto"/>
              <w:bottom w:val="single" w:sz="4" w:space="0" w:color="auto"/>
            </w:tcBorders>
          </w:tcPr>
          <w:p w14:paraId="10FBD781" w14:textId="01B6AB26" w:rsidR="00A606F8" w:rsidRDefault="00AD31BD" w:rsidP="008C31D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Higher severity</w:t>
            </w:r>
            <w:r w:rsidR="00A606F8">
              <w:rPr>
                <w:rFonts w:ascii="Times New Roman" w:hAnsi="Times New Roman" w:cs="Times New Roman"/>
                <w:sz w:val="24"/>
                <w:szCs w:val="24"/>
              </w:rPr>
              <w:t xml:space="preserve"> PGD subgroup </w:t>
            </w:r>
          </w:p>
        </w:tc>
        <w:tc>
          <w:tcPr>
            <w:tcW w:w="2016" w:type="dxa"/>
            <w:tcBorders>
              <w:top w:val="single" w:sz="4" w:space="0" w:color="auto"/>
              <w:bottom w:val="single" w:sz="4" w:space="0" w:color="auto"/>
            </w:tcBorders>
          </w:tcPr>
          <w:p w14:paraId="28872A02" w14:textId="77777777" w:rsidR="00A606F8" w:rsidRDefault="00A606F8" w:rsidP="008C31D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Remaining participants  </w:t>
            </w:r>
          </w:p>
        </w:tc>
        <w:tc>
          <w:tcPr>
            <w:tcW w:w="1920" w:type="dxa"/>
            <w:tcBorders>
              <w:top w:val="single" w:sz="4" w:space="0" w:color="auto"/>
              <w:bottom w:val="single" w:sz="4" w:space="0" w:color="auto"/>
            </w:tcBorders>
          </w:tcPr>
          <w:p w14:paraId="646366C4" w14:textId="77777777" w:rsidR="00A606F8" w:rsidRDefault="00A606F8" w:rsidP="008C31D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Comparison </w:t>
            </w:r>
          </w:p>
        </w:tc>
      </w:tr>
      <w:tr w:rsidR="00A606F8" w14:paraId="13E10AB4" w14:textId="77777777" w:rsidTr="008C31D9">
        <w:tc>
          <w:tcPr>
            <w:tcW w:w="3584" w:type="dxa"/>
            <w:tcBorders>
              <w:top w:val="single" w:sz="4" w:space="0" w:color="auto"/>
            </w:tcBorders>
          </w:tcPr>
          <w:p w14:paraId="0EA9C659" w14:textId="77777777" w:rsidR="00A606F8" w:rsidRPr="000A08D3" w:rsidRDefault="00A606F8" w:rsidP="008C31D9">
            <w:pPr>
              <w:pStyle w:val="NoSpacing"/>
              <w:spacing w:line="360" w:lineRule="auto"/>
              <w:rPr>
                <w:rFonts w:ascii="Times New Roman" w:hAnsi="Times New Roman" w:cs="Times New Roman"/>
                <w:i/>
                <w:iCs/>
                <w:sz w:val="24"/>
                <w:szCs w:val="24"/>
              </w:rPr>
            </w:pPr>
            <w:r w:rsidRPr="000A08D3">
              <w:rPr>
                <w:rFonts w:ascii="Times New Roman" w:hAnsi="Times New Roman" w:cs="Times New Roman"/>
                <w:i/>
                <w:iCs/>
                <w:sz w:val="24"/>
                <w:szCs w:val="24"/>
              </w:rPr>
              <w:t>N</w:t>
            </w:r>
          </w:p>
        </w:tc>
        <w:tc>
          <w:tcPr>
            <w:tcW w:w="1790" w:type="dxa"/>
            <w:tcBorders>
              <w:top w:val="single" w:sz="4" w:space="0" w:color="auto"/>
            </w:tcBorders>
          </w:tcPr>
          <w:p w14:paraId="222B0991" w14:textId="77777777" w:rsidR="00A606F8" w:rsidRPr="002F0527"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2016" w:type="dxa"/>
            <w:tcBorders>
              <w:top w:val="single" w:sz="4" w:space="0" w:color="auto"/>
            </w:tcBorders>
          </w:tcPr>
          <w:p w14:paraId="681AD338" w14:textId="77777777" w:rsidR="00A606F8" w:rsidRPr="00DA07B7" w:rsidRDefault="00A606F8" w:rsidP="008C31D9">
            <w:pPr>
              <w:pStyle w:val="NoSpacing"/>
              <w:spacing w:line="360" w:lineRule="auto"/>
              <w:rPr>
                <w:rFonts w:ascii="Times New Roman" w:hAnsi="Times New Roman" w:cs="Times New Roman"/>
                <w:sz w:val="24"/>
                <w:szCs w:val="24"/>
                <w:highlight w:val="yellow"/>
              </w:rPr>
            </w:pPr>
            <w:r>
              <w:rPr>
                <w:rFonts w:ascii="Times New Roman" w:hAnsi="Times New Roman" w:cs="Times New Roman"/>
                <w:sz w:val="24"/>
                <w:szCs w:val="24"/>
              </w:rPr>
              <w:t>40</w:t>
            </w:r>
          </w:p>
        </w:tc>
        <w:tc>
          <w:tcPr>
            <w:tcW w:w="1920" w:type="dxa"/>
            <w:tcBorders>
              <w:top w:val="single" w:sz="4" w:space="0" w:color="auto"/>
            </w:tcBorders>
          </w:tcPr>
          <w:p w14:paraId="6825F97C" w14:textId="77777777" w:rsidR="00A606F8" w:rsidRPr="00DA07B7" w:rsidRDefault="00A606F8" w:rsidP="008C31D9">
            <w:pPr>
              <w:pStyle w:val="NoSpacing"/>
              <w:spacing w:line="360" w:lineRule="auto"/>
              <w:rPr>
                <w:rFonts w:ascii="Times New Roman" w:hAnsi="Times New Roman" w:cs="Times New Roman"/>
                <w:sz w:val="24"/>
                <w:szCs w:val="24"/>
                <w:highlight w:val="yellow"/>
              </w:rPr>
            </w:pPr>
            <w:r w:rsidRPr="003C4315">
              <w:rPr>
                <w:rFonts w:ascii="Times New Roman" w:hAnsi="Times New Roman" w:cs="Times New Roman"/>
                <w:sz w:val="24"/>
                <w:szCs w:val="24"/>
              </w:rPr>
              <w:t>-</w:t>
            </w:r>
          </w:p>
        </w:tc>
      </w:tr>
      <w:tr w:rsidR="00A606F8" w14:paraId="721F03B1" w14:textId="77777777" w:rsidTr="008C31D9">
        <w:tc>
          <w:tcPr>
            <w:tcW w:w="3584" w:type="dxa"/>
          </w:tcPr>
          <w:p w14:paraId="3B644A26" w14:textId="77777777" w:rsidR="00A606F8"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Age</w:t>
            </w:r>
          </w:p>
        </w:tc>
        <w:tc>
          <w:tcPr>
            <w:tcW w:w="1790" w:type="dxa"/>
          </w:tcPr>
          <w:p w14:paraId="117D5479" w14:textId="77777777" w:rsidR="00A606F8" w:rsidRPr="002F0527" w:rsidRDefault="00A606F8" w:rsidP="008C31D9">
            <w:pPr>
              <w:pStyle w:val="NoSpacing"/>
              <w:spacing w:line="360" w:lineRule="auto"/>
              <w:rPr>
                <w:rFonts w:ascii="Times New Roman" w:hAnsi="Times New Roman" w:cs="Times New Roman"/>
                <w:sz w:val="24"/>
                <w:szCs w:val="24"/>
              </w:rPr>
            </w:pPr>
            <w:r w:rsidRPr="00352286">
              <w:rPr>
                <w:rFonts w:ascii="Times New Roman" w:hAnsi="Times New Roman" w:cs="Times New Roman"/>
                <w:sz w:val="24"/>
                <w:szCs w:val="24"/>
              </w:rPr>
              <w:t>5</w:t>
            </w:r>
            <w:r>
              <w:rPr>
                <w:rFonts w:ascii="Times New Roman" w:hAnsi="Times New Roman" w:cs="Times New Roman"/>
                <w:sz w:val="24"/>
                <w:szCs w:val="24"/>
              </w:rPr>
              <w:t>0.25</w:t>
            </w:r>
            <w:r w:rsidRPr="00352286">
              <w:rPr>
                <w:rFonts w:ascii="Times New Roman" w:hAnsi="Times New Roman" w:cs="Times New Roman"/>
                <w:sz w:val="24"/>
                <w:szCs w:val="24"/>
              </w:rPr>
              <w:t xml:space="preserve"> (14.</w:t>
            </w:r>
            <w:r>
              <w:rPr>
                <w:rFonts w:ascii="Times New Roman" w:hAnsi="Times New Roman" w:cs="Times New Roman"/>
                <w:sz w:val="24"/>
                <w:szCs w:val="24"/>
              </w:rPr>
              <w:t>43</w:t>
            </w:r>
            <w:r w:rsidRPr="00352286">
              <w:rPr>
                <w:rFonts w:ascii="Times New Roman" w:hAnsi="Times New Roman" w:cs="Times New Roman"/>
                <w:sz w:val="24"/>
                <w:szCs w:val="24"/>
              </w:rPr>
              <w:t>)</w:t>
            </w:r>
          </w:p>
        </w:tc>
        <w:tc>
          <w:tcPr>
            <w:tcW w:w="2016" w:type="dxa"/>
          </w:tcPr>
          <w:p w14:paraId="101E5012" w14:textId="77777777" w:rsidR="00A606F8" w:rsidRPr="00DA07B7" w:rsidRDefault="00A606F8" w:rsidP="008C31D9">
            <w:pPr>
              <w:pStyle w:val="NoSpacing"/>
              <w:spacing w:line="360" w:lineRule="auto"/>
              <w:rPr>
                <w:rFonts w:ascii="Times New Roman" w:hAnsi="Times New Roman" w:cs="Times New Roman"/>
                <w:sz w:val="24"/>
                <w:szCs w:val="24"/>
                <w:highlight w:val="yellow"/>
              </w:rPr>
            </w:pPr>
            <w:r w:rsidRPr="005E2EE5">
              <w:rPr>
                <w:rFonts w:ascii="Times New Roman" w:hAnsi="Times New Roman" w:cs="Times New Roman"/>
                <w:sz w:val="24"/>
                <w:szCs w:val="24"/>
              </w:rPr>
              <w:t>5</w:t>
            </w:r>
            <w:r>
              <w:rPr>
                <w:rFonts w:ascii="Times New Roman" w:hAnsi="Times New Roman" w:cs="Times New Roman"/>
                <w:sz w:val="24"/>
                <w:szCs w:val="24"/>
              </w:rPr>
              <w:t>2</w:t>
            </w:r>
            <w:r w:rsidRPr="005E2EE5">
              <w:rPr>
                <w:rFonts w:ascii="Times New Roman" w:hAnsi="Times New Roman" w:cs="Times New Roman"/>
                <w:sz w:val="24"/>
                <w:szCs w:val="24"/>
              </w:rPr>
              <w:t>.</w:t>
            </w:r>
            <w:r>
              <w:rPr>
                <w:rFonts w:ascii="Times New Roman" w:hAnsi="Times New Roman" w:cs="Times New Roman"/>
                <w:sz w:val="24"/>
                <w:szCs w:val="24"/>
              </w:rPr>
              <w:t>60</w:t>
            </w:r>
            <w:r w:rsidRPr="005E2EE5">
              <w:rPr>
                <w:rFonts w:ascii="Times New Roman" w:hAnsi="Times New Roman" w:cs="Times New Roman"/>
                <w:sz w:val="24"/>
                <w:szCs w:val="24"/>
              </w:rPr>
              <w:t xml:space="preserve"> (14.</w:t>
            </w:r>
            <w:r>
              <w:rPr>
                <w:rFonts w:ascii="Times New Roman" w:hAnsi="Times New Roman" w:cs="Times New Roman"/>
                <w:sz w:val="24"/>
                <w:szCs w:val="24"/>
              </w:rPr>
              <w:t>96</w:t>
            </w:r>
            <w:r w:rsidRPr="005E2EE5">
              <w:rPr>
                <w:rFonts w:ascii="Times New Roman" w:hAnsi="Times New Roman" w:cs="Times New Roman"/>
                <w:sz w:val="24"/>
                <w:szCs w:val="24"/>
              </w:rPr>
              <w:t>)</w:t>
            </w:r>
          </w:p>
        </w:tc>
        <w:tc>
          <w:tcPr>
            <w:tcW w:w="1920" w:type="dxa"/>
          </w:tcPr>
          <w:p w14:paraId="75F27929" w14:textId="77777777" w:rsidR="00A606F8" w:rsidRPr="00DA07B7" w:rsidRDefault="00A606F8" w:rsidP="008C31D9">
            <w:pPr>
              <w:pStyle w:val="NoSpacing"/>
              <w:spacing w:line="360" w:lineRule="auto"/>
              <w:rPr>
                <w:rFonts w:ascii="Times New Roman" w:hAnsi="Times New Roman" w:cs="Times New Roman"/>
                <w:sz w:val="24"/>
                <w:szCs w:val="24"/>
                <w:highlight w:val="yellow"/>
              </w:rPr>
            </w:pPr>
            <w:r w:rsidRPr="00BC155F">
              <w:rPr>
                <w:rFonts w:ascii="Times New Roman" w:hAnsi="Times New Roman" w:cs="Times New Roman"/>
                <w:sz w:val="24"/>
                <w:szCs w:val="24"/>
              </w:rPr>
              <w:t>t&lt;1</w:t>
            </w:r>
          </w:p>
        </w:tc>
      </w:tr>
      <w:tr w:rsidR="00A606F8" w14:paraId="652BA553" w14:textId="77777777" w:rsidTr="008C31D9">
        <w:tc>
          <w:tcPr>
            <w:tcW w:w="3584" w:type="dxa"/>
          </w:tcPr>
          <w:p w14:paraId="2ADD896D" w14:textId="77777777" w:rsidR="00A606F8"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Female Gender</w:t>
            </w:r>
          </w:p>
        </w:tc>
        <w:tc>
          <w:tcPr>
            <w:tcW w:w="1790" w:type="dxa"/>
          </w:tcPr>
          <w:p w14:paraId="0FEDD246" w14:textId="77777777" w:rsidR="00A606F8" w:rsidRPr="002F0527" w:rsidRDefault="00A606F8" w:rsidP="008C31D9">
            <w:pPr>
              <w:pStyle w:val="NoSpacing"/>
              <w:spacing w:line="360" w:lineRule="auto"/>
              <w:rPr>
                <w:rFonts w:ascii="Times New Roman" w:hAnsi="Times New Roman" w:cs="Times New Roman"/>
                <w:sz w:val="24"/>
                <w:szCs w:val="24"/>
              </w:rPr>
            </w:pPr>
            <w:r w:rsidRPr="00352286">
              <w:rPr>
                <w:rFonts w:ascii="Times New Roman" w:hAnsi="Times New Roman" w:cs="Times New Roman"/>
                <w:sz w:val="24"/>
                <w:szCs w:val="24"/>
              </w:rPr>
              <w:t>30/</w:t>
            </w:r>
            <w:r>
              <w:rPr>
                <w:rFonts w:ascii="Times New Roman" w:hAnsi="Times New Roman" w:cs="Times New Roman"/>
                <w:sz w:val="24"/>
                <w:szCs w:val="24"/>
              </w:rPr>
              <w:t>40</w:t>
            </w:r>
            <w:r w:rsidRPr="00352286">
              <w:rPr>
                <w:rFonts w:ascii="Times New Roman" w:hAnsi="Times New Roman" w:cs="Times New Roman"/>
                <w:sz w:val="24"/>
                <w:szCs w:val="24"/>
              </w:rPr>
              <w:t xml:space="preserve"> (7</w:t>
            </w:r>
            <w:r>
              <w:rPr>
                <w:rFonts w:ascii="Times New Roman" w:hAnsi="Times New Roman" w:cs="Times New Roman"/>
                <w:sz w:val="24"/>
                <w:szCs w:val="24"/>
              </w:rPr>
              <w:t>5</w:t>
            </w:r>
            <w:r w:rsidRPr="00352286">
              <w:rPr>
                <w:rFonts w:ascii="Times New Roman" w:hAnsi="Times New Roman" w:cs="Times New Roman"/>
                <w:sz w:val="24"/>
                <w:szCs w:val="24"/>
              </w:rPr>
              <w:t>%)</w:t>
            </w:r>
          </w:p>
        </w:tc>
        <w:tc>
          <w:tcPr>
            <w:tcW w:w="2016" w:type="dxa"/>
          </w:tcPr>
          <w:p w14:paraId="31A87955" w14:textId="77777777" w:rsidR="00A606F8" w:rsidRPr="00CA73EC" w:rsidRDefault="00A606F8" w:rsidP="008C31D9">
            <w:pPr>
              <w:pStyle w:val="NoSpacing"/>
              <w:spacing w:line="360" w:lineRule="auto"/>
              <w:rPr>
                <w:rFonts w:ascii="Times New Roman" w:hAnsi="Times New Roman" w:cs="Times New Roman"/>
                <w:sz w:val="24"/>
                <w:szCs w:val="24"/>
              </w:rPr>
            </w:pPr>
            <w:r w:rsidRPr="00CA73EC">
              <w:rPr>
                <w:rFonts w:ascii="Times New Roman" w:hAnsi="Times New Roman" w:cs="Times New Roman"/>
                <w:sz w:val="24"/>
                <w:szCs w:val="24"/>
              </w:rPr>
              <w:t>3</w:t>
            </w:r>
            <w:r>
              <w:rPr>
                <w:rFonts w:ascii="Times New Roman" w:hAnsi="Times New Roman" w:cs="Times New Roman"/>
                <w:sz w:val="24"/>
                <w:szCs w:val="24"/>
              </w:rPr>
              <w:t>0</w:t>
            </w:r>
            <w:r w:rsidRPr="00CA73EC">
              <w:rPr>
                <w:rFonts w:ascii="Times New Roman" w:hAnsi="Times New Roman" w:cs="Times New Roman"/>
                <w:sz w:val="24"/>
                <w:szCs w:val="24"/>
              </w:rPr>
              <w:t>/</w:t>
            </w:r>
            <w:r>
              <w:rPr>
                <w:rFonts w:ascii="Times New Roman" w:hAnsi="Times New Roman" w:cs="Times New Roman"/>
                <w:sz w:val="24"/>
                <w:szCs w:val="24"/>
              </w:rPr>
              <w:t>40</w:t>
            </w:r>
            <w:r w:rsidRPr="00CA73EC">
              <w:rPr>
                <w:rFonts w:ascii="Times New Roman" w:hAnsi="Times New Roman" w:cs="Times New Roman"/>
                <w:sz w:val="24"/>
                <w:szCs w:val="24"/>
              </w:rPr>
              <w:t xml:space="preserve"> (7</w:t>
            </w:r>
            <w:r>
              <w:rPr>
                <w:rFonts w:ascii="Times New Roman" w:hAnsi="Times New Roman" w:cs="Times New Roman"/>
                <w:sz w:val="24"/>
                <w:szCs w:val="24"/>
              </w:rPr>
              <w:t>5</w:t>
            </w:r>
            <w:r w:rsidRPr="00CA73EC">
              <w:rPr>
                <w:rFonts w:ascii="Times New Roman" w:hAnsi="Times New Roman" w:cs="Times New Roman"/>
                <w:sz w:val="24"/>
                <w:szCs w:val="24"/>
              </w:rPr>
              <w:t>%)</w:t>
            </w:r>
          </w:p>
        </w:tc>
        <w:tc>
          <w:tcPr>
            <w:tcW w:w="1920" w:type="dxa"/>
          </w:tcPr>
          <w:p w14:paraId="27438AAC" w14:textId="77777777" w:rsidR="00A606F8" w:rsidRPr="00DA07B7" w:rsidRDefault="00A606F8" w:rsidP="008C31D9">
            <w:pPr>
              <w:pStyle w:val="NoSpacing"/>
              <w:spacing w:line="360" w:lineRule="auto"/>
              <w:rPr>
                <w:rFonts w:ascii="Times New Roman" w:hAnsi="Times New Roman" w:cs="Times New Roman"/>
                <w:sz w:val="24"/>
                <w:szCs w:val="24"/>
                <w:highlight w:val="yellow"/>
              </w:rPr>
            </w:pPr>
            <w:r w:rsidRPr="003C4315">
              <w:rPr>
                <w:rFonts w:ascii="Times New Roman" w:hAnsi="Times New Roman" w:cs="Times New Roman"/>
                <w:sz w:val="24"/>
                <w:szCs w:val="24"/>
              </w:rPr>
              <w:t>χ</w:t>
            </w:r>
            <w:r w:rsidRPr="003C4315">
              <w:rPr>
                <w:rFonts w:ascii="Times New Roman" w:hAnsi="Times New Roman" w:cs="Times New Roman"/>
                <w:sz w:val="24"/>
                <w:szCs w:val="24"/>
                <w:vertAlign w:val="superscript"/>
              </w:rPr>
              <w:t>2</w:t>
            </w:r>
            <w:r>
              <w:rPr>
                <w:rFonts w:ascii="Times New Roman" w:hAnsi="Times New Roman" w:cs="Times New Roman"/>
                <w:sz w:val="24"/>
                <w:szCs w:val="24"/>
              </w:rPr>
              <w:t>&lt;1</w:t>
            </w:r>
          </w:p>
        </w:tc>
      </w:tr>
      <w:tr w:rsidR="00A606F8" w14:paraId="5E698AEC" w14:textId="77777777" w:rsidTr="008C31D9">
        <w:tc>
          <w:tcPr>
            <w:tcW w:w="3584" w:type="dxa"/>
          </w:tcPr>
          <w:p w14:paraId="56724DDF" w14:textId="77777777" w:rsidR="00A606F8"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Taking psychotropic medication</w:t>
            </w:r>
          </w:p>
        </w:tc>
        <w:tc>
          <w:tcPr>
            <w:tcW w:w="1790" w:type="dxa"/>
          </w:tcPr>
          <w:p w14:paraId="7A22535A" w14:textId="77777777" w:rsidR="00A606F8" w:rsidRPr="002F0527" w:rsidRDefault="00A606F8" w:rsidP="008C31D9">
            <w:pPr>
              <w:pStyle w:val="NoSpacing"/>
              <w:spacing w:line="360" w:lineRule="auto"/>
              <w:rPr>
                <w:rFonts w:ascii="Times New Roman" w:hAnsi="Times New Roman" w:cs="Times New Roman"/>
                <w:sz w:val="24"/>
                <w:szCs w:val="24"/>
              </w:rPr>
            </w:pPr>
            <w:r w:rsidRPr="00352286">
              <w:rPr>
                <w:rFonts w:ascii="Times New Roman" w:hAnsi="Times New Roman" w:cs="Times New Roman"/>
                <w:sz w:val="24"/>
                <w:szCs w:val="24"/>
              </w:rPr>
              <w:t>17/</w:t>
            </w:r>
            <w:r>
              <w:rPr>
                <w:rFonts w:ascii="Times New Roman" w:hAnsi="Times New Roman" w:cs="Times New Roman"/>
                <w:sz w:val="24"/>
                <w:szCs w:val="24"/>
              </w:rPr>
              <w:t>40</w:t>
            </w:r>
            <w:r w:rsidRPr="00352286">
              <w:rPr>
                <w:rFonts w:ascii="Times New Roman" w:hAnsi="Times New Roman" w:cs="Times New Roman"/>
                <w:sz w:val="24"/>
                <w:szCs w:val="24"/>
              </w:rPr>
              <w:t xml:space="preserve"> (4</w:t>
            </w:r>
            <w:r>
              <w:rPr>
                <w:rFonts w:ascii="Times New Roman" w:hAnsi="Times New Roman" w:cs="Times New Roman"/>
                <w:sz w:val="24"/>
                <w:szCs w:val="24"/>
              </w:rPr>
              <w:t>3</w:t>
            </w:r>
            <w:r w:rsidRPr="00352286">
              <w:rPr>
                <w:rFonts w:ascii="Times New Roman" w:hAnsi="Times New Roman" w:cs="Times New Roman"/>
                <w:sz w:val="24"/>
                <w:szCs w:val="24"/>
              </w:rPr>
              <w:t>%)</w:t>
            </w:r>
          </w:p>
        </w:tc>
        <w:tc>
          <w:tcPr>
            <w:tcW w:w="2016" w:type="dxa"/>
          </w:tcPr>
          <w:p w14:paraId="11E4A0C1" w14:textId="77777777" w:rsidR="00A606F8" w:rsidRPr="00CA73EC" w:rsidRDefault="00A606F8" w:rsidP="008C31D9">
            <w:pPr>
              <w:pStyle w:val="NoSpacing"/>
              <w:spacing w:line="360" w:lineRule="auto"/>
              <w:rPr>
                <w:rFonts w:ascii="Times New Roman" w:hAnsi="Times New Roman" w:cs="Times New Roman"/>
                <w:sz w:val="24"/>
                <w:szCs w:val="24"/>
              </w:rPr>
            </w:pPr>
            <w:r w:rsidRPr="00CA73EC">
              <w:rPr>
                <w:rFonts w:ascii="Times New Roman" w:hAnsi="Times New Roman" w:cs="Times New Roman"/>
                <w:sz w:val="24"/>
                <w:szCs w:val="24"/>
              </w:rPr>
              <w:t>1</w:t>
            </w:r>
            <w:r>
              <w:rPr>
                <w:rFonts w:ascii="Times New Roman" w:hAnsi="Times New Roman" w:cs="Times New Roman"/>
                <w:sz w:val="24"/>
                <w:szCs w:val="24"/>
              </w:rPr>
              <w:t>4</w:t>
            </w:r>
            <w:r w:rsidRPr="00CA73EC">
              <w:rPr>
                <w:rFonts w:ascii="Times New Roman" w:hAnsi="Times New Roman" w:cs="Times New Roman"/>
                <w:sz w:val="24"/>
                <w:szCs w:val="24"/>
              </w:rPr>
              <w:t>/</w:t>
            </w:r>
            <w:r>
              <w:rPr>
                <w:rFonts w:ascii="Times New Roman" w:hAnsi="Times New Roman" w:cs="Times New Roman"/>
                <w:sz w:val="24"/>
                <w:szCs w:val="24"/>
              </w:rPr>
              <w:t>40</w:t>
            </w:r>
            <w:r w:rsidRPr="00CA73EC">
              <w:rPr>
                <w:rFonts w:ascii="Times New Roman" w:hAnsi="Times New Roman" w:cs="Times New Roman"/>
                <w:sz w:val="24"/>
                <w:szCs w:val="24"/>
              </w:rPr>
              <w:t xml:space="preserve"> (3</w:t>
            </w:r>
            <w:r>
              <w:rPr>
                <w:rFonts w:ascii="Times New Roman" w:hAnsi="Times New Roman" w:cs="Times New Roman"/>
                <w:sz w:val="24"/>
                <w:szCs w:val="24"/>
              </w:rPr>
              <w:t>5</w:t>
            </w:r>
            <w:r w:rsidRPr="00CA73EC">
              <w:rPr>
                <w:rFonts w:ascii="Times New Roman" w:hAnsi="Times New Roman" w:cs="Times New Roman"/>
                <w:sz w:val="24"/>
                <w:szCs w:val="24"/>
              </w:rPr>
              <w:t>%)</w:t>
            </w:r>
          </w:p>
        </w:tc>
        <w:tc>
          <w:tcPr>
            <w:tcW w:w="1920" w:type="dxa"/>
          </w:tcPr>
          <w:p w14:paraId="0AF7C5BD" w14:textId="77777777" w:rsidR="00A606F8" w:rsidRPr="00DA07B7" w:rsidRDefault="00A606F8" w:rsidP="008C31D9">
            <w:pPr>
              <w:pStyle w:val="NoSpacing"/>
              <w:spacing w:line="360" w:lineRule="auto"/>
              <w:rPr>
                <w:rFonts w:ascii="Times New Roman" w:hAnsi="Times New Roman" w:cs="Times New Roman"/>
                <w:sz w:val="24"/>
                <w:szCs w:val="24"/>
                <w:highlight w:val="yellow"/>
              </w:rPr>
            </w:pPr>
            <w:r w:rsidRPr="00FB31D7">
              <w:rPr>
                <w:rFonts w:ascii="Times New Roman" w:hAnsi="Times New Roman" w:cs="Times New Roman"/>
                <w:sz w:val="24"/>
                <w:szCs w:val="24"/>
              </w:rPr>
              <w:t>χ</w:t>
            </w:r>
            <w:r w:rsidRPr="00FB31D7">
              <w:rPr>
                <w:rFonts w:ascii="Times New Roman" w:hAnsi="Times New Roman" w:cs="Times New Roman"/>
                <w:sz w:val="24"/>
                <w:szCs w:val="24"/>
                <w:vertAlign w:val="superscript"/>
              </w:rPr>
              <w:t>2</w:t>
            </w:r>
            <w:r w:rsidRPr="00FB31D7">
              <w:rPr>
                <w:rFonts w:ascii="Times New Roman" w:hAnsi="Times New Roman" w:cs="Times New Roman"/>
                <w:sz w:val="24"/>
                <w:szCs w:val="24"/>
              </w:rPr>
              <w:t>&lt;1</w:t>
            </w:r>
          </w:p>
        </w:tc>
      </w:tr>
      <w:tr w:rsidR="00A606F8" w14:paraId="53C7FAA8" w14:textId="77777777" w:rsidTr="008C31D9">
        <w:tc>
          <w:tcPr>
            <w:tcW w:w="3584" w:type="dxa"/>
          </w:tcPr>
          <w:p w14:paraId="12036078" w14:textId="77777777" w:rsidR="00A606F8"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Time since loss (months)</w:t>
            </w:r>
            <w:r w:rsidRPr="00A8283E">
              <w:rPr>
                <w:rFonts w:ascii="Times New Roman" w:hAnsi="Times New Roman" w:cs="Times New Roman"/>
                <w:sz w:val="24"/>
                <w:szCs w:val="24"/>
                <w:vertAlign w:val="superscript"/>
              </w:rPr>
              <w:t>a</w:t>
            </w:r>
          </w:p>
        </w:tc>
        <w:tc>
          <w:tcPr>
            <w:tcW w:w="1790" w:type="dxa"/>
          </w:tcPr>
          <w:p w14:paraId="2698A22E" w14:textId="77777777" w:rsidR="00A606F8" w:rsidRPr="002F0527"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69</w:t>
            </w:r>
            <w:r w:rsidRPr="00352286">
              <w:rPr>
                <w:rFonts w:ascii="Times New Roman" w:hAnsi="Times New Roman" w:cs="Times New Roman"/>
                <w:sz w:val="24"/>
                <w:szCs w:val="24"/>
              </w:rPr>
              <w:t>.</w:t>
            </w:r>
            <w:r>
              <w:rPr>
                <w:rFonts w:ascii="Times New Roman" w:hAnsi="Times New Roman" w:cs="Times New Roman"/>
                <w:sz w:val="24"/>
                <w:szCs w:val="24"/>
              </w:rPr>
              <w:t>90</w:t>
            </w:r>
            <w:r w:rsidRPr="00352286">
              <w:rPr>
                <w:rFonts w:ascii="Times New Roman" w:hAnsi="Times New Roman" w:cs="Times New Roman"/>
                <w:sz w:val="24"/>
                <w:szCs w:val="24"/>
              </w:rPr>
              <w:t xml:space="preserve"> (10</w:t>
            </w:r>
            <w:r>
              <w:rPr>
                <w:rFonts w:ascii="Times New Roman" w:hAnsi="Times New Roman" w:cs="Times New Roman"/>
                <w:sz w:val="24"/>
                <w:szCs w:val="24"/>
              </w:rPr>
              <w:t>0.78</w:t>
            </w:r>
            <w:r w:rsidRPr="00352286">
              <w:rPr>
                <w:rFonts w:ascii="Times New Roman" w:hAnsi="Times New Roman" w:cs="Times New Roman"/>
                <w:sz w:val="24"/>
                <w:szCs w:val="24"/>
              </w:rPr>
              <w:t>)</w:t>
            </w:r>
          </w:p>
        </w:tc>
        <w:tc>
          <w:tcPr>
            <w:tcW w:w="2016" w:type="dxa"/>
          </w:tcPr>
          <w:p w14:paraId="4892763C" w14:textId="77777777" w:rsidR="00A606F8" w:rsidRPr="00DA07B7" w:rsidRDefault="00A606F8" w:rsidP="008C31D9">
            <w:pPr>
              <w:pStyle w:val="NoSpacing"/>
              <w:spacing w:line="360" w:lineRule="auto"/>
              <w:rPr>
                <w:rFonts w:ascii="Times New Roman" w:hAnsi="Times New Roman" w:cs="Times New Roman"/>
                <w:sz w:val="24"/>
                <w:szCs w:val="24"/>
                <w:highlight w:val="yellow"/>
              </w:rPr>
            </w:pPr>
            <w:r>
              <w:rPr>
                <w:rFonts w:ascii="Times New Roman" w:hAnsi="Times New Roman" w:cs="Times New Roman"/>
                <w:sz w:val="24"/>
                <w:szCs w:val="24"/>
              </w:rPr>
              <w:t>92.77</w:t>
            </w:r>
            <w:r w:rsidRPr="00E042CB">
              <w:rPr>
                <w:rFonts w:ascii="Times New Roman" w:hAnsi="Times New Roman" w:cs="Times New Roman"/>
                <w:sz w:val="24"/>
                <w:szCs w:val="24"/>
              </w:rPr>
              <w:t xml:space="preserve"> (1</w:t>
            </w:r>
            <w:r>
              <w:rPr>
                <w:rFonts w:ascii="Times New Roman" w:hAnsi="Times New Roman" w:cs="Times New Roman"/>
                <w:sz w:val="24"/>
                <w:szCs w:val="24"/>
              </w:rPr>
              <w:t>33</w:t>
            </w:r>
            <w:r w:rsidRPr="00E042CB">
              <w:rPr>
                <w:rFonts w:ascii="Times New Roman" w:hAnsi="Times New Roman" w:cs="Times New Roman"/>
                <w:sz w:val="24"/>
                <w:szCs w:val="24"/>
              </w:rPr>
              <w:t>.</w:t>
            </w:r>
            <w:r>
              <w:rPr>
                <w:rFonts w:ascii="Times New Roman" w:hAnsi="Times New Roman" w:cs="Times New Roman"/>
                <w:sz w:val="24"/>
                <w:szCs w:val="24"/>
              </w:rPr>
              <w:t>28</w:t>
            </w:r>
            <w:r w:rsidRPr="00E042CB">
              <w:rPr>
                <w:rFonts w:ascii="Times New Roman" w:hAnsi="Times New Roman" w:cs="Times New Roman"/>
                <w:sz w:val="24"/>
                <w:szCs w:val="24"/>
              </w:rPr>
              <w:t xml:space="preserve">) </w:t>
            </w:r>
          </w:p>
        </w:tc>
        <w:tc>
          <w:tcPr>
            <w:tcW w:w="1920" w:type="dxa"/>
          </w:tcPr>
          <w:p w14:paraId="35CEA620" w14:textId="77777777" w:rsidR="00A606F8" w:rsidRPr="00DA07B7" w:rsidRDefault="00A606F8" w:rsidP="008C31D9">
            <w:pPr>
              <w:pStyle w:val="NoSpacing"/>
              <w:spacing w:line="360" w:lineRule="auto"/>
              <w:rPr>
                <w:rFonts w:ascii="Times New Roman" w:hAnsi="Times New Roman" w:cs="Times New Roman"/>
                <w:sz w:val="24"/>
                <w:szCs w:val="24"/>
                <w:highlight w:val="yellow"/>
              </w:rPr>
            </w:pPr>
            <w:r w:rsidRPr="00094797">
              <w:rPr>
                <w:rFonts w:ascii="Times New Roman" w:hAnsi="Times New Roman" w:cs="Times New Roman"/>
                <w:sz w:val="24"/>
                <w:szCs w:val="24"/>
              </w:rPr>
              <w:t>t&lt;1</w:t>
            </w:r>
          </w:p>
        </w:tc>
      </w:tr>
      <w:tr w:rsidR="00A606F8" w14:paraId="1C7ED532" w14:textId="77777777" w:rsidTr="008C31D9">
        <w:tc>
          <w:tcPr>
            <w:tcW w:w="3584" w:type="dxa"/>
          </w:tcPr>
          <w:p w14:paraId="39E7E17D" w14:textId="77777777" w:rsidR="00A606F8"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PHQ-9 depression</w:t>
            </w:r>
          </w:p>
        </w:tc>
        <w:tc>
          <w:tcPr>
            <w:tcW w:w="1790" w:type="dxa"/>
          </w:tcPr>
          <w:p w14:paraId="0FC245D0" w14:textId="77777777" w:rsidR="00A606F8" w:rsidRPr="002F0527" w:rsidRDefault="00A606F8" w:rsidP="008C31D9">
            <w:pPr>
              <w:pStyle w:val="NoSpacing"/>
              <w:spacing w:line="360" w:lineRule="auto"/>
              <w:rPr>
                <w:rFonts w:ascii="Times New Roman" w:hAnsi="Times New Roman" w:cs="Times New Roman"/>
                <w:sz w:val="24"/>
                <w:szCs w:val="24"/>
              </w:rPr>
            </w:pPr>
            <w:r w:rsidRPr="00352286">
              <w:rPr>
                <w:rFonts w:ascii="Times New Roman" w:hAnsi="Times New Roman" w:cs="Times New Roman"/>
                <w:sz w:val="24"/>
                <w:szCs w:val="24"/>
              </w:rPr>
              <w:t>15.5</w:t>
            </w:r>
            <w:r>
              <w:rPr>
                <w:rFonts w:ascii="Times New Roman" w:hAnsi="Times New Roman" w:cs="Times New Roman"/>
                <w:sz w:val="24"/>
                <w:szCs w:val="24"/>
              </w:rPr>
              <w:t>8</w:t>
            </w:r>
            <w:r w:rsidRPr="00352286">
              <w:rPr>
                <w:rFonts w:ascii="Times New Roman" w:hAnsi="Times New Roman" w:cs="Times New Roman"/>
                <w:sz w:val="24"/>
                <w:szCs w:val="24"/>
              </w:rPr>
              <w:t xml:space="preserve"> (4.</w:t>
            </w:r>
            <w:r>
              <w:rPr>
                <w:rFonts w:ascii="Times New Roman" w:hAnsi="Times New Roman" w:cs="Times New Roman"/>
                <w:sz w:val="24"/>
                <w:szCs w:val="24"/>
              </w:rPr>
              <w:t>08</w:t>
            </w:r>
            <w:r w:rsidRPr="00352286">
              <w:rPr>
                <w:rFonts w:ascii="Times New Roman" w:hAnsi="Times New Roman" w:cs="Times New Roman"/>
                <w:sz w:val="24"/>
                <w:szCs w:val="24"/>
              </w:rPr>
              <w:t>)</w:t>
            </w:r>
          </w:p>
        </w:tc>
        <w:tc>
          <w:tcPr>
            <w:tcW w:w="2016" w:type="dxa"/>
          </w:tcPr>
          <w:p w14:paraId="2AFD0864" w14:textId="77777777" w:rsidR="00A606F8" w:rsidRPr="004557F7"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14.80</w:t>
            </w:r>
            <w:r w:rsidRPr="004557F7">
              <w:rPr>
                <w:rFonts w:ascii="Times New Roman" w:hAnsi="Times New Roman" w:cs="Times New Roman"/>
                <w:sz w:val="24"/>
                <w:szCs w:val="24"/>
              </w:rPr>
              <w:t xml:space="preserve"> (</w:t>
            </w:r>
            <w:r>
              <w:rPr>
                <w:rFonts w:ascii="Times New Roman" w:hAnsi="Times New Roman" w:cs="Times New Roman"/>
                <w:sz w:val="24"/>
                <w:szCs w:val="24"/>
              </w:rPr>
              <w:t>4.44</w:t>
            </w:r>
            <w:r w:rsidRPr="004557F7">
              <w:rPr>
                <w:rFonts w:ascii="Times New Roman" w:hAnsi="Times New Roman" w:cs="Times New Roman"/>
                <w:sz w:val="24"/>
                <w:szCs w:val="24"/>
              </w:rPr>
              <w:t>)</w:t>
            </w:r>
          </w:p>
        </w:tc>
        <w:tc>
          <w:tcPr>
            <w:tcW w:w="1920" w:type="dxa"/>
          </w:tcPr>
          <w:p w14:paraId="4837B746" w14:textId="77777777" w:rsidR="00A606F8" w:rsidRPr="00DA07B7" w:rsidRDefault="00A606F8" w:rsidP="008C31D9">
            <w:pPr>
              <w:pStyle w:val="NoSpacing"/>
              <w:spacing w:line="360" w:lineRule="auto"/>
              <w:rPr>
                <w:rFonts w:ascii="Times New Roman" w:hAnsi="Times New Roman" w:cs="Times New Roman"/>
                <w:sz w:val="24"/>
                <w:szCs w:val="24"/>
                <w:highlight w:val="yellow"/>
              </w:rPr>
            </w:pPr>
            <w:r w:rsidRPr="002771DA">
              <w:rPr>
                <w:rFonts w:ascii="Times New Roman" w:hAnsi="Times New Roman" w:cs="Times New Roman"/>
                <w:sz w:val="24"/>
                <w:szCs w:val="24"/>
              </w:rPr>
              <w:t>t</w:t>
            </w:r>
            <w:r>
              <w:rPr>
                <w:rFonts w:ascii="Times New Roman" w:hAnsi="Times New Roman" w:cs="Times New Roman"/>
                <w:sz w:val="24"/>
                <w:szCs w:val="24"/>
              </w:rPr>
              <w:t>&lt;1</w:t>
            </w:r>
          </w:p>
        </w:tc>
      </w:tr>
      <w:tr w:rsidR="00A606F8" w14:paraId="58A97C3C" w14:textId="77777777" w:rsidTr="008C31D9">
        <w:tc>
          <w:tcPr>
            <w:tcW w:w="3584" w:type="dxa"/>
          </w:tcPr>
          <w:p w14:paraId="48C58DB2" w14:textId="77777777" w:rsidR="00A606F8"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GAD-7 anxiety</w:t>
            </w:r>
          </w:p>
        </w:tc>
        <w:tc>
          <w:tcPr>
            <w:tcW w:w="1790" w:type="dxa"/>
          </w:tcPr>
          <w:p w14:paraId="5DD9B7C9" w14:textId="77777777" w:rsidR="00A606F8" w:rsidRPr="002F0527" w:rsidRDefault="00A606F8" w:rsidP="008C31D9">
            <w:pPr>
              <w:pStyle w:val="NoSpacing"/>
              <w:spacing w:line="360" w:lineRule="auto"/>
              <w:rPr>
                <w:rFonts w:ascii="Times New Roman" w:hAnsi="Times New Roman" w:cs="Times New Roman"/>
                <w:sz w:val="24"/>
                <w:szCs w:val="24"/>
              </w:rPr>
            </w:pPr>
            <w:r w:rsidRPr="00352286">
              <w:rPr>
                <w:rFonts w:ascii="Times New Roman" w:hAnsi="Times New Roman" w:cs="Times New Roman"/>
                <w:sz w:val="24"/>
                <w:szCs w:val="24"/>
              </w:rPr>
              <w:t>14.</w:t>
            </w:r>
            <w:r>
              <w:rPr>
                <w:rFonts w:ascii="Times New Roman" w:hAnsi="Times New Roman" w:cs="Times New Roman"/>
                <w:sz w:val="24"/>
                <w:szCs w:val="24"/>
              </w:rPr>
              <w:t>65</w:t>
            </w:r>
            <w:r w:rsidRPr="00352286">
              <w:rPr>
                <w:rFonts w:ascii="Times New Roman" w:hAnsi="Times New Roman" w:cs="Times New Roman"/>
                <w:sz w:val="24"/>
                <w:szCs w:val="24"/>
              </w:rPr>
              <w:t xml:space="preserve"> (4.4</w:t>
            </w:r>
            <w:r>
              <w:rPr>
                <w:rFonts w:ascii="Times New Roman" w:hAnsi="Times New Roman" w:cs="Times New Roman"/>
                <w:sz w:val="24"/>
                <w:szCs w:val="24"/>
              </w:rPr>
              <w:t>8</w:t>
            </w:r>
            <w:r w:rsidRPr="00352286">
              <w:rPr>
                <w:rFonts w:ascii="Times New Roman" w:hAnsi="Times New Roman" w:cs="Times New Roman"/>
                <w:sz w:val="24"/>
                <w:szCs w:val="24"/>
              </w:rPr>
              <w:t>)</w:t>
            </w:r>
          </w:p>
        </w:tc>
        <w:tc>
          <w:tcPr>
            <w:tcW w:w="2016" w:type="dxa"/>
          </w:tcPr>
          <w:p w14:paraId="046C76DC" w14:textId="77777777" w:rsidR="00A606F8" w:rsidRPr="004557F7"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11.23</w:t>
            </w:r>
            <w:r w:rsidRPr="004557F7">
              <w:rPr>
                <w:rFonts w:ascii="Times New Roman" w:hAnsi="Times New Roman" w:cs="Times New Roman"/>
                <w:sz w:val="24"/>
                <w:szCs w:val="24"/>
              </w:rPr>
              <w:t xml:space="preserve"> (</w:t>
            </w:r>
            <w:r>
              <w:rPr>
                <w:rFonts w:ascii="Times New Roman" w:hAnsi="Times New Roman" w:cs="Times New Roman"/>
                <w:sz w:val="24"/>
                <w:szCs w:val="24"/>
              </w:rPr>
              <w:t>4.81</w:t>
            </w:r>
            <w:r w:rsidRPr="004557F7">
              <w:rPr>
                <w:rFonts w:ascii="Times New Roman" w:hAnsi="Times New Roman" w:cs="Times New Roman"/>
                <w:sz w:val="24"/>
                <w:szCs w:val="24"/>
              </w:rPr>
              <w:t>)</w:t>
            </w:r>
          </w:p>
        </w:tc>
        <w:tc>
          <w:tcPr>
            <w:tcW w:w="1920" w:type="dxa"/>
          </w:tcPr>
          <w:p w14:paraId="50188B6C" w14:textId="77777777" w:rsidR="00A606F8" w:rsidRPr="00094797" w:rsidRDefault="00A606F8" w:rsidP="008C31D9">
            <w:pPr>
              <w:pStyle w:val="NoSpacing"/>
              <w:spacing w:line="360" w:lineRule="auto"/>
              <w:rPr>
                <w:rFonts w:ascii="Times New Roman" w:hAnsi="Times New Roman" w:cs="Times New Roman"/>
                <w:sz w:val="24"/>
                <w:szCs w:val="24"/>
              </w:rPr>
            </w:pPr>
            <w:r w:rsidRPr="00094797">
              <w:rPr>
                <w:rFonts w:ascii="Times New Roman" w:hAnsi="Times New Roman" w:cs="Times New Roman"/>
                <w:sz w:val="24"/>
                <w:szCs w:val="24"/>
              </w:rPr>
              <w:t>t=</w:t>
            </w:r>
            <w:r>
              <w:rPr>
                <w:rFonts w:ascii="Times New Roman" w:hAnsi="Times New Roman" w:cs="Times New Roman"/>
                <w:sz w:val="24"/>
                <w:szCs w:val="24"/>
              </w:rPr>
              <w:t>3.30</w:t>
            </w:r>
            <w:r w:rsidRPr="00094797">
              <w:rPr>
                <w:rFonts w:ascii="Times New Roman" w:hAnsi="Times New Roman" w:cs="Times New Roman"/>
                <w:sz w:val="24"/>
                <w:szCs w:val="24"/>
              </w:rPr>
              <w:t>, p</w:t>
            </w:r>
            <w:r>
              <w:rPr>
                <w:rFonts w:ascii="Times New Roman" w:hAnsi="Times New Roman" w:cs="Times New Roman"/>
                <w:sz w:val="24"/>
                <w:szCs w:val="24"/>
              </w:rPr>
              <w:t>=</w:t>
            </w:r>
            <w:r w:rsidRPr="00094797">
              <w:rPr>
                <w:rFonts w:ascii="Times New Roman" w:hAnsi="Times New Roman" w:cs="Times New Roman"/>
                <w:sz w:val="24"/>
                <w:szCs w:val="24"/>
              </w:rPr>
              <w:t>.001</w:t>
            </w:r>
          </w:p>
        </w:tc>
      </w:tr>
      <w:tr w:rsidR="00A606F8" w14:paraId="0152E124" w14:textId="77777777" w:rsidTr="008C31D9">
        <w:tc>
          <w:tcPr>
            <w:tcW w:w="3584" w:type="dxa"/>
          </w:tcPr>
          <w:p w14:paraId="790FE701" w14:textId="77777777" w:rsidR="00A606F8"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WSAS functioning</w:t>
            </w:r>
          </w:p>
        </w:tc>
        <w:tc>
          <w:tcPr>
            <w:tcW w:w="1790" w:type="dxa"/>
          </w:tcPr>
          <w:p w14:paraId="721E1010" w14:textId="77777777" w:rsidR="00A606F8" w:rsidRPr="002F0527" w:rsidRDefault="00A606F8" w:rsidP="008C31D9">
            <w:pPr>
              <w:pStyle w:val="NoSpacing"/>
              <w:spacing w:line="360" w:lineRule="auto"/>
              <w:rPr>
                <w:rFonts w:ascii="Times New Roman" w:hAnsi="Times New Roman" w:cs="Times New Roman"/>
                <w:sz w:val="24"/>
                <w:szCs w:val="24"/>
              </w:rPr>
            </w:pPr>
            <w:r w:rsidRPr="00352286">
              <w:rPr>
                <w:rFonts w:ascii="Times New Roman" w:hAnsi="Times New Roman" w:cs="Times New Roman"/>
                <w:sz w:val="24"/>
                <w:szCs w:val="24"/>
              </w:rPr>
              <w:t>2</w:t>
            </w:r>
            <w:r>
              <w:rPr>
                <w:rFonts w:ascii="Times New Roman" w:hAnsi="Times New Roman" w:cs="Times New Roman"/>
                <w:sz w:val="24"/>
                <w:szCs w:val="24"/>
              </w:rPr>
              <w:t>0</w:t>
            </w:r>
            <w:r w:rsidRPr="00352286">
              <w:rPr>
                <w:rFonts w:ascii="Times New Roman" w:hAnsi="Times New Roman" w:cs="Times New Roman"/>
                <w:sz w:val="24"/>
                <w:szCs w:val="24"/>
              </w:rPr>
              <w:t>.</w:t>
            </w:r>
            <w:r>
              <w:rPr>
                <w:rFonts w:ascii="Times New Roman" w:hAnsi="Times New Roman" w:cs="Times New Roman"/>
                <w:sz w:val="24"/>
                <w:szCs w:val="24"/>
              </w:rPr>
              <w:t>7</w:t>
            </w:r>
            <w:r w:rsidRPr="00352286">
              <w:rPr>
                <w:rFonts w:ascii="Times New Roman" w:hAnsi="Times New Roman" w:cs="Times New Roman"/>
                <w:sz w:val="24"/>
                <w:szCs w:val="24"/>
              </w:rPr>
              <w:t>3 (</w:t>
            </w:r>
            <w:r>
              <w:rPr>
                <w:rFonts w:ascii="Times New Roman" w:hAnsi="Times New Roman" w:cs="Times New Roman"/>
                <w:sz w:val="24"/>
                <w:szCs w:val="24"/>
              </w:rPr>
              <w:t>8.06</w:t>
            </w:r>
            <w:r w:rsidRPr="00352286">
              <w:rPr>
                <w:rFonts w:ascii="Times New Roman" w:hAnsi="Times New Roman" w:cs="Times New Roman"/>
                <w:sz w:val="24"/>
                <w:szCs w:val="24"/>
              </w:rPr>
              <w:t>)</w:t>
            </w:r>
          </w:p>
        </w:tc>
        <w:tc>
          <w:tcPr>
            <w:tcW w:w="2016" w:type="dxa"/>
          </w:tcPr>
          <w:p w14:paraId="065B3C03" w14:textId="77777777" w:rsidR="00A606F8" w:rsidRPr="004557F7" w:rsidRDefault="00A606F8" w:rsidP="008C31D9">
            <w:pPr>
              <w:pStyle w:val="NoSpacing"/>
              <w:spacing w:line="360" w:lineRule="auto"/>
              <w:rPr>
                <w:rFonts w:ascii="Times New Roman" w:hAnsi="Times New Roman" w:cs="Times New Roman"/>
                <w:sz w:val="24"/>
                <w:szCs w:val="24"/>
              </w:rPr>
            </w:pPr>
            <w:r w:rsidRPr="004557F7">
              <w:rPr>
                <w:rFonts w:ascii="Times New Roman" w:hAnsi="Times New Roman" w:cs="Times New Roman"/>
                <w:sz w:val="24"/>
                <w:szCs w:val="24"/>
              </w:rPr>
              <w:t>1</w:t>
            </w:r>
            <w:r>
              <w:rPr>
                <w:rFonts w:ascii="Times New Roman" w:hAnsi="Times New Roman" w:cs="Times New Roman"/>
                <w:sz w:val="24"/>
                <w:szCs w:val="24"/>
              </w:rPr>
              <w:t>7.85</w:t>
            </w:r>
            <w:r w:rsidRPr="004557F7">
              <w:rPr>
                <w:rFonts w:ascii="Times New Roman" w:hAnsi="Times New Roman" w:cs="Times New Roman"/>
                <w:sz w:val="24"/>
                <w:szCs w:val="24"/>
              </w:rPr>
              <w:t xml:space="preserve"> (</w:t>
            </w:r>
            <w:r>
              <w:rPr>
                <w:rFonts w:ascii="Times New Roman" w:hAnsi="Times New Roman" w:cs="Times New Roman"/>
                <w:sz w:val="24"/>
                <w:szCs w:val="24"/>
              </w:rPr>
              <w:t>7.73</w:t>
            </w:r>
            <w:r w:rsidRPr="004557F7">
              <w:rPr>
                <w:rFonts w:ascii="Times New Roman" w:hAnsi="Times New Roman" w:cs="Times New Roman"/>
                <w:sz w:val="24"/>
                <w:szCs w:val="24"/>
              </w:rPr>
              <w:t>)</w:t>
            </w:r>
          </w:p>
        </w:tc>
        <w:tc>
          <w:tcPr>
            <w:tcW w:w="1920" w:type="dxa"/>
          </w:tcPr>
          <w:p w14:paraId="7519FEDA" w14:textId="77777777" w:rsidR="00A606F8" w:rsidRPr="00094797" w:rsidRDefault="00A606F8" w:rsidP="008C31D9">
            <w:pPr>
              <w:pStyle w:val="NoSpacing"/>
              <w:spacing w:line="360" w:lineRule="auto"/>
              <w:rPr>
                <w:rFonts w:ascii="Times New Roman" w:hAnsi="Times New Roman" w:cs="Times New Roman"/>
                <w:sz w:val="24"/>
                <w:szCs w:val="24"/>
              </w:rPr>
            </w:pPr>
            <w:r w:rsidRPr="00094797">
              <w:rPr>
                <w:rFonts w:ascii="Times New Roman" w:hAnsi="Times New Roman" w:cs="Times New Roman"/>
                <w:sz w:val="24"/>
                <w:szCs w:val="24"/>
              </w:rPr>
              <w:t>t=</w:t>
            </w:r>
            <w:r>
              <w:rPr>
                <w:rFonts w:ascii="Times New Roman" w:hAnsi="Times New Roman" w:cs="Times New Roman"/>
                <w:sz w:val="24"/>
                <w:szCs w:val="24"/>
              </w:rPr>
              <w:t>1.63</w:t>
            </w:r>
            <w:r w:rsidRPr="00094797">
              <w:rPr>
                <w:rFonts w:ascii="Times New Roman" w:hAnsi="Times New Roman" w:cs="Times New Roman"/>
                <w:sz w:val="24"/>
                <w:szCs w:val="24"/>
              </w:rPr>
              <w:t>, p</w:t>
            </w:r>
            <w:r>
              <w:rPr>
                <w:rFonts w:ascii="Times New Roman" w:hAnsi="Times New Roman" w:cs="Times New Roman"/>
                <w:sz w:val="24"/>
                <w:szCs w:val="24"/>
              </w:rPr>
              <w:t>=.11</w:t>
            </w:r>
          </w:p>
        </w:tc>
      </w:tr>
      <w:tr w:rsidR="00A606F8" w14:paraId="106899D3" w14:textId="77777777" w:rsidTr="008C31D9">
        <w:tc>
          <w:tcPr>
            <w:tcW w:w="3584" w:type="dxa"/>
          </w:tcPr>
          <w:p w14:paraId="6393E3F0" w14:textId="77777777" w:rsidR="00A606F8"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BGQ grief </w:t>
            </w:r>
            <w:r w:rsidRPr="002F0527">
              <w:rPr>
                <w:rFonts w:ascii="Times New Roman" w:hAnsi="Times New Roman" w:cs="Times New Roman"/>
                <w:sz w:val="24"/>
                <w:szCs w:val="24"/>
                <w:vertAlign w:val="superscript"/>
              </w:rPr>
              <w:t>b</w:t>
            </w:r>
          </w:p>
        </w:tc>
        <w:tc>
          <w:tcPr>
            <w:tcW w:w="1790" w:type="dxa"/>
          </w:tcPr>
          <w:p w14:paraId="3B9C616E" w14:textId="77777777" w:rsidR="00A606F8" w:rsidRPr="002F0527" w:rsidRDefault="00A606F8" w:rsidP="008C31D9">
            <w:pPr>
              <w:pStyle w:val="NoSpacing"/>
              <w:spacing w:line="360" w:lineRule="auto"/>
              <w:rPr>
                <w:rFonts w:ascii="Times New Roman" w:hAnsi="Times New Roman" w:cs="Times New Roman"/>
                <w:sz w:val="24"/>
                <w:szCs w:val="24"/>
              </w:rPr>
            </w:pPr>
            <w:r w:rsidRPr="00352286">
              <w:rPr>
                <w:rFonts w:ascii="Times New Roman" w:hAnsi="Times New Roman" w:cs="Times New Roman"/>
                <w:sz w:val="24"/>
                <w:szCs w:val="24"/>
              </w:rPr>
              <w:t>8.85 (0.8</w:t>
            </w:r>
            <w:r>
              <w:rPr>
                <w:rFonts w:ascii="Times New Roman" w:hAnsi="Times New Roman" w:cs="Times New Roman"/>
                <w:sz w:val="24"/>
                <w:szCs w:val="24"/>
              </w:rPr>
              <w:t>0</w:t>
            </w:r>
            <w:r w:rsidRPr="00352286">
              <w:rPr>
                <w:rFonts w:ascii="Times New Roman" w:hAnsi="Times New Roman" w:cs="Times New Roman"/>
                <w:sz w:val="24"/>
                <w:szCs w:val="24"/>
              </w:rPr>
              <w:t>)</w:t>
            </w:r>
          </w:p>
        </w:tc>
        <w:tc>
          <w:tcPr>
            <w:tcW w:w="2016" w:type="dxa"/>
          </w:tcPr>
          <w:p w14:paraId="795285D6" w14:textId="77777777" w:rsidR="00A606F8" w:rsidRPr="004557F7"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5.94</w:t>
            </w:r>
            <w:r w:rsidRPr="004557F7">
              <w:rPr>
                <w:rFonts w:ascii="Times New Roman" w:hAnsi="Times New Roman" w:cs="Times New Roman"/>
                <w:sz w:val="24"/>
                <w:szCs w:val="24"/>
              </w:rPr>
              <w:t xml:space="preserve"> (1.</w:t>
            </w:r>
            <w:r>
              <w:rPr>
                <w:rFonts w:ascii="Times New Roman" w:hAnsi="Times New Roman" w:cs="Times New Roman"/>
                <w:sz w:val="24"/>
                <w:szCs w:val="24"/>
              </w:rPr>
              <w:t>39</w:t>
            </w:r>
            <w:r w:rsidRPr="004557F7">
              <w:rPr>
                <w:rFonts w:ascii="Times New Roman" w:hAnsi="Times New Roman" w:cs="Times New Roman"/>
                <w:sz w:val="24"/>
                <w:szCs w:val="24"/>
              </w:rPr>
              <w:t>)</w:t>
            </w:r>
          </w:p>
        </w:tc>
        <w:tc>
          <w:tcPr>
            <w:tcW w:w="1920" w:type="dxa"/>
          </w:tcPr>
          <w:p w14:paraId="6DE54A84" w14:textId="77777777" w:rsidR="00A606F8" w:rsidRPr="00094797" w:rsidRDefault="00A606F8" w:rsidP="008C31D9">
            <w:pPr>
              <w:pStyle w:val="NoSpacing"/>
              <w:spacing w:line="360" w:lineRule="auto"/>
              <w:rPr>
                <w:rFonts w:ascii="Times New Roman" w:hAnsi="Times New Roman" w:cs="Times New Roman"/>
                <w:sz w:val="24"/>
                <w:szCs w:val="24"/>
              </w:rPr>
            </w:pPr>
            <w:r w:rsidRPr="00094797">
              <w:rPr>
                <w:rFonts w:ascii="Times New Roman" w:hAnsi="Times New Roman" w:cs="Times New Roman"/>
                <w:sz w:val="24"/>
                <w:szCs w:val="24"/>
              </w:rPr>
              <w:t>t=</w:t>
            </w:r>
            <w:r>
              <w:rPr>
                <w:rFonts w:ascii="Times New Roman" w:hAnsi="Times New Roman" w:cs="Times New Roman"/>
                <w:sz w:val="24"/>
                <w:szCs w:val="24"/>
              </w:rPr>
              <w:t>10.06</w:t>
            </w:r>
            <w:r w:rsidRPr="00094797">
              <w:rPr>
                <w:rFonts w:ascii="Times New Roman" w:hAnsi="Times New Roman" w:cs="Times New Roman"/>
                <w:sz w:val="24"/>
                <w:szCs w:val="24"/>
              </w:rPr>
              <w:t>, p&lt;.001</w:t>
            </w:r>
          </w:p>
        </w:tc>
      </w:tr>
      <w:tr w:rsidR="00A606F8" w:rsidRPr="004B3304" w14:paraId="19F2B9CE" w14:textId="77777777" w:rsidTr="008C31D9">
        <w:tc>
          <w:tcPr>
            <w:tcW w:w="3584" w:type="dxa"/>
          </w:tcPr>
          <w:p w14:paraId="17E1EE79" w14:textId="77777777" w:rsidR="00A606F8"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PHQ-9 caseness </w:t>
            </w:r>
          </w:p>
        </w:tc>
        <w:tc>
          <w:tcPr>
            <w:tcW w:w="1790" w:type="dxa"/>
          </w:tcPr>
          <w:p w14:paraId="518661FC" w14:textId="77777777" w:rsidR="00A606F8" w:rsidRPr="002F0527" w:rsidRDefault="00A606F8" w:rsidP="008C31D9">
            <w:pPr>
              <w:pStyle w:val="NoSpacing"/>
              <w:spacing w:line="360" w:lineRule="auto"/>
              <w:rPr>
                <w:rFonts w:ascii="Times New Roman" w:hAnsi="Times New Roman" w:cs="Times New Roman"/>
                <w:sz w:val="24"/>
                <w:szCs w:val="24"/>
                <w:lang w:val="es-ES"/>
              </w:rPr>
            </w:pPr>
            <w:r w:rsidRPr="00352286">
              <w:rPr>
                <w:rFonts w:ascii="Times New Roman" w:hAnsi="Times New Roman" w:cs="Times New Roman"/>
                <w:sz w:val="24"/>
                <w:szCs w:val="24"/>
                <w:lang w:val="es-ES"/>
              </w:rPr>
              <w:t>3</w:t>
            </w:r>
            <w:r>
              <w:rPr>
                <w:rFonts w:ascii="Times New Roman" w:hAnsi="Times New Roman" w:cs="Times New Roman"/>
                <w:sz w:val="24"/>
                <w:szCs w:val="24"/>
                <w:lang w:val="es-ES"/>
              </w:rPr>
              <w:t>6</w:t>
            </w:r>
            <w:r w:rsidRPr="00352286">
              <w:rPr>
                <w:rFonts w:ascii="Times New Roman" w:hAnsi="Times New Roman" w:cs="Times New Roman"/>
                <w:sz w:val="24"/>
                <w:szCs w:val="24"/>
                <w:lang w:val="es-ES"/>
              </w:rPr>
              <w:t>/</w:t>
            </w:r>
            <w:r>
              <w:rPr>
                <w:rFonts w:ascii="Times New Roman" w:hAnsi="Times New Roman" w:cs="Times New Roman"/>
                <w:sz w:val="24"/>
                <w:szCs w:val="24"/>
                <w:lang w:val="es-ES"/>
              </w:rPr>
              <w:t>40</w:t>
            </w:r>
            <w:r w:rsidRPr="00352286">
              <w:rPr>
                <w:rFonts w:ascii="Times New Roman" w:hAnsi="Times New Roman" w:cs="Times New Roman"/>
                <w:sz w:val="24"/>
                <w:szCs w:val="24"/>
                <w:lang w:val="es-ES"/>
              </w:rPr>
              <w:t xml:space="preserve"> (90%)</w:t>
            </w:r>
          </w:p>
        </w:tc>
        <w:tc>
          <w:tcPr>
            <w:tcW w:w="2016" w:type="dxa"/>
          </w:tcPr>
          <w:p w14:paraId="2B69EC12" w14:textId="77777777" w:rsidR="00A606F8" w:rsidRPr="00A32944" w:rsidRDefault="00A606F8" w:rsidP="008C31D9">
            <w:pPr>
              <w:pStyle w:val="NoSpacing"/>
              <w:spacing w:line="360" w:lineRule="auto"/>
              <w:rPr>
                <w:rFonts w:ascii="Times New Roman" w:hAnsi="Times New Roman" w:cs="Times New Roman"/>
                <w:sz w:val="24"/>
                <w:szCs w:val="24"/>
                <w:lang w:val="es-ES"/>
              </w:rPr>
            </w:pPr>
            <w:r w:rsidRPr="00A32944">
              <w:rPr>
                <w:rFonts w:ascii="Times New Roman" w:hAnsi="Times New Roman" w:cs="Times New Roman"/>
                <w:sz w:val="24"/>
                <w:szCs w:val="24"/>
              </w:rPr>
              <w:t>3</w:t>
            </w:r>
            <w:r>
              <w:rPr>
                <w:rFonts w:ascii="Times New Roman" w:hAnsi="Times New Roman" w:cs="Times New Roman"/>
                <w:sz w:val="24"/>
                <w:szCs w:val="24"/>
              </w:rPr>
              <w:t>7</w:t>
            </w:r>
            <w:r w:rsidRPr="00A32944">
              <w:rPr>
                <w:rFonts w:ascii="Times New Roman" w:hAnsi="Times New Roman" w:cs="Times New Roman"/>
                <w:sz w:val="24"/>
                <w:szCs w:val="24"/>
              </w:rPr>
              <w:t>/</w:t>
            </w:r>
            <w:r>
              <w:rPr>
                <w:rFonts w:ascii="Times New Roman" w:hAnsi="Times New Roman" w:cs="Times New Roman"/>
                <w:sz w:val="24"/>
                <w:szCs w:val="24"/>
              </w:rPr>
              <w:t>4</w:t>
            </w:r>
            <w:r w:rsidRPr="00A32944">
              <w:rPr>
                <w:rFonts w:ascii="Times New Roman" w:hAnsi="Times New Roman" w:cs="Times New Roman"/>
                <w:sz w:val="24"/>
                <w:szCs w:val="24"/>
              </w:rPr>
              <w:t>0 (</w:t>
            </w:r>
            <w:r>
              <w:rPr>
                <w:rFonts w:ascii="Times New Roman" w:hAnsi="Times New Roman" w:cs="Times New Roman"/>
                <w:sz w:val="24"/>
                <w:szCs w:val="24"/>
              </w:rPr>
              <w:t>93</w:t>
            </w:r>
            <w:r w:rsidRPr="00A32944">
              <w:rPr>
                <w:rFonts w:ascii="Times New Roman" w:hAnsi="Times New Roman" w:cs="Times New Roman"/>
                <w:sz w:val="24"/>
                <w:szCs w:val="24"/>
              </w:rPr>
              <w:t>%)</w:t>
            </w:r>
          </w:p>
        </w:tc>
        <w:tc>
          <w:tcPr>
            <w:tcW w:w="1920" w:type="dxa"/>
          </w:tcPr>
          <w:p w14:paraId="19923B1E" w14:textId="77777777" w:rsidR="00A606F8" w:rsidRPr="00DA07B7" w:rsidRDefault="00A606F8" w:rsidP="008C31D9">
            <w:pPr>
              <w:pStyle w:val="NoSpacing"/>
              <w:spacing w:line="360" w:lineRule="auto"/>
              <w:rPr>
                <w:rFonts w:ascii="Times New Roman" w:hAnsi="Times New Roman" w:cs="Times New Roman"/>
                <w:sz w:val="24"/>
                <w:szCs w:val="24"/>
                <w:highlight w:val="yellow"/>
                <w:lang w:val="es-ES"/>
              </w:rPr>
            </w:pPr>
            <w:r w:rsidRPr="00FB31D7">
              <w:rPr>
                <w:rFonts w:ascii="Times New Roman" w:hAnsi="Times New Roman" w:cs="Times New Roman"/>
                <w:sz w:val="24"/>
                <w:szCs w:val="24"/>
              </w:rPr>
              <w:t>χ</w:t>
            </w:r>
            <w:r w:rsidRPr="00FB31D7">
              <w:rPr>
                <w:rFonts w:ascii="Times New Roman" w:hAnsi="Times New Roman" w:cs="Times New Roman"/>
                <w:sz w:val="24"/>
                <w:szCs w:val="24"/>
                <w:vertAlign w:val="superscript"/>
              </w:rPr>
              <w:t>2</w:t>
            </w:r>
            <w:r>
              <w:rPr>
                <w:rFonts w:ascii="Times New Roman" w:hAnsi="Times New Roman" w:cs="Times New Roman"/>
                <w:sz w:val="24"/>
                <w:szCs w:val="24"/>
                <w:lang w:val="es-ES"/>
              </w:rPr>
              <w:t>&lt;1</w:t>
            </w:r>
          </w:p>
        </w:tc>
      </w:tr>
      <w:tr w:rsidR="00A606F8" w14:paraId="52F70E61" w14:textId="77777777" w:rsidTr="008C31D9">
        <w:tc>
          <w:tcPr>
            <w:tcW w:w="3584" w:type="dxa"/>
          </w:tcPr>
          <w:p w14:paraId="0FCEC764" w14:textId="77777777" w:rsidR="00A606F8"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GAD-7 caseness </w:t>
            </w:r>
          </w:p>
        </w:tc>
        <w:tc>
          <w:tcPr>
            <w:tcW w:w="1790" w:type="dxa"/>
          </w:tcPr>
          <w:p w14:paraId="0AC3F99C" w14:textId="77777777" w:rsidR="00A606F8" w:rsidRPr="002F0527" w:rsidRDefault="00A606F8" w:rsidP="008C31D9">
            <w:pPr>
              <w:pStyle w:val="NoSpacing"/>
              <w:spacing w:line="360" w:lineRule="auto"/>
              <w:rPr>
                <w:rFonts w:ascii="Times New Roman" w:hAnsi="Times New Roman" w:cs="Times New Roman"/>
                <w:sz w:val="24"/>
                <w:szCs w:val="24"/>
              </w:rPr>
            </w:pPr>
            <w:r w:rsidRPr="00352286">
              <w:rPr>
                <w:rFonts w:ascii="Times New Roman" w:hAnsi="Times New Roman" w:cs="Times New Roman"/>
                <w:sz w:val="24"/>
                <w:szCs w:val="24"/>
              </w:rPr>
              <w:t>3</w:t>
            </w:r>
            <w:r>
              <w:rPr>
                <w:rFonts w:ascii="Times New Roman" w:hAnsi="Times New Roman" w:cs="Times New Roman"/>
                <w:sz w:val="24"/>
                <w:szCs w:val="24"/>
              </w:rPr>
              <w:t>8</w:t>
            </w:r>
            <w:r w:rsidRPr="00352286">
              <w:rPr>
                <w:rFonts w:ascii="Times New Roman" w:hAnsi="Times New Roman" w:cs="Times New Roman"/>
                <w:sz w:val="24"/>
                <w:szCs w:val="24"/>
              </w:rPr>
              <w:t>/</w:t>
            </w:r>
            <w:r>
              <w:rPr>
                <w:rFonts w:ascii="Times New Roman" w:hAnsi="Times New Roman" w:cs="Times New Roman"/>
                <w:sz w:val="24"/>
                <w:szCs w:val="24"/>
              </w:rPr>
              <w:t>40</w:t>
            </w:r>
            <w:r w:rsidRPr="00352286">
              <w:rPr>
                <w:rFonts w:ascii="Times New Roman" w:hAnsi="Times New Roman" w:cs="Times New Roman"/>
                <w:sz w:val="24"/>
                <w:szCs w:val="24"/>
              </w:rPr>
              <w:t xml:space="preserve"> (95%)</w:t>
            </w:r>
          </w:p>
        </w:tc>
        <w:tc>
          <w:tcPr>
            <w:tcW w:w="2016" w:type="dxa"/>
          </w:tcPr>
          <w:p w14:paraId="1B4B8494" w14:textId="77777777" w:rsidR="00A606F8" w:rsidRPr="00A32944" w:rsidRDefault="00A606F8" w:rsidP="008C31D9">
            <w:pPr>
              <w:pStyle w:val="NoSpacing"/>
              <w:spacing w:line="360" w:lineRule="auto"/>
              <w:rPr>
                <w:rFonts w:ascii="Times New Roman" w:hAnsi="Times New Roman" w:cs="Times New Roman"/>
                <w:sz w:val="24"/>
                <w:szCs w:val="24"/>
              </w:rPr>
            </w:pPr>
            <w:r w:rsidRPr="00A32944">
              <w:rPr>
                <w:rFonts w:ascii="Times New Roman" w:hAnsi="Times New Roman" w:cs="Times New Roman"/>
                <w:sz w:val="24"/>
                <w:szCs w:val="24"/>
              </w:rPr>
              <w:t>3</w:t>
            </w:r>
            <w:r>
              <w:rPr>
                <w:rFonts w:ascii="Times New Roman" w:hAnsi="Times New Roman" w:cs="Times New Roman"/>
                <w:sz w:val="24"/>
                <w:szCs w:val="24"/>
              </w:rPr>
              <w:t>0</w:t>
            </w:r>
            <w:r w:rsidRPr="00A32944">
              <w:rPr>
                <w:rFonts w:ascii="Times New Roman" w:hAnsi="Times New Roman" w:cs="Times New Roman"/>
                <w:sz w:val="24"/>
                <w:szCs w:val="24"/>
              </w:rPr>
              <w:t>/</w:t>
            </w:r>
            <w:r>
              <w:rPr>
                <w:rFonts w:ascii="Times New Roman" w:hAnsi="Times New Roman" w:cs="Times New Roman"/>
                <w:sz w:val="24"/>
                <w:szCs w:val="24"/>
              </w:rPr>
              <w:t>40</w:t>
            </w:r>
            <w:r w:rsidRPr="00A32944">
              <w:rPr>
                <w:rFonts w:ascii="Times New Roman" w:hAnsi="Times New Roman" w:cs="Times New Roman"/>
                <w:sz w:val="24"/>
                <w:szCs w:val="24"/>
              </w:rPr>
              <w:t xml:space="preserve"> (</w:t>
            </w:r>
            <w:r>
              <w:rPr>
                <w:rFonts w:ascii="Times New Roman" w:hAnsi="Times New Roman" w:cs="Times New Roman"/>
                <w:sz w:val="24"/>
                <w:szCs w:val="24"/>
              </w:rPr>
              <w:t>75</w:t>
            </w:r>
            <w:r w:rsidRPr="00A32944">
              <w:rPr>
                <w:rFonts w:ascii="Times New Roman" w:hAnsi="Times New Roman" w:cs="Times New Roman"/>
                <w:sz w:val="24"/>
                <w:szCs w:val="24"/>
              </w:rPr>
              <w:t>%)</w:t>
            </w:r>
          </w:p>
        </w:tc>
        <w:tc>
          <w:tcPr>
            <w:tcW w:w="1920" w:type="dxa"/>
          </w:tcPr>
          <w:p w14:paraId="3B29F05E" w14:textId="77777777" w:rsidR="00A606F8" w:rsidRPr="002220E5" w:rsidRDefault="00A606F8" w:rsidP="008C31D9">
            <w:pPr>
              <w:pStyle w:val="NoSpacing"/>
              <w:spacing w:line="360" w:lineRule="auto"/>
              <w:rPr>
                <w:rFonts w:ascii="Times New Roman" w:hAnsi="Times New Roman" w:cs="Times New Roman"/>
                <w:sz w:val="24"/>
                <w:szCs w:val="24"/>
              </w:rPr>
            </w:pPr>
            <w:r w:rsidRPr="002220E5">
              <w:rPr>
                <w:rFonts w:ascii="Times New Roman" w:hAnsi="Times New Roman" w:cs="Times New Roman"/>
                <w:sz w:val="24"/>
                <w:szCs w:val="24"/>
              </w:rPr>
              <w:t>χ</w:t>
            </w:r>
            <w:r w:rsidRPr="002220E5">
              <w:rPr>
                <w:rFonts w:ascii="Times New Roman" w:hAnsi="Times New Roman" w:cs="Times New Roman"/>
                <w:sz w:val="24"/>
                <w:szCs w:val="24"/>
                <w:vertAlign w:val="superscript"/>
              </w:rPr>
              <w:t>2</w:t>
            </w:r>
            <w:r w:rsidRPr="002220E5">
              <w:rPr>
                <w:rFonts w:ascii="Times New Roman" w:hAnsi="Times New Roman" w:cs="Times New Roman"/>
                <w:sz w:val="24"/>
                <w:szCs w:val="24"/>
              </w:rPr>
              <w:t>=</w:t>
            </w:r>
            <w:r>
              <w:rPr>
                <w:rFonts w:ascii="Times New Roman" w:hAnsi="Times New Roman" w:cs="Times New Roman"/>
                <w:sz w:val="24"/>
                <w:szCs w:val="24"/>
              </w:rPr>
              <w:t>6.28</w:t>
            </w:r>
            <w:r w:rsidRPr="002220E5">
              <w:rPr>
                <w:rFonts w:ascii="Times New Roman" w:hAnsi="Times New Roman" w:cs="Times New Roman"/>
                <w:sz w:val="24"/>
                <w:szCs w:val="24"/>
              </w:rPr>
              <w:t>, p</w:t>
            </w:r>
            <w:r>
              <w:rPr>
                <w:rFonts w:ascii="Times New Roman" w:hAnsi="Times New Roman" w:cs="Times New Roman"/>
                <w:sz w:val="24"/>
                <w:szCs w:val="24"/>
              </w:rPr>
              <w:t>=.01</w:t>
            </w:r>
          </w:p>
        </w:tc>
      </w:tr>
      <w:tr w:rsidR="00A606F8" w14:paraId="0945D276" w14:textId="77777777" w:rsidTr="008C31D9">
        <w:tc>
          <w:tcPr>
            <w:tcW w:w="3584" w:type="dxa"/>
          </w:tcPr>
          <w:p w14:paraId="6AEF7CF9" w14:textId="77777777" w:rsidR="00A606F8" w:rsidRDefault="00A606F8" w:rsidP="008C31D9">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WSAS</w:t>
            </w:r>
            <w:proofErr w:type="spellEnd"/>
            <w:r>
              <w:rPr>
                <w:rFonts w:ascii="Times New Roman" w:hAnsi="Times New Roman" w:cs="Times New Roman"/>
                <w:sz w:val="24"/>
                <w:szCs w:val="24"/>
              </w:rPr>
              <w:t xml:space="preserve"> caseness </w:t>
            </w:r>
          </w:p>
        </w:tc>
        <w:tc>
          <w:tcPr>
            <w:tcW w:w="1790" w:type="dxa"/>
          </w:tcPr>
          <w:p w14:paraId="009A3F37" w14:textId="77777777" w:rsidR="00A606F8" w:rsidRPr="002F0527" w:rsidRDefault="00A606F8" w:rsidP="008C31D9">
            <w:pPr>
              <w:pStyle w:val="NoSpacing"/>
              <w:spacing w:line="360" w:lineRule="auto"/>
              <w:rPr>
                <w:rFonts w:ascii="Times New Roman" w:hAnsi="Times New Roman" w:cs="Times New Roman"/>
                <w:sz w:val="24"/>
                <w:szCs w:val="24"/>
              </w:rPr>
            </w:pPr>
            <w:r w:rsidRPr="00352286">
              <w:rPr>
                <w:rFonts w:ascii="Times New Roman" w:hAnsi="Times New Roman" w:cs="Times New Roman"/>
                <w:sz w:val="24"/>
                <w:szCs w:val="24"/>
              </w:rPr>
              <w:t>37/</w:t>
            </w:r>
            <w:r>
              <w:rPr>
                <w:rFonts w:ascii="Times New Roman" w:hAnsi="Times New Roman" w:cs="Times New Roman"/>
                <w:sz w:val="24"/>
                <w:szCs w:val="24"/>
              </w:rPr>
              <w:t>40</w:t>
            </w:r>
            <w:r w:rsidRPr="00352286">
              <w:rPr>
                <w:rFonts w:ascii="Times New Roman" w:hAnsi="Times New Roman" w:cs="Times New Roman"/>
                <w:sz w:val="24"/>
                <w:szCs w:val="24"/>
              </w:rPr>
              <w:t xml:space="preserve"> (9</w:t>
            </w:r>
            <w:r>
              <w:rPr>
                <w:rFonts w:ascii="Times New Roman" w:hAnsi="Times New Roman" w:cs="Times New Roman"/>
                <w:sz w:val="24"/>
                <w:szCs w:val="24"/>
              </w:rPr>
              <w:t>3</w:t>
            </w:r>
            <w:r w:rsidRPr="00352286">
              <w:rPr>
                <w:rFonts w:ascii="Times New Roman" w:hAnsi="Times New Roman" w:cs="Times New Roman"/>
                <w:sz w:val="24"/>
                <w:szCs w:val="24"/>
              </w:rPr>
              <w:t>%)</w:t>
            </w:r>
          </w:p>
        </w:tc>
        <w:tc>
          <w:tcPr>
            <w:tcW w:w="2016" w:type="dxa"/>
          </w:tcPr>
          <w:p w14:paraId="3877E40B" w14:textId="77777777" w:rsidR="00A606F8" w:rsidRPr="00A32944"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36</w:t>
            </w:r>
            <w:r w:rsidRPr="00A32944">
              <w:rPr>
                <w:rFonts w:ascii="Times New Roman" w:hAnsi="Times New Roman" w:cs="Times New Roman"/>
                <w:sz w:val="24"/>
                <w:szCs w:val="24"/>
              </w:rPr>
              <w:t>/</w:t>
            </w:r>
            <w:r>
              <w:rPr>
                <w:rFonts w:ascii="Times New Roman" w:hAnsi="Times New Roman" w:cs="Times New Roman"/>
                <w:sz w:val="24"/>
                <w:szCs w:val="24"/>
              </w:rPr>
              <w:t>40</w:t>
            </w:r>
            <w:r w:rsidRPr="00A32944">
              <w:rPr>
                <w:rFonts w:ascii="Times New Roman" w:hAnsi="Times New Roman" w:cs="Times New Roman"/>
                <w:sz w:val="24"/>
                <w:szCs w:val="24"/>
              </w:rPr>
              <w:t xml:space="preserve"> (</w:t>
            </w:r>
            <w:r>
              <w:rPr>
                <w:rFonts w:ascii="Times New Roman" w:hAnsi="Times New Roman" w:cs="Times New Roman"/>
                <w:sz w:val="24"/>
                <w:szCs w:val="24"/>
              </w:rPr>
              <w:t>90</w:t>
            </w:r>
            <w:r w:rsidRPr="00A32944">
              <w:rPr>
                <w:rFonts w:ascii="Times New Roman" w:hAnsi="Times New Roman" w:cs="Times New Roman"/>
                <w:sz w:val="24"/>
                <w:szCs w:val="24"/>
              </w:rPr>
              <w:t>%)</w:t>
            </w:r>
          </w:p>
        </w:tc>
        <w:tc>
          <w:tcPr>
            <w:tcW w:w="1920" w:type="dxa"/>
          </w:tcPr>
          <w:p w14:paraId="6A744346" w14:textId="77777777" w:rsidR="00A606F8" w:rsidRPr="002220E5" w:rsidRDefault="00A606F8" w:rsidP="008C31D9">
            <w:pPr>
              <w:pStyle w:val="NoSpacing"/>
              <w:spacing w:line="360" w:lineRule="auto"/>
              <w:rPr>
                <w:rFonts w:ascii="Times New Roman" w:hAnsi="Times New Roman" w:cs="Times New Roman"/>
                <w:sz w:val="24"/>
                <w:szCs w:val="24"/>
              </w:rPr>
            </w:pPr>
            <w:r w:rsidRPr="002220E5">
              <w:rPr>
                <w:rFonts w:ascii="Times New Roman" w:hAnsi="Times New Roman" w:cs="Times New Roman"/>
                <w:sz w:val="24"/>
                <w:szCs w:val="24"/>
              </w:rPr>
              <w:t>χ</w:t>
            </w:r>
            <w:r w:rsidRPr="002220E5">
              <w:rPr>
                <w:rFonts w:ascii="Times New Roman" w:hAnsi="Times New Roman" w:cs="Times New Roman"/>
                <w:sz w:val="24"/>
                <w:szCs w:val="24"/>
                <w:vertAlign w:val="superscript"/>
              </w:rPr>
              <w:t>2</w:t>
            </w:r>
            <w:r>
              <w:rPr>
                <w:rFonts w:ascii="Times New Roman" w:hAnsi="Times New Roman" w:cs="Times New Roman"/>
                <w:sz w:val="24"/>
                <w:szCs w:val="24"/>
              </w:rPr>
              <w:t>&lt;1</w:t>
            </w:r>
          </w:p>
        </w:tc>
      </w:tr>
      <w:tr w:rsidR="00A606F8" w14:paraId="2FB21291" w14:textId="77777777" w:rsidTr="008C31D9">
        <w:tc>
          <w:tcPr>
            <w:tcW w:w="3584" w:type="dxa"/>
          </w:tcPr>
          <w:p w14:paraId="56A7C046" w14:textId="77777777" w:rsidR="00A606F8"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PTSD status</w:t>
            </w:r>
          </w:p>
        </w:tc>
        <w:tc>
          <w:tcPr>
            <w:tcW w:w="1790" w:type="dxa"/>
          </w:tcPr>
          <w:p w14:paraId="7C881B3D" w14:textId="77777777" w:rsidR="00A606F8" w:rsidRPr="002F0527"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8/40</w:t>
            </w:r>
            <w:r w:rsidRPr="00352286">
              <w:rPr>
                <w:rFonts w:ascii="Times New Roman" w:hAnsi="Times New Roman" w:cs="Times New Roman"/>
                <w:sz w:val="24"/>
                <w:szCs w:val="24"/>
              </w:rPr>
              <w:t xml:space="preserve"> (</w:t>
            </w:r>
            <w:r>
              <w:rPr>
                <w:rFonts w:ascii="Times New Roman" w:hAnsi="Times New Roman" w:cs="Times New Roman"/>
                <w:sz w:val="24"/>
                <w:szCs w:val="24"/>
              </w:rPr>
              <w:t>20</w:t>
            </w:r>
            <w:r w:rsidRPr="00352286">
              <w:rPr>
                <w:rFonts w:ascii="Times New Roman" w:hAnsi="Times New Roman" w:cs="Times New Roman"/>
                <w:sz w:val="24"/>
                <w:szCs w:val="24"/>
              </w:rPr>
              <w:t>%)</w:t>
            </w:r>
          </w:p>
        </w:tc>
        <w:tc>
          <w:tcPr>
            <w:tcW w:w="2016" w:type="dxa"/>
          </w:tcPr>
          <w:p w14:paraId="0C89DCE3" w14:textId="77777777" w:rsidR="00A606F8" w:rsidRPr="00DA07B7" w:rsidRDefault="00A606F8" w:rsidP="008C31D9">
            <w:pPr>
              <w:pStyle w:val="NoSpacing"/>
              <w:spacing w:line="360" w:lineRule="auto"/>
              <w:rPr>
                <w:rFonts w:ascii="Times New Roman" w:hAnsi="Times New Roman" w:cs="Times New Roman"/>
                <w:sz w:val="24"/>
                <w:szCs w:val="24"/>
                <w:highlight w:val="yellow"/>
              </w:rPr>
            </w:pPr>
            <w:r>
              <w:rPr>
                <w:rFonts w:ascii="Times New Roman" w:hAnsi="Times New Roman" w:cs="Times New Roman"/>
                <w:sz w:val="24"/>
                <w:szCs w:val="24"/>
              </w:rPr>
              <w:t>7</w:t>
            </w:r>
            <w:r w:rsidRPr="00394BA6">
              <w:rPr>
                <w:rFonts w:ascii="Times New Roman" w:hAnsi="Times New Roman" w:cs="Times New Roman"/>
                <w:sz w:val="24"/>
                <w:szCs w:val="24"/>
              </w:rPr>
              <w:t>/</w:t>
            </w:r>
            <w:r>
              <w:rPr>
                <w:rFonts w:ascii="Times New Roman" w:hAnsi="Times New Roman" w:cs="Times New Roman"/>
                <w:sz w:val="24"/>
                <w:szCs w:val="24"/>
              </w:rPr>
              <w:t>4</w:t>
            </w:r>
            <w:r w:rsidRPr="00394BA6">
              <w:rPr>
                <w:rFonts w:ascii="Times New Roman" w:hAnsi="Times New Roman" w:cs="Times New Roman"/>
                <w:sz w:val="24"/>
                <w:szCs w:val="24"/>
              </w:rPr>
              <w:t>0 (1</w:t>
            </w:r>
            <w:r>
              <w:rPr>
                <w:rFonts w:ascii="Times New Roman" w:hAnsi="Times New Roman" w:cs="Times New Roman"/>
                <w:sz w:val="24"/>
                <w:szCs w:val="24"/>
              </w:rPr>
              <w:t>8</w:t>
            </w:r>
            <w:r w:rsidRPr="00394BA6">
              <w:rPr>
                <w:rFonts w:ascii="Times New Roman" w:hAnsi="Times New Roman" w:cs="Times New Roman"/>
                <w:sz w:val="24"/>
                <w:szCs w:val="24"/>
              </w:rPr>
              <w:t>%)</w:t>
            </w:r>
          </w:p>
        </w:tc>
        <w:tc>
          <w:tcPr>
            <w:tcW w:w="1920" w:type="dxa"/>
          </w:tcPr>
          <w:p w14:paraId="1FEBAF55" w14:textId="77777777" w:rsidR="00A606F8" w:rsidRPr="00DA07B7" w:rsidRDefault="00A606F8" w:rsidP="008C31D9">
            <w:pPr>
              <w:pStyle w:val="NoSpacing"/>
              <w:spacing w:line="360" w:lineRule="auto"/>
              <w:rPr>
                <w:rFonts w:ascii="Times New Roman" w:hAnsi="Times New Roman" w:cs="Times New Roman"/>
                <w:sz w:val="24"/>
                <w:szCs w:val="24"/>
                <w:highlight w:val="yellow"/>
              </w:rPr>
            </w:pPr>
            <w:r w:rsidRPr="000D431C">
              <w:rPr>
                <w:rFonts w:ascii="Times New Roman" w:hAnsi="Times New Roman" w:cs="Times New Roman"/>
                <w:sz w:val="24"/>
                <w:szCs w:val="24"/>
              </w:rPr>
              <w:t>χ</w:t>
            </w:r>
            <w:r w:rsidRPr="000D431C">
              <w:rPr>
                <w:rFonts w:ascii="Times New Roman" w:hAnsi="Times New Roman" w:cs="Times New Roman"/>
                <w:sz w:val="24"/>
                <w:szCs w:val="24"/>
                <w:vertAlign w:val="superscript"/>
              </w:rPr>
              <w:t>2</w:t>
            </w:r>
            <w:r w:rsidRPr="000D431C">
              <w:rPr>
                <w:rFonts w:ascii="Times New Roman" w:hAnsi="Times New Roman" w:cs="Times New Roman"/>
                <w:sz w:val="24"/>
                <w:szCs w:val="24"/>
              </w:rPr>
              <w:t>&lt;1</w:t>
            </w:r>
          </w:p>
        </w:tc>
      </w:tr>
      <w:tr w:rsidR="00A606F8" w14:paraId="0B93D235" w14:textId="77777777" w:rsidTr="008C31D9">
        <w:tc>
          <w:tcPr>
            <w:tcW w:w="3584" w:type="dxa"/>
          </w:tcPr>
          <w:p w14:paraId="5D7F117A" w14:textId="77777777" w:rsidR="00A606F8"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Sessions attended</w:t>
            </w:r>
          </w:p>
        </w:tc>
        <w:tc>
          <w:tcPr>
            <w:tcW w:w="1790" w:type="dxa"/>
          </w:tcPr>
          <w:p w14:paraId="6ECE5620" w14:textId="77777777" w:rsidR="00A606F8" w:rsidRPr="00352286"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11.3 (5.55)</w:t>
            </w:r>
          </w:p>
        </w:tc>
        <w:tc>
          <w:tcPr>
            <w:tcW w:w="2016" w:type="dxa"/>
          </w:tcPr>
          <w:p w14:paraId="7CCAFD89" w14:textId="77777777" w:rsidR="00A606F8" w:rsidRPr="005569B8" w:rsidRDefault="00A606F8" w:rsidP="008C31D9">
            <w:pPr>
              <w:pStyle w:val="NoSpacing"/>
              <w:spacing w:line="360" w:lineRule="auto"/>
              <w:rPr>
                <w:rFonts w:ascii="Times New Roman" w:hAnsi="Times New Roman" w:cs="Times New Roman"/>
                <w:sz w:val="24"/>
                <w:szCs w:val="24"/>
              </w:rPr>
            </w:pPr>
            <w:r w:rsidRPr="005569B8">
              <w:rPr>
                <w:rFonts w:ascii="Times New Roman" w:hAnsi="Times New Roman" w:cs="Times New Roman"/>
                <w:sz w:val="24"/>
                <w:szCs w:val="24"/>
              </w:rPr>
              <w:t>9.2</w:t>
            </w:r>
            <w:r>
              <w:rPr>
                <w:rFonts w:ascii="Times New Roman" w:hAnsi="Times New Roman" w:cs="Times New Roman"/>
                <w:sz w:val="24"/>
                <w:szCs w:val="24"/>
              </w:rPr>
              <w:t>0</w:t>
            </w:r>
            <w:r w:rsidRPr="005569B8">
              <w:rPr>
                <w:rFonts w:ascii="Times New Roman" w:hAnsi="Times New Roman" w:cs="Times New Roman"/>
                <w:sz w:val="24"/>
                <w:szCs w:val="24"/>
              </w:rPr>
              <w:t xml:space="preserve"> (5.</w:t>
            </w:r>
            <w:r>
              <w:rPr>
                <w:rFonts w:ascii="Times New Roman" w:hAnsi="Times New Roman" w:cs="Times New Roman"/>
                <w:sz w:val="24"/>
                <w:szCs w:val="24"/>
              </w:rPr>
              <w:t>94</w:t>
            </w:r>
            <w:r w:rsidRPr="005569B8">
              <w:rPr>
                <w:rFonts w:ascii="Times New Roman" w:hAnsi="Times New Roman" w:cs="Times New Roman"/>
                <w:sz w:val="24"/>
                <w:szCs w:val="24"/>
              </w:rPr>
              <w:t>)</w:t>
            </w:r>
          </w:p>
        </w:tc>
        <w:tc>
          <w:tcPr>
            <w:tcW w:w="1920" w:type="dxa"/>
          </w:tcPr>
          <w:p w14:paraId="126D70FA" w14:textId="77777777" w:rsidR="00A606F8" w:rsidRPr="00DA07B7" w:rsidRDefault="00A606F8" w:rsidP="008C31D9">
            <w:pPr>
              <w:pStyle w:val="NoSpacing"/>
              <w:spacing w:line="360" w:lineRule="auto"/>
              <w:rPr>
                <w:rFonts w:ascii="Times New Roman" w:hAnsi="Times New Roman" w:cs="Times New Roman"/>
                <w:sz w:val="24"/>
                <w:szCs w:val="24"/>
                <w:highlight w:val="yellow"/>
              </w:rPr>
            </w:pPr>
            <w:r>
              <w:rPr>
                <w:rFonts w:ascii="Times New Roman" w:hAnsi="Times New Roman" w:cs="Times New Roman"/>
                <w:sz w:val="24"/>
                <w:szCs w:val="24"/>
              </w:rPr>
              <w:t>t</w:t>
            </w:r>
            <w:r w:rsidRPr="009D173B">
              <w:rPr>
                <w:rFonts w:ascii="Times New Roman" w:hAnsi="Times New Roman" w:cs="Times New Roman"/>
                <w:sz w:val="24"/>
                <w:szCs w:val="24"/>
              </w:rPr>
              <w:t>=1.</w:t>
            </w:r>
            <w:r>
              <w:rPr>
                <w:rFonts w:ascii="Times New Roman" w:hAnsi="Times New Roman" w:cs="Times New Roman"/>
                <w:sz w:val="24"/>
                <w:szCs w:val="24"/>
              </w:rPr>
              <w:t>69</w:t>
            </w:r>
            <w:r w:rsidRPr="009D173B">
              <w:rPr>
                <w:rFonts w:ascii="Times New Roman" w:hAnsi="Times New Roman" w:cs="Times New Roman"/>
                <w:sz w:val="24"/>
                <w:szCs w:val="24"/>
              </w:rPr>
              <w:t>, p=.09</w:t>
            </w:r>
          </w:p>
        </w:tc>
      </w:tr>
      <w:tr w:rsidR="00A606F8" w14:paraId="4A10A378" w14:textId="77777777" w:rsidTr="008C31D9">
        <w:tc>
          <w:tcPr>
            <w:tcW w:w="3584" w:type="dxa"/>
            <w:tcBorders>
              <w:bottom w:val="single" w:sz="4" w:space="0" w:color="auto"/>
            </w:tcBorders>
          </w:tcPr>
          <w:p w14:paraId="40F3F540" w14:textId="77777777" w:rsidR="00A606F8"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Min adequate dose</w:t>
            </w:r>
          </w:p>
        </w:tc>
        <w:tc>
          <w:tcPr>
            <w:tcW w:w="1790" w:type="dxa"/>
            <w:tcBorders>
              <w:bottom w:val="single" w:sz="4" w:space="0" w:color="auto"/>
            </w:tcBorders>
          </w:tcPr>
          <w:p w14:paraId="6A14625A" w14:textId="77777777" w:rsidR="00A606F8" w:rsidRPr="00352286" w:rsidRDefault="00A606F8" w:rsidP="008C31D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36/40 (90%)</w:t>
            </w:r>
          </w:p>
        </w:tc>
        <w:tc>
          <w:tcPr>
            <w:tcW w:w="2016" w:type="dxa"/>
            <w:tcBorders>
              <w:bottom w:val="single" w:sz="4" w:space="0" w:color="auto"/>
            </w:tcBorders>
          </w:tcPr>
          <w:p w14:paraId="2B0E0930" w14:textId="77777777" w:rsidR="00A606F8" w:rsidRPr="005569B8" w:rsidRDefault="00A606F8" w:rsidP="008C31D9">
            <w:pPr>
              <w:pStyle w:val="NoSpacing"/>
              <w:spacing w:line="360" w:lineRule="auto"/>
              <w:rPr>
                <w:rFonts w:ascii="Times New Roman" w:hAnsi="Times New Roman" w:cs="Times New Roman"/>
                <w:sz w:val="24"/>
                <w:szCs w:val="24"/>
              </w:rPr>
            </w:pPr>
            <w:r w:rsidRPr="005569B8">
              <w:rPr>
                <w:rFonts w:ascii="Times New Roman" w:hAnsi="Times New Roman" w:cs="Times New Roman"/>
                <w:sz w:val="24"/>
                <w:szCs w:val="24"/>
              </w:rPr>
              <w:t>3</w:t>
            </w:r>
            <w:r>
              <w:rPr>
                <w:rFonts w:ascii="Times New Roman" w:hAnsi="Times New Roman" w:cs="Times New Roman"/>
                <w:sz w:val="24"/>
                <w:szCs w:val="24"/>
              </w:rPr>
              <w:t>0</w:t>
            </w:r>
            <w:r w:rsidRPr="005569B8">
              <w:rPr>
                <w:rFonts w:ascii="Times New Roman" w:hAnsi="Times New Roman" w:cs="Times New Roman"/>
                <w:sz w:val="24"/>
                <w:szCs w:val="24"/>
              </w:rPr>
              <w:t>/</w:t>
            </w:r>
            <w:r>
              <w:rPr>
                <w:rFonts w:ascii="Times New Roman" w:hAnsi="Times New Roman" w:cs="Times New Roman"/>
                <w:sz w:val="24"/>
                <w:szCs w:val="24"/>
              </w:rPr>
              <w:t>4</w:t>
            </w:r>
            <w:r w:rsidRPr="005569B8">
              <w:rPr>
                <w:rFonts w:ascii="Times New Roman" w:hAnsi="Times New Roman" w:cs="Times New Roman"/>
                <w:sz w:val="24"/>
                <w:szCs w:val="24"/>
              </w:rPr>
              <w:t>0 (7</w:t>
            </w:r>
            <w:r>
              <w:rPr>
                <w:rFonts w:ascii="Times New Roman" w:hAnsi="Times New Roman" w:cs="Times New Roman"/>
                <w:sz w:val="24"/>
                <w:szCs w:val="24"/>
              </w:rPr>
              <w:t>5</w:t>
            </w:r>
            <w:r w:rsidRPr="005569B8">
              <w:rPr>
                <w:rFonts w:ascii="Times New Roman" w:hAnsi="Times New Roman" w:cs="Times New Roman"/>
                <w:sz w:val="24"/>
                <w:szCs w:val="24"/>
              </w:rPr>
              <w:t>%)</w:t>
            </w:r>
          </w:p>
        </w:tc>
        <w:tc>
          <w:tcPr>
            <w:tcW w:w="1920" w:type="dxa"/>
            <w:tcBorders>
              <w:bottom w:val="single" w:sz="4" w:space="0" w:color="auto"/>
            </w:tcBorders>
          </w:tcPr>
          <w:p w14:paraId="54833EE4" w14:textId="77777777" w:rsidR="00A606F8" w:rsidRPr="00DA07B7" w:rsidRDefault="00A606F8" w:rsidP="008C31D9">
            <w:pPr>
              <w:pStyle w:val="NoSpacing"/>
              <w:spacing w:line="360" w:lineRule="auto"/>
              <w:rPr>
                <w:rFonts w:ascii="Times New Roman" w:hAnsi="Times New Roman" w:cs="Times New Roman"/>
                <w:sz w:val="24"/>
                <w:szCs w:val="24"/>
                <w:highlight w:val="yellow"/>
              </w:rPr>
            </w:pPr>
            <w:r w:rsidRPr="00B559EC">
              <w:rPr>
                <w:rFonts w:ascii="Times New Roman" w:hAnsi="Times New Roman" w:cs="Times New Roman"/>
                <w:sz w:val="24"/>
                <w:szCs w:val="24"/>
              </w:rPr>
              <w:t>χ</w:t>
            </w:r>
            <w:r w:rsidRPr="00B559EC">
              <w:rPr>
                <w:rFonts w:ascii="Times New Roman" w:hAnsi="Times New Roman" w:cs="Times New Roman"/>
                <w:sz w:val="24"/>
                <w:szCs w:val="24"/>
                <w:vertAlign w:val="superscript"/>
              </w:rPr>
              <w:t>2</w:t>
            </w:r>
            <w:r w:rsidRPr="00B559EC">
              <w:rPr>
                <w:rFonts w:ascii="Times New Roman" w:hAnsi="Times New Roman" w:cs="Times New Roman"/>
                <w:sz w:val="24"/>
                <w:szCs w:val="24"/>
              </w:rPr>
              <w:t>=</w:t>
            </w:r>
            <w:r>
              <w:rPr>
                <w:rFonts w:ascii="Times New Roman" w:hAnsi="Times New Roman" w:cs="Times New Roman"/>
                <w:sz w:val="24"/>
                <w:szCs w:val="24"/>
              </w:rPr>
              <w:t>3.12</w:t>
            </w:r>
            <w:r w:rsidRPr="00B559EC">
              <w:rPr>
                <w:rFonts w:ascii="Times New Roman" w:hAnsi="Times New Roman" w:cs="Times New Roman"/>
                <w:sz w:val="24"/>
                <w:szCs w:val="24"/>
              </w:rPr>
              <w:t>, p=.</w:t>
            </w:r>
            <w:r>
              <w:rPr>
                <w:rFonts w:ascii="Times New Roman" w:hAnsi="Times New Roman" w:cs="Times New Roman"/>
                <w:sz w:val="24"/>
                <w:szCs w:val="24"/>
              </w:rPr>
              <w:t>08</w:t>
            </w:r>
          </w:p>
        </w:tc>
      </w:tr>
    </w:tbl>
    <w:p w14:paraId="7B5C08FC" w14:textId="538304D1" w:rsidR="00A606F8" w:rsidRDefault="00A606F8" w:rsidP="00A606F8">
      <w:pPr>
        <w:rPr>
          <w:rFonts w:ascii="Times New Roman" w:hAnsi="Times New Roman" w:cs="Times New Roman"/>
        </w:rPr>
      </w:pPr>
      <w:proofErr w:type="gramStart"/>
      <w:r w:rsidRPr="00917758">
        <w:rPr>
          <w:rFonts w:ascii="Times New Roman" w:hAnsi="Times New Roman" w:cs="Times New Roman"/>
          <w:i/>
          <w:iCs/>
        </w:rPr>
        <w:t>Note:</w:t>
      </w:r>
      <w:r>
        <w:rPr>
          <w:rFonts w:ascii="Times New Roman" w:hAnsi="Times New Roman" w:cs="Times New Roman"/>
        </w:rPr>
        <w:t xml:space="preserve"> continuous variables are mean (one SD) values; categorical variables are number (%) values; </w:t>
      </w:r>
      <w:r w:rsidR="00AD31BD">
        <w:rPr>
          <w:rFonts w:ascii="Times New Roman" w:hAnsi="Times New Roman" w:cs="Times New Roman"/>
        </w:rPr>
        <w:t>higher severity</w:t>
      </w:r>
      <w:r>
        <w:rPr>
          <w:rFonts w:ascii="Times New Roman" w:hAnsi="Times New Roman" w:cs="Times New Roman"/>
        </w:rPr>
        <w:t xml:space="preserve"> sub sample = those with BGQ data</w:t>
      </w:r>
      <w:r w:rsidR="00AD31BD">
        <w:rPr>
          <w:rFonts w:ascii="Times New Roman" w:hAnsi="Times New Roman" w:cs="Times New Roman"/>
        </w:rPr>
        <w:t xml:space="preserve"> and </w:t>
      </w:r>
      <w:r>
        <w:rPr>
          <w:rFonts w:ascii="Times New Roman" w:hAnsi="Times New Roman" w:cs="Times New Roman"/>
        </w:rPr>
        <w:t xml:space="preserve">scoring at least </w:t>
      </w:r>
      <w:r w:rsidR="00AD31BD">
        <w:rPr>
          <w:rFonts w:ascii="Times New Roman" w:hAnsi="Times New Roman" w:cs="Times New Roman"/>
        </w:rPr>
        <w:t>8</w:t>
      </w:r>
      <w:r>
        <w:rPr>
          <w:rFonts w:ascii="Times New Roman" w:hAnsi="Times New Roman" w:cs="Times New Roman"/>
        </w:rPr>
        <w:t xml:space="preserve"> on it; continuous variables compared with independent sample t-tests; categorical variables compare with chi-squared tests; </w:t>
      </w:r>
      <w:r w:rsidRPr="004A2D3D">
        <w:rPr>
          <w:rFonts w:ascii="Times New Roman" w:hAnsi="Times New Roman" w:cs="Times New Roman"/>
          <w:vertAlign w:val="superscript"/>
        </w:rPr>
        <w:t>a</w:t>
      </w:r>
      <w:r>
        <w:rPr>
          <w:rFonts w:ascii="Times New Roman" w:hAnsi="Times New Roman" w:cs="Times New Roman"/>
        </w:rPr>
        <w:t xml:space="preserve"> time since death not recorded for one </w:t>
      </w:r>
      <w:r w:rsidRPr="0030470E">
        <w:rPr>
          <w:rFonts w:ascii="Times New Roman" w:hAnsi="Times New Roman" w:cs="Times New Roman"/>
        </w:rPr>
        <w:t xml:space="preserve">client; </w:t>
      </w:r>
      <w:r w:rsidRPr="0030470E">
        <w:rPr>
          <w:rFonts w:ascii="Times New Roman" w:hAnsi="Times New Roman" w:cs="Times New Roman"/>
          <w:vertAlign w:val="superscript"/>
        </w:rPr>
        <w:t>b</w:t>
      </w:r>
      <w:r w:rsidRPr="0030470E">
        <w:rPr>
          <w:rFonts w:ascii="Times New Roman" w:hAnsi="Times New Roman" w:cs="Times New Roman"/>
        </w:rPr>
        <w:t xml:space="preserve"> BGQ completed by 40/40 participants in </w:t>
      </w:r>
      <w:r w:rsidR="00AD31BD">
        <w:rPr>
          <w:rFonts w:ascii="Times New Roman" w:hAnsi="Times New Roman" w:cs="Times New Roman"/>
        </w:rPr>
        <w:t>higher severity</w:t>
      </w:r>
      <w:r w:rsidRPr="0030470E">
        <w:rPr>
          <w:rFonts w:ascii="Times New Roman" w:hAnsi="Times New Roman" w:cs="Times New Roman"/>
        </w:rPr>
        <w:t xml:space="preserve"> PGD subgroup, but only </w:t>
      </w:r>
      <w:r w:rsidR="0030470E" w:rsidRPr="0030470E">
        <w:rPr>
          <w:rFonts w:ascii="Times New Roman" w:hAnsi="Times New Roman" w:cs="Times New Roman"/>
        </w:rPr>
        <w:t>18</w:t>
      </w:r>
      <w:r w:rsidRPr="0030470E">
        <w:rPr>
          <w:rFonts w:ascii="Times New Roman" w:hAnsi="Times New Roman" w:cs="Times New Roman"/>
        </w:rPr>
        <w:t>/40 in remaining subgroup.</w:t>
      </w:r>
      <w:proofErr w:type="gramEnd"/>
      <w:r>
        <w:rPr>
          <w:rFonts w:ascii="Times New Roman" w:hAnsi="Times New Roman" w:cs="Times New Roman"/>
        </w:rPr>
        <w:t xml:space="preserve">  </w:t>
      </w:r>
    </w:p>
    <w:p w14:paraId="14D195F3" w14:textId="77777777" w:rsidR="00A606F8" w:rsidRDefault="00A606F8" w:rsidP="00A606F8">
      <w:pPr>
        <w:spacing w:line="480" w:lineRule="auto"/>
        <w:rPr>
          <w:rFonts w:ascii="Times New Roman" w:hAnsi="Times New Roman" w:cs="Times New Roman"/>
        </w:rPr>
      </w:pPr>
    </w:p>
    <w:p w14:paraId="171C5CC5" w14:textId="77777777" w:rsidR="00773893" w:rsidRDefault="00773893"/>
    <w:p w14:paraId="522572AD" w14:textId="77777777" w:rsidR="008554D0" w:rsidRDefault="008554D0"/>
    <w:p w14:paraId="2936216C" w14:textId="77777777" w:rsidR="008554D0" w:rsidRDefault="008554D0">
      <w:pPr>
        <w:sectPr w:rsidR="008554D0">
          <w:pgSz w:w="11906" w:h="16838"/>
          <w:pgMar w:top="1440" w:right="1440" w:bottom="1440" w:left="1440" w:header="708" w:footer="708" w:gutter="0"/>
          <w:cols w:space="708"/>
          <w:docGrid w:linePitch="360"/>
        </w:sectPr>
      </w:pPr>
    </w:p>
    <w:p w14:paraId="1CACEFE6" w14:textId="6FC54057" w:rsidR="008554D0" w:rsidRPr="0043083D" w:rsidRDefault="008554D0" w:rsidP="008554D0">
      <w:pPr>
        <w:rPr>
          <w:rFonts w:ascii="Times New Roman" w:hAnsi="Times New Roman" w:cs="Times New Roman"/>
          <w:u w:val="single"/>
        </w:rPr>
      </w:pPr>
      <w:r w:rsidRPr="0043083D">
        <w:rPr>
          <w:rFonts w:ascii="Times New Roman" w:hAnsi="Times New Roman" w:cs="Times New Roman"/>
          <w:u w:val="single"/>
        </w:rPr>
        <w:t>Table</w:t>
      </w:r>
      <w:r>
        <w:rPr>
          <w:rFonts w:ascii="Times New Roman" w:hAnsi="Times New Roman" w:cs="Times New Roman"/>
          <w:u w:val="single"/>
        </w:rPr>
        <w:t xml:space="preserve"> S</w:t>
      </w:r>
      <w:r w:rsidR="009469F1">
        <w:rPr>
          <w:rFonts w:ascii="Times New Roman" w:hAnsi="Times New Roman" w:cs="Times New Roman"/>
          <w:u w:val="single"/>
        </w:rPr>
        <w:t>3</w:t>
      </w:r>
    </w:p>
    <w:p w14:paraId="317BFEDB" w14:textId="5645BC06" w:rsidR="008554D0" w:rsidRDefault="008554D0" w:rsidP="008554D0">
      <w:pPr>
        <w:rPr>
          <w:rFonts w:ascii="Times New Roman" w:hAnsi="Times New Roman" w:cs="Times New Roman"/>
        </w:rPr>
      </w:pPr>
      <w:r>
        <w:rPr>
          <w:rFonts w:ascii="Times New Roman" w:hAnsi="Times New Roman" w:cs="Times New Roman"/>
        </w:rPr>
        <w:t>Clinical Outcome Data for Participants with and without PTSD</w:t>
      </w:r>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2126"/>
        <w:gridCol w:w="1985"/>
        <w:gridCol w:w="2126"/>
        <w:gridCol w:w="1989"/>
      </w:tblGrid>
      <w:tr w:rsidR="008554D0" w14:paraId="636198B9" w14:textId="77777777" w:rsidTr="004D0BEF">
        <w:tc>
          <w:tcPr>
            <w:tcW w:w="5949" w:type="dxa"/>
            <w:tcBorders>
              <w:top w:val="single" w:sz="4" w:space="0" w:color="auto"/>
              <w:bottom w:val="single" w:sz="4" w:space="0" w:color="auto"/>
            </w:tcBorders>
          </w:tcPr>
          <w:p w14:paraId="7CECE927" w14:textId="77777777" w:rsidR="008554D0" w:rsidRDefault="008554D0" w:rsidP="004D0BEF">
            <w:pPr>
              <w:rPr>
                <w:rFonts w:ascii="Times New Roman" w:hAnsi="Times New Roman" w:cs="Times New Roman"/>
                <w:sz w:val="24"/>
                <w:szCs w:val="24"/>
              </w:rPr>
            </w:pPr>
          </w:p>
        </w:tc>
        <w:tc>
          <w:tcPr>
            <w:tcW w:w="2126" w:type="dxa"/>
            <w:tcBorders>
              <w:top w:val="single" w:sz="4" w:space="0" w:color="auto"/>
              <w:bottom w:val="single" w:sz="4" w:space="0" w:color="auto"/>
            </w:tcBorders>
          </w:tcPr>
          <w:p w14:paraId="27B975F4"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PHQ-9 depression</w:t>
            </w:r>
          </w:p>
        </w:tc>
        <w:tc>
          <w:tcPr>
            <w:tcW w:w="1985" w:type="dxa"/>
            <w:tcBorders>
              <w:top w:val="single" w:sz="4" w:space="0" w:color="auto"/>
              <w:bottom w:val="single" w:sz="4" w:space="0" w:color="auto"/>
            </w:tcBorders>
          </w:tcPr>
          <w:p w14:paraId="10EEE3FD"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GAD-7 anxiety</w:t>
            </w:r>
          </w:p>
        </w:tc>
        <w:tc>
          <w:tcPr>
            <w:tcW w:w="2126" w:type="dxa"/>
            <w:tcBorders>
              <w:top w:val="single" w:sz="4" w:space="0" w:color="auto"/>
              <w:bottom w:val="single" w:sz="4" w:space="0" w:color="auto"/>
            </w:tcBorders>
          </w:tcPr>
          <w:p w14:paraId="37AD2C4A"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WSAS functioning</w:t>
            </w:r>
          </w:p>
        </w:tc>
        <w:tc>
          <w:tcPr>
            <w:tcW w:w="1989" w:type="dxa"/>
            <w:tcBorders>
              <w:top w:val="single" w:sz="4" w:space="0" w:color="auto"/>
              <w:bottom w:val="single" w:sz="4" w:space="0" w:color="auto"/>
            </w:tcBorders>
          </w:tcPr>
          <w:p w14:paraId="0988E263"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BGQ grief</w:t>
            </w:r>
          </w:p>
        </w:tc>
      </w:tr>
      <w:tr w:rsidR="008554D0" w14:paraId="6C6D5F5C" w14:textId="77777777" w:rsidTr="004D0BEF">
        <w:tc>
          <w:tcPr>
            <w:tcW w:w="5949" w:type="dxa"/>
            <w:tcBorders>
              <w:top w:val="single" w:sz="4" w:space="0" w:color="auto"/>
            </w:tcBorders>
          </w:tcPr>
          <w:p w14:paraId="322CEA38" w14:textId="2EA7949D" w:rsidR="008554D0" w:rsidRPr="0043083D" w:rsidRDefault="008554D0" w:rsidP="004D0BEF">
            <w:pPr>
              <w:rPr>
                <w:rFonts w:ascii="Times New Roman" w:hAnsi="Times New Roman" w:cs="Times New Roman"/>
                <w:i/>
                <w:iCs/>
                <w:sz w:val="24"/>
                <w:szCs w:val="24"/>
              </w:rPr>
            </w:pPr>
            <w:r>
              <w:rPr>
                <w:rFonts w:ascii="Times New Roman" w:hAnsi="Times New Roman" w:cs="Times New Roman"/>
                <w:i/>
                <w:iCs/>
                <w:sz w:val="24"/>
                <w:szCs w:val="24"/>
              </w:rPr>
              <w:t>PTSD sub</w:t>
            </w:r>
            <w:r w:rsidR="00D00F19">
              <w:rPr>
                <w:rFonts w:ascii="Times New Roman" w:hAnsi="Times New Roman" w:cs="Times New Roman"/>
                <w:i/>
                <w:iCs/>
                <w:sz w:val="24"/>
                <w:szCs w:val="24"/>
              </w:rPr>
              <w:t>s</w:t>
            </w:r>
            <w:r>
              <w:rPr>
                <w:rFonts w:ascii="Times New Roman" w:hAnsi="Times New Roman" w:cs="Times New Roman"/>
                <w:i/>
                <w:iCs/>
                <w:sz w:val="24"/>
                <w:szCs w:val="24"/>
              </w:rPr>
              <w:t>ample</w:t>
            </w:r>
          </w:p>
        </w:tc>
        <w:tc>
          <w:tcPr>
            <w:tcW w:w="2126" w:type="dxa"/>
            <w:tcBorders>
              <w:top w:val="single" w:sz="4" w:space="0" w:color="auto"/>
            </w:tcBorders>
          </w:tcPr>
          <w:p w14:paraId="0022273C" w14:textId="77777777" w:rsidR="008554D0" w:rsidRDefault="008554D0" w:rsidP="004D0BEF">
            <w:pPr>
              <w:rPr>
                <w:rFonts w:ascii="Times New Roman" w:hAnsi="Times New Roman" w:cs="Times New Roman"/>
                <w:sz w:val="24"/>
                <w:szCs w:val="24"/>
              </w:rPr>
            </w:pPr>
          </w:p>
        </w:tc>
        <w:tc>
          <w:tcPr>
            <w:tcW w:w="1985" w:type="dxa"/>
            <w:tcBorders>
              <w:top w:val="single" w:sz="4" w:space="0" w:color="auto"/>
            </w:tcBorders>
          </w:tcPr>
          <w:p w14:paraId="3947E7D0" w14:textId="77777777" w:rsidR="008554D0" w:rsidRDefault="008554D0" w:rsidP="004D0BEF">
            <w:pPr>
              <w:rPr>
                <w:rFonts w:ascii="Times New Roman" w:hAnsi="Times New Roman" w:cs="Times New Roman"/>
                <w:sz w:val="24"/>
                <w:szCs w:val="24"/>
              </w:rPr>
            </w:pPr>
          </w:p>
        </w:tc>
        <w:tc>
          <w:tcPr>
            <w:tcW w:w="2126" w:type="dxa"/>
            <w:tcBorders>
              <w:top w:val="single" w:sz="4" w:space="0" w:color="auto"/>
            </w:tcBorders>
          </w:tcPr>
          <w:p w14:paraId="1694E731" w14:textId="77777777" w:rsidR="008554D0" w:rsidRDefault="008554D0" w:rsidP="004D0BEF">
            <w:pPr>
              <w:rPr>
                <w:rFonts w:ascii="Times New Roman" w:hAnsi="Times New Roman" w:cs="Times New Roman"/>
                <w:sz w:val="24"/>
                <w:szCs w:val="24"/>
              </w:rPr>
            </w:pPr>
          </w:p>
        </w:tc>
        <w:tc>
          <w:tcPr>
            <w:tcW w:w="1989" w:type="dxa"/>
            <w:tcBorders>
              <w:top w:val="single" w:sz="4" w:space="0" w:color="auto"/>
            </w:tcBorders>
          </w:tcPr>
          <w:p w14:paraId="6975EF62" w14:textId="77777777" w:rsidR="008554D0" w:rsidRDefault="008554D0" w:rsidP="004D0BEF">
            <w:pPr>
              <w:rPr>
                <w:rFonts w:ascii="Times New Roman" w:hAnsi="Times New Roman" w:cs="Times New Roman"/>
                <w:sz w:val="24"/>
                <w:szCs w:val="24"/>
              </w:rPr>
            </w:pPr>
          </w:p>
        </w:tc>
      </w:tr>
      <w:tr w:rsidR="008554D0" w14:paraId="771BFCD2" w14:textId="77777777" w:rsidTr="004D0BEF">
        <w:tc>
          <w:tcPr>
            <w:tcW w:w="5949" w:type="dxa"/>
          </w:tcPr>
          <w:p w14:paraId="3AF047AE" w14:textId="67E95D85" w:rsidR="008554D0" w:rsidRDefault="008554D0" w:rsidP="004D0BEF">
            <w:pPr>
              <w:rPr>
                <w:rFonts w:ascii="Times New Roman" w:hAnsi="Times New Roman" w:cs="Times New Roman"/>
                <w:sz w:val="24"/>
                <w:szCs w:val="24"/>
              </w:rPr>
            </w:pPr>
            <w:r w:rsidRPr="004A697A">
              <w:rPr>
                <w:rFonts w:ascii="Times New Roman" w:hAnsi="Times New Roman" w:cs="Times New Roman"/>
                <w:i/>
                <w:iCs/>
                <w:sz w:val="24"/>
                <w:szCs w:val="24"/>
              </w:rPr>
              <w:t>N</w:t>
            </w:r>
            <w:r>
              <w:rPr>
                <w:rFonts w:ascii="Times New Roman" w:hAnsi="Times New Roman" w:cs="Times New Roman"/>
                <w:sz w:val="24"/>
                <w:szCs w:val="24"/>
              </w:rPr>
              <w:t xml:space="preserve"> with complete </w:t>
            </w:r>
            <w:proofErr w:type="spellStart"/>
            <w:r>
              <w:rPr>
                <w:rFonts w:ascii="Times New Roman" w:hAnsi="Times New Roman" w:cs="Times New Roman"/>
                <w:sz w:val="24"/>
                <w:szCs w:val="24"/>
              </w:rPr>
              <w:t>data</w:t>
            </w:r>
            <w:r w:rsidR="00D00F19" w:rsidRPr="00D00F19">
              <w:rPr>
                <w:rFonts w:ascii="Times New Roman" w:hAnsi="Times New Roman" w:cs="Times New Roman"/>
                <w:sz w:val="24"/>
                <w:szCs w:val="24"/>
                <w:vertAlign w:val="superscript"/>
              </w:rPr>
              <w:t>a</w:t>
            </w:r>
            <w:proofErr w:type="spellEnd"/>
          </w:p>
        </w:tc>
        <w:tc>
          <w:tcPr>
            <w:tcW w:w="2126" w:type="dxa"/>
          </w:tcPr>
          <w:p w14:paraId="2EFAB069" w14:textId="05A1905F" w:rsidR="008554D0" w:rsidRDefault="008554D0" w:rsidP="004D0BEF">
            <w:pPr>
              <w:rPr>
                <w:rFonts w:ascii="Times New Roman" w:hAnsi="Times New Roman" w:cs="Times New Roman"/>
                <w:sz w:val="24"/>
                <w:szCs w:val="24"/>
              </w:rPr>
            </w:pPr>
            <w:r>
              <w:rPr>
                <w:rFonts w:ascii="Times New Roman" w:hAnsi="Times New Roman" w:cs="Times New Roman"/>
                <w:sz w:val="24"/>
                <w:szCs w:val="24"/>
              </w:rPr>
              <w:t>14</w:t>
            </w:r>
          </w:p>
        </w:tc>
        <w:tc>
          <w:tcPr>
            <w:tcW w:w="1985" w:type="dxa"/>
          </w:tcPr>
          <w:p w14:paraId="624E6995" w14:textId="14525919" w:rsidR="008554D0" w:rsidRDefault="008554D0" w:rsidP="004D0BEF">
            <w:pPr>
              <w:rPr>
                <w:rFonts w:ascii="Times New Roman" w:hAnsi="Times New Roman" w:cs="Times New Roman"/>
                <w:sz w:val="24"/>
                <w:szCs w:val="24"/>
              </w:rPr>
            </w:pPr>
            <w:r>
              <w:rPr>
                <w:rFonts w:ascii="Times New Roman" w:hAnsi="Times New Roman" w:cs="Times New Roman"/>
                <w:sz w:val="24"/>
                <w:szCs w:val="24"/>
              </w:rPr>
              <w:t>14</w:t>
            </w:r>
          </w:p>
        </w:tc>
        <w:tc>
          <w:tcPr>
            <w:tcW w:w="2126" w:type="dxa"/>
          </w:tcPr>
          <w:p w14:paraId="7535773B" w14:textId="374306ED" w:rsidR="008554D0" w:rsidRDefault="008554D0" w:rsidP="004D0BEF">
            <w:pPr>
              <w:rPr>
                <w:rFonts w:ascii="Times New Roman" w:hAnsi="Times New Roman" w:cs="Times New Roman"/>
                <w:sz w:val="24"/>
                <w:szCs w:val="24"/>
              </w:rPr>
            </w:pPr>
            <w:r>
              <w:rPr>
                <w:rFonts w:ascii="Times New Roman" w:hAnsi="Times New Roman" w:cs="Times New Roman"/>
                <w:sz w:val="24"/>
                <w:szCs w:val="24"/>
              </w:rPr>
              <w:t>14</w:t>
            </w:r>
          </w:p>
        </w:tc>
        <w:tc>
          <w:tcPr>
            <w:tcW w:w="1989" w:type="dxa"/>
          </w:tcPr>
          <w:p w14:paraId="1F2C072D" w14:textId="216D75FC" w:rsidR="008554D0" w:rsidRDefault="008554D0" w:rsidP="004D0BEF">
            <w:pPr>
              <w:rPr>
                <w:rFonts w:ascii="Times New Roman" w:hAnsi="Times New Roman" w:cs="Times New Roman"/>
                <w:sz w:val="24"/>
                <w:szCs w:val="24"/>
              </w:rPr>
            </w:pPr>
            <w:r>
              <w:rPr>
                <w:rFonts w:ascii="Times New Roman" w:hAnsi="Times New Roman" w:cs="Times New Roman"/>
                <w:sz w:val="24"/>
                <w:szCs w:val="24"/>
              </w:rPr>
              <w:t>6</w:t>
            </w:r>
          </w:p>
        </w:tc>
      </w:tr>
      <w:tr w:rsidR="008554D0" w14:paraId="15DAD798" w14:textId="77777777" w:rsidTr="004D0BEF">
        <w:tc>
          <w:tcPr>
            <w:tcW w:w="5949" w:type="dxa"/>
          </w:tcPr>
          <w:p w14:paraId="07BEFC54"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First session</w:t>
            </w:r>
          </w:p>
        </w:tc>
        <w:tc>
          <w:tcPr>
            <w:tcW w:w="2126" w:type="dxa"/>
          </w:tcPr>
          <w:p w14:paraId="44E2D5B1" w14:textId="1A9B6923" w:rsidR="008554D0" w:rsidRDefault="008554D0" w:rsidP="004D0BEF">
            <w:pPr>
              <w:rPr>
                <w:rFonts w:ascii="Times New Roman" w:hAnsi="Times New Roman" w:cs="Times New Roman"/>
                <w:sz w:val="24"/>
                <w:szCs w:val="24"/>
              </w:rPr>
            </w:pPr>
            <w:r>
              <w:rPr>
                <w:rFonts w:ascii="Times New Roman" w:hAnsi="Times New Roman" w:cs="Times New Roman"/>
                <w:sz w:val="24"/>
                <w:szCs w:val="24"/>
              </w:rPr>
              <w:t>15.50 (4.03)</w:t>
            </w:r>
          </w:p>
        </w:tc>
        <w:tc>
          <w:tcPr>
            <w:tcW w:w="1985" w:type="dxa"/>
          </w:tcPr>
          <w:p w14:paraId="4D2CC376" w14:textId="5011C1A6" w:rsidR="008554D0" w:rsidRDefault="008554D0" w:rsidP="004D0BEF">
            <w:pPr>
              <w:rPr>
                <w:rFonts w:ascii="Times New Roman" w:hAnsi="Times New Roman" w:cs="Times New Roman"/>
                <w:sz w:val="24"/>
                <w:szCs w:val="24"/>
              </w:rPr>
            </w:pPr>
            <w:r>
              <w:rPr>
                <w:rFonts w:ascii="Times New Roman" w:hAnsi="Times New Roman" w:cs="Times New Roman"/>
                <w:sz w:val="24"/>
                <w:szCs w:val="24"/>
              </w:rPr>
              <w:t>13.57 (3.88)</w:t>
            </w:r>
          </w:p>
        </w:tc>
        <w:tc>
          <w:tcPr>
            <w:tcW w:w="2126" w:type="dxa"/>
          </w:tcPr>
          <w:p w14:paraId="49536FBE" w14:textId="449DB179" w:rsidR="008554D0" w:rsidRDefault="008554D0" w:rsidP="004D0BEF">
            <w:pPr>
              <w:rPr>
                <w:rFonts w:ascii="Times New Roman" w:hAnsi="Times New Roman" w:cs="Times New Roman"/>
                <w:sz w:val="24"/>
                <w:szCs w:val="24"/>
              </w:rPr>
            </w:pPr>
            <w:r>
              <w:rPr>
                <w:rFonts w:ascii="Times New Roman" w:hAnsi="Times New Roman" w:cs="Times New Roman"/>
                <w:sz w:val="24"/>
                <w:szCs w:val="24"/>
              </w:rPr>
              <w:t>20.64 (8.04)</w:t>
            </w:r>
          </w:p>
        </w:tc>
        <w:tc>
          <w:tcPr>
            <w:tcW w:w="1989" w:type="dxa"/>
          </w:tcPr>
          <w:p w14:paraId="20F298C1" w14:textId="1C98B9C5" w:rsidR="008554D0" w:rsidRDefault="008554D0" w:rsidP="004D0BEF">
            <w:pPr>
              <w:rPr>
                <w:rFonts w:ascii="Times New Roman" w:hAnsi="Times New Roman" w:cs="Times New Roman"/>
                <w:sz w:val="24"/>
                <w:szCs w:val="24"/>
              </w:rPr>
            </w:pPr>
            <w:r>
              <w:rPr>
                <w:rFonts w:ascii="Times New Roman" w:hAnsi="Times New Roman" w:cs="Times New Roman"/>
                <w:sz w:val="24"/>
                <w:szCs w:val="24"/>
              </w:rPr>
              <w:t>8.67 (1.37)</w:t>
            </w:r>
          </w:p>
        </w:tc>
      </w:tr>
      <w:tr w:rsidR="008554D0" w14:paraId="72CFD187" w14:textId="77777777" w:rsidTr="004D0BEF">
        <w:tc>
          <w:tcPr>
            <w:tcW w:w="5949" w:type="dxa"/>
          </w:tcPr>
          <w:p w14:paraId="078D8D88"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Last session</w:t>
            </w:r>
          </w:p>
        </w:tc>
        <w:tc>
          <w:tcPr>
            <w:tcW w:w="2126" w:type="dxa"/>
          </w:tcPr>
          <w:p w14:paraId="5C7B4D6E" w14:textId="1E665F3F" w:rsidR="008554D0" w:rsidRDefault="008554D0" w:rsidP="004D0BEF">
            <w:pPr>
              <w:rPr>
                <w:rFonts w:ascii="Times New Roman" w:hAnsi="Times New Roman" w:cs="Times New Roman"/>
                <w:sz w:val="24"/>
                <w:szCs w:val="24"/>
              </w:rPr>
            </w:pPr>
            <w:r>
              <w:rPr>
                <w:rFonts w:ascii="Times New Roman" w:hAnsi="Times New Roman" w:cs="Times New Roman"/>
                <w:sz w:val="24"/>
                <w:szCs w:val="24"/>
              </w:rPr>
              <w:t>6.29 (4.29)</w:t>
            </w:r>
          </w:p>
        </w:tc>
        <w:tc>
          <w:tcPr>
            <w:tcW w:w="1985" w:type="dxa"/>
          </w:tcPr>
          <w:p w14:paraId="0156698E" w14:textId="41CBC9D9" w:rsidR="008554D0" w:rsidRDefault="008554D0" w:rsidP="004D0BEF">
            <w:pPr>
              <w:rPr>
                <w:rFonts w:ascii="Times New Roman" w:hAnsi="Times New Roman" w:cs="Times New Roman"/>
                <w:sz w:val="24"/>
                <w:szCs w:val="24"/>
              </w:rPr>
            </w:pPr>
            <w:r>
              <w:rPr>
                <w:rFonts w:ascii="Times New Roman" w:hAnsi="Times New Roman" w:cs="Times New Roman"/>
                <w:sz w:val="24"/>
                <w:szCs w:val="24"/>
              </w:rPr>
              <w:t>6.57 (5.19)</w:t>
            </w:r>
          </w:p>
        </w:tc>
        <w:tc>
          <w:tcPr>
            <w:tcW w:w="2126" w:type="dxa"/>
          </w:tcPr>
          <w:p w14:paraId="6B1C11F9" w14:textId="5A393E40" w:rsidR="008554D0" w:rsidRDefault="008554D0" w:rsidP="004D0BEF">
            <w:pPr>
              <w:rPr>
                <w:rFonts w:ascii="Times New Roman" w:hAnsi="Times New Roman" w:cs="Times New Roman"/>
                <w:sz w:val="24"/>
                <w:szCs w:val="24"/>
              </w:rPr>
            </w:pPr>
            <w:r>
              <w:rPr>
                <w:rFonts w:ascii="Times New Roman" w:hAnsi="Times New Roman" w:cs="Times New Roman"/>
                <w:sz w:val="24"/>
                <w:szCs w:val="24"/>
              </w:rPr>
              <w:t>13.07 (9.03)</w:t>
            </w:r>
          </w:p>
        </w:tc>
        <w:tc>
          <w:tcPr>
            <w:tcW w:w="1989" w:type="dxa"/>
          </w:tcPr>
          <w:p w14:paraId="2EEA6FCD" w14:textId="6B8BCD61" w:rsidR="008554D0" w:rsidRDefault="008554D0" w:rsidP="004D0BEF">
            <w:pPr>
              <w:rPr>
                <w:rFonts w:ascii="Times New Roman" w:hAnsi="Times New Roman" w:cs="Times New Roman"/>
                <w:sz w:val="24"/>
                <w:szCs w:val="24"/>
              </w:rPr>
            </w:pPr>
            <w:r>
              <w:rPr>
                <w:rFonts w:ascii="Times New Roman" w:hAnsi="Times New Roman" w:cs="Times New Roman"/>
                <w:sz w:val="24"/>
                <w:szCs w:val="24"/>
              </w:rPr>
              <w:t>4.00 (2.61)</w:t>
            </w:r>
          </w:p>
        </w:tc>
      </w:tr>
      <w:tr w:rsidR="008554D0" w14:paraId="4EDCF305" w14:textId="77777777" w:rsidTr="004D0BEF">
        <w:tc>
          <w:tcPr>
            <w:tcW w:w="5949" w:type="dxa"/>
          </w:tcPr>
          <w:p w14:paraId="29A621E1"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Change</w:t>
            </w:r>
          </w:p>
        </w:tc>
        <w:tc>
          <w:tcPr>
            <w:tcW w:w="2126" w:type="dxa"/>
          </w:tcPr>
          <w:p w14:paraId="656E75B3" w14:textId="705690C4" w:rsidR="008554D0" w:rsidRDefault="008554D0" w:rsidP="004D0BEF">
            <w:pPr>
              <w:rPr>
                <w:rFonts w:ascii="Times New Roman" w:hAnsi="Times New Roman" w:cs="Times New Roman"/>
                <w:sz w:val="24"/>
                <w:szCs w:val="24"/>
              </w:rPr>
            </w:pPr>
            <w:r>
              <w:rPr>
                <w:rFonts w:ascii="Times New Roman" w:hAnsi="Times New Roman" w:cs="Times New Roman"/>
                <w:sz w:val="24"/>
                <w:szCs w:val="24"/>
              </w:rPr>
              <w:t>9.21 (4.98)</w:t>
            </w:r>
          </w:p>
        </w:tc>
        <w:tc>
          <w:tcPr>
            <w:tcW w:w="1985" w:type="dxa"/>
          </w:tcPr>
          <w:p w14:paraId="59A6405F" w14:textId="104B56EA" w:rsidR="008554D0" w:rsidRDefault="008554D0" w:rsidP="004D0BEF">
            <w:pPr>
              <w:rPr>
                <w:rFonts w:ascii="Times New Roman" w:hAnsi="Times New Roman" w:cs="Times New Roman"/>
                <w:sz w:val="24"/>
                <w:szCs w:val="24"/>
              </w:rPr>
            </w:pPr>
            <w:r>
              <w:rPr>
                <w:rFonts w:ascii="Times New Roman" w:hAnsi="Times New Roman" w:cs="Times New Roman"/>
                <w:sz w:val="24"/>
                <w:szCs w:val="24"/>
              </w:rPr>
              <w:t>7.00 (6.37)</w:t>
            </w:r>
          </w:p>
        </w:tc>
        <w:tc>
          <w:tcPr>
            <w:tcW w:w="2126" w:type="dxa"/>
          </w:tcPr>
          <w:p w14:paraId="5A006F60" w14:textId="3C97B57D" w:rsidR="008554D0" w:rsidRDefault="008554D0" w:rsidP="004D0BEF">
            <w:pPr>
              <w:rPr>
                <w:rFonts w:ascii="Times New Roman" w:hAnsi="Times New Roman" w:cs="Times New Roman"/>
                <w:sz w:val="24"/>
                <w:szCs w:val="24"/>
              </w:rPr>
            </w:pPr>
            <w:r>
              <w:rPr>
                <w:rFonts w:ascii="Times New Roman" w:hAnsi="Times New Roman" w:cs="Times New Roman"/>
                <w:sz w:val="24"/>
                <w:szCs w:val="24"/>
              </w:rPr>
              <w:t>7.57 (7.77)</w:t>
            </w:r>
          </w:p>
        </w:tc>
        <w:tc>
          <w:tcPr>
            <w:tcW w:w="1989" w:type="dxa"/>
          </w:tcPr>
          <w:p w14:paraId="5DBDA12C" w14:textId="12460CD5" w:rsidR="008554D0" w:rsidRDefault="008554D0" w:rsidP="004D0BEF">
            <w:pPr>
              <w:rPr>
                <w:rFonts w:ascii="Times New Roman" w:hAnsi="Times New Roman" w:cs="Times New Roman"/>
                <w:sz w:val="24"/>
                <w:szCs w:val="24"/>
              </w:rPr>
            </w:pPr>
            <w:r>
              <w:rPr>
                <w:rFonts w:ascii="Times New Roman" w:hAnsi="Times New Roman" w:cs="Times New Roman"/>
                <w:sz w:val="24"/>
                <w:szCs w:val="24"/>
              </w:rPr>
              <w:t>4.67 (2.42)</w:t>
            </w:r>
          </w:p>
        </w:tc>
      </w:tr>
      <w:tr w:rsidR="008554D0" w14:paraId="059DB360" w14:textId="77777777" w:rsidTr="004D0BEF">
        <w:tc>
          <w:tcPr>
            <w:tcW w:w="5949" w:type="dxa"/>
          </w:tcPr>
          <w:p w14:paraId="0D63DF16"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t-test</w:t>
            </w:r>
          </w:p>
        </w:tc>
        <w:tc>
          <w:tcPr>
            <w:tcW w:w="2126" w:type="dxa"/>
          </w:tcPr>
          <w:p w14:paraId="4B72016B" w14:textId="0F9260D7" w:rsidR="008554D0" w:rsidRPr="00B64D7F" w:rsidRDefault="008554D0" w:rsidP="004D0BEF">
            <w:pPr>
              <w:rPr>
                <w:rFonts w:ascii="Times New Roman" w:hAnsi="Times New Roman" w:cs="Times New Roman"/>
                <w:sz w:val="24"/>
                <w:szCs w:val="24"/>
              </w:rPr>
            </w:pPr>
            <w:r>
              <w:rPr>
                <w:rFonts w:ascii="Times New Roman" w:hAnsi="Times New Roman" w:cs="Times New Roman"/>
                <w:sz w:val="24"/>
                <w:szCs w:val="24"/>
              </w:rPr>
              <w:t>6.02, p&lt;.001</w:t>
            </w:r>
          </w:p>
        </w:tc>
        <w:tc>
          <w:tcPr>
            <w:tcW w:w="1985" w:type="dxa"/>
          </w:tcPr>
          <w:p w14:paraId="6FAD4913" w14:textId="583E6C0E" w:rsidR="008554D0" w:rsidRPr="00B64D7F" w:rsidRDefault="008554D0" w:rsidP="004D0BEF">
            <w:pPr>
              <w:rPr>
                <w:rFonts w:ascii="Times New Roman" w:hAnsi="Times New Roman" w:cs="Times New Roman"/>
                <w:sz w:val="24"/>
                <w:szCs w:val="24"/>
              </w:rPr>
            </w:pPr>
            <w:r>
              <w:rPr>
                <w:rFonts w:ascii="Times New Roman" w:hAnsi="Times New Roman" w:cs="Times New Roman"/>
                <w:sz w:val="24"/>
                <w:szCs w:val="24"/>
              </w:rPr>
              <w:t>4.11, p&lt;.01</w:t>
            </w:r>
          </w:p>
        </w:tc>
        <w:tc>
          <w:tcPr>
            <w:tcW w:w="2126" w:type="dxa"/>
          </w:tcPr>
          <w:p w14:paraId="65D94A9F" w14:textId="5EBCFC77" w:rsidR="008554D0" w:rsidRPr="00E95C0C" w:rsidRDefault="008554D0" w:rsidP="004D0BEF">
            <w:pPr>
              <w:rPr>
                <w:rFonts w:ascii="Times New Roman" w:hAnsi="Times New Roman" w:cs="Times New Roman"/>
                <w:sz w:val="24"/>
                <w:szCs w:val="24"/>
              </w:rPr>
            </w:pPr>
            <w:r>
              <w:rPr>
                <w:rFonts w:ascii="Times New Roman" w:hAnsi="Times New Roman" w:cs="Times New Roman"/>
                <w:sz w:val="24"/>
                <w:szCs w:val="24"/>
              </w:rPr>
              <w:t>3.65, p&lt;.01</w:t>
            </w:r>
          </w:p>
        </w:tc>
        <w:tc>
          <w:tcPr>
            <w:tcW w:w="1989" w:type="dxa"/>
          </w:tcPr>
          <w:p w14:paraId="5C10A52E" w14:textId="28960724" w:rsidR="008554D0" w:rsidRPr="00E95C0C" w:rsidRDefault="008554D0" w:rsidP="004D0BEF">
            <w:pPr>
              <w:rPr>
                <w:rFonts w:ascii="Times New Roman" w:hAnsi="Times New Roman" w:cs="Times New Roman"/>
                <w:sz w:val="24"/>
                <w:szCs w:val="24"/>
              </w:rPr>
            </w:pPr>
            <w:r>
              <w:rPr>
                <w:rFonts w:ascii="Times New Roman" w:hAnsi="Times New Roman" w:cs="Times New Roman"/>
                <w:sz w:val="24"/>
                <w:szCs w:val="24"/>
              </w:rPr>
              <w:t>4.72, p&lt;.01</w:t>
            </w:r>
          </w:p>
        </w:tc>
      </w:tr>
      <w:tr w:rsidR="008554D0" w14:paraId="6C3F04E4" w14:textId="77777777" w:rsidTr="004D0BEF">
        <w:tc>
          <w:tcPr>
            <w:tcW w:w="5949" w:type="dxa"/>
          </w:tcPr>
          <w:p w14:paraId="0DF71F4D"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Cohen’s d</w:t>
            </w:r>
          </w:p>
        </w:tc>
        <w:tc>
          <w:tcPr>
            <w:tcW w:w="2126" w:type="dxa"/>
          </w:tcPr>
          <w:p w14:paraId="5C789401" w14:textId="422D0E26" w:rsidR="008554D0" w:rsidRPr="00B64D7F" w:rsidRDefault="008554D0" w:rsidP="004D0BEF">
            <w:pPr>
              <w:rPr>
                <w:rFonts w:ascii="Times New Roman" w:hAnsi="Times New Roman" w:cs="Times New Roman"/>
                <w:sz w:val="24"/>
                <w:szCs w:val="24"/>
              </w:rPr>
            </w:pPr>
            <w:r>
              <w:rPr>
                <w:rFonts w:ascii="Times New Roman" w:hAnsi="Times New Roman" w:cs="Times New Roman"/>
                <w:sz w:val="24"/>
                <w:szCs w:val="24"/>
              </w:rPr>
              <w:t>1.86 (0.96, 2.72)</w:t>
            </w:r>
          </w:p>
        </w:tc>
        <w:tc>
          <w:tcPr>
            <w:tcW w:w="1985" w:type="dxa"/>
          </w:tcPr>
          <w:p w14:paraId="18D2CBB3" w14:textId="482045C9" w:rsidR="008554D0" w:rsidRPr="00B64D7F" w:rsidRDefault="008554D0" w:rsidP="004D0BEF">
            <w:pPr>
              <w:rPr>
                <w:rFonts w:ascii="Times New Roman" w:hAnsi="Times New Roman" w:cs="Times New Roman"/>
                <w:sz w:val="24"/>
                <w:szCs w:val="24"/>
              </w:rPr>
            </w:pPr>
            <w:r>
              <w:rPr>
                <w:rFonts w:ascii="Times New Roman" w:hAnsi="Times New Roman" w:cs="Times New Roman"/>
                <w:sz w:val="24"/>
                <w:szCs w:val="24"/>
              </w:rPr>
              <w:t>1.10 (0.41, 1.76)</w:t>
            </w:r>
          </w:p>
        </w:tc>
        <w:tc>
          <w:tcPr>
            <w:tcW w:w="2126" w:type="dxa"/>
          </w:tcPr>
          <w:p w14:paraId="69DD43A1" w14:textId="43398E6F" w:rsidR="008554D0" w:rsidRPr="00E95C0C" w:rsidRDefault="008554D0" w:rsidP="004D0BEF">
            <w:pPr>
              <w:rPr>
                <w:rFonts w:ascii="Times New Roman" w:hAnsi="Times New Roman" w:cs="Times New Roman"/>
                <w:sz w:val="24"/>
                <w:szCs w:val="24"/>
              </w:rPr>
            </w:pPr>
            <w:r>
              <w:rPr>
                <w:rFonts w:ascii="Times New Roman" w:hAnsi="Times New Roman" w:cs="Times New Roman"/>
                <w:sz w:val="24"/>
                <w:szCs w:val="24"/>
              </w:rPr>
              <w:t>0.97 (0.32, 1.60)</w:t>
            </w:r>
          </w:p>
        </w:tc>
        <w:tc>
          <w:tcPr>
            <w:tcW w:w="1989" w:type="dxa"/>
          </w:tcPr>
          <w:p w14:paraId="68785AC4" w14:textId="42244717" w:rsidR="008554D0" w:rsidRPr="00E95C0C" w:rsidRDefault="008554D0" w:rsidP="004D0BEF">
            <w:pPr>
              <w:rPr>
                <w:rFonts w:ascii="Times New Roman" w:hAnsi="Times New Roman" w:cs="Times New Roman"/>
                <w:sz w:val="24"/>
                <w:szCs w:val="24"/>
              </w:rPr>
            </w:pPr>
            <w:r>
              <w:rPr>
                <w:rFonts w:ascii="Times New Roman" w:hAnsi="Times New Roman" w:cs="Times New Roman"/>
                <w:sz w:val="24"/>
                <w:szCs w:val="24"/>
              </w:rPr>
              <w:t>1.93 (0.50, 3.31)</w:t>
            </w:r>
          </w:p>
        </w:tc>
      </w:tr>
      <w:tr w:rsidR="008554D0" w14:paraId="7FCC8CC1" w14:textId="77777777" w:rsidTr="004D0BEF">
        <w:tc>
          <w:tcPr>
            <w:tcW w:w="5949" w:type="dxa"/>
          </w:tcPr>
          <w:p w14:paraId="48AB8A0D"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Reliable improvement</w:t>
            </w:r>
          </w:p>
        </w:tc>
        <w:tc>
          <w:tcPr>
            <w:tcW w:w="2126" w:type="dxa"/>
          </w:tcPr>
          <w:p w14:paraId="77DBEBDC" w14:textId="36ED3097" w:rsidR="008554D0" w:rsidRPr="00B64D7F" w:rsidRDefault="00C25A80" w:rsidP="004D0BEF">
            <w:pPr>
              <w:rPr>
                <w:rFonts w:ascii="Times New Roman" w:hAnsi="Times New Roman" w:cs="Times New Roman"/>
                <w:sz w:val="24"/>
                <w:szCs w:val="24"/>
              </w:rPr>
            </w:pPr>
            <w:r>
              <w:rPr>
                <w:rFonts w:ascii="Times New Roman" w:hAnsi="Times New Roman" w:cs="Times New Roman"/>
                <w:sz w:val="24"/>
                <w:szCs w:val="24"/>
              </w:rPr>
              <w:t>11/14 (79%)</w:t>
            </w:r>
          </w:p>
        </w:tc>
        <w:tc>
          <w:tcPr>
            <w:tcW w:w="1985" w:type="dxa"/>
          </w:tcPr>
          <w:p w14:paraId="4AF460A4" w14:textId="5F61BA6E" w:rsidR="008554D0" w:rsidRPr="00B64D7F" w:rsidRDefault="00C25A80" w:rsidP="004D0BEF">
            <w:pPr>
              <w:rPr>
                <w:rFonts w:ascii="Times New Roman" w:hAnsi="Times New Roman" w:cs="Times New Roman"/>
                <w:sz w:val="24"/>
                <w:szCs w:val="24"/>
              </w:rPr>
            </w:pPr>
            <w:r>
              <w:rPr>
                <w:rFonts w:ascii="Times New Roman" w:hAnsi="Times New Roman" w:cs="Times New Roman"/>
                <w:sz w:val="24"/>
                <w:szCs w:val="24"/>
              </w:rPr>
              <w:t>10/14 (71%)</w:t>
            </w:r>
          </w:p>
        </w:tc>
        <w:tc>
          <w:tcPr>
            <w:tcW w:w="2126" w:type="dxa"/>
          </w:tcPr>
          <w:p w14:paraId="1C2C4806" w14:textId="3A21FAB9" w:rsidR="008554D0" w:rsidRPr="009469F1" w:rsidRDefault="00C25A80" w:rsidP="004D0BEF">
            <w:pPr>
              <w:rPr>
                <w:rFonts w:ascii="Times New Roman" w:hAnsi="Times New Roman" w:cs="Times New Roman"/>
                <w:sz w:val="24"/>
                <w:szCs w:val="24"/>
              </w:rPr>
            </w:pPr>
            <w:r w:rsidRPr="009469F1">
              <w:rPr>
                <w:rFonts w:ascii="Times New Roman" w:hAnsi="Times New Roman" w:cs="Times New Roman"/>
                <w:sz w:val="24"/>
                <w:szCs w:val="24"/>
              </w:rPr>
              <w:t>6/14 (43%)</w:t>
            </w:r>
          </w:p>
        </w:tc>
        <w:tc>
          <w:tcPr>
            <w:tcW w:w="1989" w:type="dxa"/>
          </w:tcPr>
          <w:p w14:paraId="69D3DCDA" w14:textId="23CBF690" w:rsidR="008554D0" w:rsidRPr="00C33162" w:rsidRDefault="00C25A80" w:rsidP="004D0BEF">
            <w:pPr>
              <w:rPr>
                <w:rFonts w:ascii="Times New Roman" w:hAnsi="Times New Roman" w:cs="Times New Roman"/>
                <w:sz w:val="24"/>
                <w:szCs w:val="24"/>
              </w:rPr>
            </w:pPr>
            <w:r>
              <w:rPr>
                <w:rFonts w:ascii="Times New Roman" w:hAnsi="Times New Roman" w:cs="Times New Roman"/>
                <w:sz w:val="24"/>
                <w:szCs w:val="24"/>
              </w:rPr>
              <w:t>5/6 (80%)</w:t>
            </w:r>
          </w:p>
        </w:tc>
      </w:tr>
      <w:tr w:rsidR="008554D0" w14:paraId="0E03E77D" w14:textId="77777777" w:rsidTr="004D0BEF">
        <w:tc>
          <w:tcPr>
            <w:tcW w:w="5949" w:type="dxa"/>
          </w:tcPr>
          <w:p w14:paraId="6540C817"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Reliable deterioration</w:t>
            </w:r>
          </w:p>
        </w:tc>
        <w:tc>
          <w:tcPr>
            <w:tcW w:w="2126" w:type="dxa"/>
          </w:tcPr>
          <w:p w14:paraId="0148FD7D" w14:textId="75CA1B83" w:rsidR="008554D0" w:rsidRPr="00B64D7F" w:rsidRDefault="00C25A80" w:rsidP="004D0BEF">
            <w:pPr>
              <w:rPr>
                <w:rFonts w:ascii="Times New Roman" w:hAnsi="Times New Roman" w:cs="Times New Roman"/>
                <w:sz w:val="24"/>
                <w:szCs w:val="24"/>
              </w:rPr>
            </w:pPr>
            <w:r>
              <w:rPr>
                <w:rFonts w:ascii="Times New Roman" w:hAnsi="Times New Roman" w:cs="Times New Roman"/>
                <w:sz w:val="24"/>
                <w:szCs w:val="24"/>
              </w:rPr>
              <w:t>0/14 (0%)</w:t>
            </w:r>
          </w:p>
        </w:tc>
        <w:tc>
          <w:tcPr>
            <w:tcW w:w="1985" w:type="dxa"/>
          </w:tcPr>
          <w:p w14:paraId="683163CC" w14:textId="3733EB3B" w:rsidR="008554D0" w:rsidRPr="00B64D7F" w:rsidRDefault="00C25A80" w:rsidP="004D0BEF">
            <w:pPr>
              <w:rPr>
                <w:rFonts w:ascii="Times New Roman" w:hAnsi="Times New Roman" w:cs="Times New Roman"/>
                <w:sz w:val="24"/>
                <w:szCs w:val="24"/>
              </w:rPr>
            </w:pPr>
            <w:r>
              <w:rPr>
                <w:rFonts w:ascii="Times New Roman" w:hAnsi="Times New Roman" w:cs="Times New Roman"/>
                <w:sz w:val="24"/>
                <w:szCs w:val="24"/>
              </w:rPr>
              <w:t>0/14(0%)</w:t>
            </w:r>
          </w:p>
        </w:tc>
        <w:tc>
          <w:tcPr>
            <w:tcW w:w="2126" w:type="dxa"/>
          </w:tcPr>
          <w:p w14:paraId="49CE7C93" w14:textId="141761D0" w:rsidR="008554D0" w:rsidRPr="009469F1" w:rsidRDefault="00C25A80" w:rsidP="004D0BEF">
            <w:pPr>
              <w:rPr>
                <w:rFonts w:ascii="Times New Roman" w:hAnsi="Times New Roman" w:cs="Times New Roman"/>
                <w:sz w:val="24"/>
                <w:szCs w:val="24"/>
              </w:rPr>
            </w:pPr>
            <w:r w:rsidRPr="009469F1">
              <w:rPr>
                <w:rFonts w:ascii="Times New Roman" w:hAnsi="Times New Roman" w:cs="Times New Roman"/>
                <w:sz w:val="24"/>
                <w:szCs w:val="24"/>
              </w:rPr>
              <w:t>0/14(0%)</w:t>
            </w:r>
          </w:p>
        </w:tc>
        <w:tc>
          <w:tcPr>
            <w:tcW w:w="1989" w:type="dxa"/>
          </w:tcPr>
          <w:p w14:paraId="118DF530" w14:textId="2D0D592D" w:rsidR="008554D0" w:rsidRPr="00C33162" w:rsidRDefault="00C25A80" w:rsidP="004D0BEF">
            <w:pPr>
              <w:rPr>
                <w:rFonts w:ascii="Times New Roman" w:hAnsi="Times New Roman" w:cs="Times New Roman"/>
                <w:sz w:val="24"/>
                <w:szCs w:val="24"/>
              </w:rPr>
            </w:pPr>
            <w:r>
              <w:rPr>
                <w:rFonts w:ascii="Times New Roman" w:hAnsi="Times New Roman" w:cs="Times New Roman"/>
                <w:sz w:val="24"/>
                <w:szCs w:val="24"/>
              </w:rPr>
              <w:t>0/6(0%)</w:t>
            </w:r>
          </w:p>
        </w:tc>
      </w:tr>
      <w:tr w:rsidR="008554D0" w14:paraId="38485F57" w14:textId="77777777" w:rsidTr="004D0BEF">
        <w:tc>
          <w:tcPr>
            <w:tcW w:w="5949" w:type="dxa"/>
          </w:tcPr>
          <w:p w14:paraId="46D470F7"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Recovery</w:t>
            </w:r>
          </w:p>
        </w:tc>
        <w:tc>
          <w:tcPr>
            <w:tcW w:w="2126" w:type="dxa"/>
          </w:tcPr>
          <w:p w14:paraId="5EFE834E" w14:textId="6640AC61" w:rsidR="008554D0" w:rsidRPr="00B64D7F" w:rsidRDefault="00C25A80" w:rsidP="004D0BEF">
            <w:pPr>
              <w:rPr>
                <w:rFonts w:ascii="Times New Roman" w:hAnsi="Times New Roman" w:cs="Times New Roman"/>
                <w:sz w:val="24"/>
                <w:szCs w:val="24"/>
              </w:rPr>
            </w:pPr>
            <w:r>
              <w:rPr>
                <w:rFonts w:ascii="Times New Roman" w:hAnsi="Times New Roman" w:cs="Times New Roman"/>
                <w:sz w:val="24"/>
                <w:szCs w:val="24"/>
              </w:rPr>
              <w:t>11/14 (79%)</w:t>
            </w:r>
          </w:p>
        </w:tc>
        <w:tc>
          <w:tcPr>
            <w:tcW w:w="1985" w:type="dxa"/>
          </w:tcPr>
          <w:p w14:paraId="65001D6D" w14:textId="4FDE846D" w:rsidR="008554D0" w:rsidRPr="00B64D7F" w:rsidRDefault="00C25A80" w:rsidP="004D0BEF">
            <w:pPr>
              <w:rPr>
                <w:rFonts w:ascii="Times New Roman" w:hAnsi="Times New Roman" w:cs="Times New Roman"/>
                <w:sz w:val="24"/>
                <w:szCs w:val="24"/>
              </w:rPr>
            </w:pPr>
            <w:r>
              <w:rPr>
                <w:rFonts w:ascii="Times New Roman" w:hAnsi="Times New Roman" w:cs="Times New Roman"/>
                <w:sz w:val="24"/>
                <w:szCs w:val="24"/>
              </w:rPr>
              <w:t>9/14 (64%)</w:t>
            </w:r>
          </w:p>
        </w:tc>
        <w:tc>
          <w:tcPr>
            <w:tcW w:w="2126" w:type="dxa"/>
          </w:tcPr>
          <w:p w14:paraId="5075D37C" w14:textId="3A5718D8" w:rsidR="008554D0" w:rsidRPr="00B64D7F" w:rsidRDefault="00C25A80" w:rsidP="004D0BEF">
            <w:pPr>
              <w:rPr>
                <w:rFonts w:ascii="Times New Roman" w:hAnsi="Times New Roman" w:cs="Times New Roman"/>
                <w:sz w:val="24"/>
                <w:szCs w:val="24"/>
              </w:rPr>
            </w:pPr>
            <w:r>
              <w:rPr>
                <w:rFonts w:ascii="Times New Roman" w:hAnsi="Times New Roman" w:cs="Times New Roman"/>
                <w:sz w:val="24"/>
                <w:szCs w:val="24"/>
              </w:rPr>
              <w:t>4/14 (29%)</w:t>
            </w:r>
          </w:p>
        </w:tc>
        <w:tc>
          <w:tcPr>
            <w:tcW w:w="1989" w:type="dxa"/>
          </w:tcPr>
          <w:p w14:paraId="533F23AC" w14:textId="16F8DC12" w:rsidR="008554D0" w:rsidRPr="00B64D7F" w:rsidRDefault="00C25A80" w:rsidP="004D0BEF">
            <w:pPr>
              <w:rPr>
                <w:rFonts w:ascii="Times New Roman" w:hAnsi="Times New Roman" w:cs="Times New Roman"/>
                <w:sz w:val="24"/>
                <w:szCs w:val="24"/>
              </w:rPr>
            </w:pPr>
            <w:r>
              <w:rPr>
                <w:rFonts w:ascii="Times New Roman" w:hAnsi="Times New Roman" w:cs="Times New Roman"/>
                <w:sz w:val="24"/>
                <w:szCs w:val="24"/>
              </w:rPr>
              <w:t>3/6 (50%)</w:t>
            </w:r>
          </w:p>
        </w:tc>
      </w:tr>
      <w:tr w:rsidR="008554D0" w14:paraId="65A24FE0" w14:textId="77777777" w:rsidTr="004D0BEF">
        <w:tc>
          <w:tcPr>
            <w:tcW w:w="5949" w:type="dxa"/>
            <w:tcBorders>
              <w:bottom w:val="single" w:sz="4" w:space="0" w:color="auto"/>
            </w:tcBorders>
          </w:tcPr>
          <w:p w14:paraId="4B7E6EFC" w14:textId="77777777" w:rsidR="008554D0" w:rsidRPr="00227EE4" w:rsidRDefault="008554D0" w:rsidP="004D0BEF">
            <w:pPr>
              <w:rPr>
                <w:rFonts w:ascii="Times New Roman" w:hAnsi="Times New Roman" w:cs="Times New Roman"/>
                <w:sz w:val="24"/>
                <w:szCs w:val="24"/>
              </w:rPr>
            </w:pPr>
            <w:r w:rsidRPr="00227EE4">
              <w:rPr>
                <w:rFonts w:ascii="Times New Roman" w:hAnsi="Times New Roman" w:cs="Times New Roman"/>
                <w:sz w:val="24"/>
                <w:szCs w:val="24"/>
              </w:rPr>
              <w:t>Response</w:t>
            </w:r>
            <w:r>
              <w:rPr>
                <w:rFonts w:ascii="Times New Roman" w:hAnsi="Times New Roman" w:cs="Times New Roman"/>
                <w:sz w:val="24"/>
                <w:szCs w:val="24"/>
              </w:rPr>
              <w:t xml:space="preserve"> (50% reduction in symptoms)</w:t>
            </w:r>
          </w:p>
        </w:tc>
        <w:tc>
          <w:tcPr>
            <w:tcW w:w="2126" w:type="dxa"/>
            <w:tcBorders>
              <w:bottom w:val="single" w:sz="4" w:space="0" w:color="auto"/>
            </w:tcBorders>
          </w:tcPr>
          <w:p w14:paraId="4C74A658" w14:textId="0DD377C4" w:rsidR="008554D0" w:rsidRPr="00227EE4" w:rsidRDefault="00B972F8" w:rsidP="004D0BEF">
            <w:pPr>
              <w:rPr>
                <w:rFonts w:ascii="Times New Roman" w:hAnsi="Times New Roman" w:cs="Times New Roman"/>
                <w:sz w:val="24"/>
                <w:szCs w:val="24"/>
              </w:rPr>
            </w:pPr>
            <w:r>
              <w:rPr>
                <w:rFonts w:ascii="Times New Roman" w:hAnsi="Times New Roman" w:cs="Times New Roman"/>
                <w:sz w:val="24"/>
                <w:szCs w:val="24"/>
              </w:rPr>
              <w:t>11/14 (79%)</w:t>
            </w:r>
          </w:p>
        </w:tc>
        <w:tc>
          <w:tcPr>
            <w:tcW w:w="1985" w:type="dxa"/>
            <w:tcBorders>
              <w:bottom w:val="single" w:sz="4" w:space="0" w:color="auto"/>
            </w:tcBorders>
          </w:tcPr>
          <w:p w14:paraId="321E4DEB" w14:textId="383038D3" w:rsidR="008554D0" w:rsidRPr="00227EE4" w:rsidRDefault="00B972F8" w:rsidP="004D0BEF">
            <w:pPr>
              <w:rPr>
                <w:rFonts w:ascii="Times New Roman" w:hAnsi="Times New Roman" w:cs="Times New Roman"/>
                <w:sz w:val="24"/>
                <w:szCs w:val="24"/>
              </w:rPr>
            </w:pPr>
            <w:r>
              <w:rPr>
                <w:rFonts w:ascii="Times New Roman" w:hAnsi="Times New Roman" w:cs="Times New Roman"/>
                <w:sz w:val="24"/>
                <w:szCs w:val="24"/>
              </w:rPr>
              <w:t>8/14 (57%)</w:t>
            </w:r>
          </w:p>
        </w:tc>
        <w:tc>
          <w:tcPr>
            <w:tcW w:w="2126" w:type="dxa"/>
            <w:tcBorders>
              <w:bottom w:val="single" w:sz="4" w:space="0" w:color="auto"/>
            </w:tcBorders>
          </w:tcPr>
          <w:p w14:paraId="4FA002F1" w14:textId="5FAF7DB0" w:rsidR="008554D0" w:rsidRPr="00227EE4" w:rsidRDefault="00B972F8" w:rsidP="004D0BEF">
            <w:pPr>
              <w:rPr>
                <w:rFonts w:ascii="Times New Roman" w:hAnsi="Times New Roman" w:cs="Times New Roman"/>
                <w:sz w:val="24"/>
                <w:szCs w:val="24"/>
              </w:rPr>
            </w:pPr>
            <w:r>
              <w:rPr>
                <w:rFonts w:ascii="Times New Roman" w:hAnsi="Times New Roman" w:cs="Times New Roman"/>
                <w:sz w:val="24"/>
                <w:szCs w:val="24"/>
              </w:rPr>
              <w:t>7/14 (50%)</w:t>
            </w:r>
          </w:p>
        </w:tc>
        <w:tc>
          <w:tcPr>
            <w:tcW w:w="1989" w:type="dxa"/>
            <w:tcBorders>
              <w:bottom w:val="single" w:sz="4" w:space="0" w:color="auto"/>
            </w:tcBorders>
          </w:tcPr>
          <w:p w14:paraId="489DB7D5" w14:textId="4833C2CC" w:rsidR="008554D0" w:rsidRPr="00227EE4" w:rsidRDefault="00B972F8" w:rsidP="004D0BEF">
            <w:pPr>
              <w:rPr>
                <w:rFonts w:ascii="Times New Roman" w:hAnsi="Times New Roman" w:cs="Times New Roman"/>
                <w:sz w:val="24"/>
                <w:szCs w:val="24"/>
              </w:rPr>
            </w:pPr>
            <w:r>
              <w:rPr>
                <w:rFonts w:ascii="Times New Roman" w:hAnsi="Times New Roman" w:cs="Times New Roman"/>
                <w:sz w:val="24"/>
                <w:szCs w:val="24"/>
              </w:rPr>
              <w:t>3/6 (50%)</w:t>
            </w:r>
          </w:p>
        </w:tc>
      </w:tr>
      <w:tr w:rsidR="008554D0" w14:paraId="542817E3" w14:textId="77777777" w:rsidTr="004D0BEF">
        <w:tc>
          <w:tcPr>
            <w:tcW w:w="5949" w:type="dxa"/>
            <w:tcBorders>
              <w:top w:val="single" w:sz="4" w:space="0" w:color="auto"/>
            </w:tcBorders>
          </w:tcPr>
          <w:p w14:paraId="1EDF3AFD" w14:textId="6ACCFC8A" w:rsidR="008554D0" w:rsidRDefault="008554D0" w:rsidP="004D0BEF">
            <w:pPr>
              <w:rPr>
                <w:rFonts w:ascii="Times New Roman" w:hAnsi="Times New Roman" w:cs="Times New Roman"/>
                <w:sz w:val="24"/>
                <w:szCs w:val="24"/>
              </w:rPr>
            </w:pPr>
            <w:r>
              <w:rPr>
                <w:rFonts w:ascii="Times New Roman" w:hAnsi="Times New Roman" w:cs="Times New Roman"/>
                <w:i/>
                <w:iCs/>
                <w:sz w:val="24"/>
                <w:szCs w:val="24"/>
              </w:rPr>
              <w:t>Remaining participants</w:t>
            </w:r>
          </w:p>
        </w:tc>
        <w:tc>
          <w:tcPr>
            <w:tcW w:w="2126" w:type="dxa"/>
            <w:tcBorders>
              <w:top w:val="single" w:sz="4" w:space="0" w:color="auto"/>
            </w:tcBorders>
          </w:tcPr>
          <w:p w14:paraId="74E6C3FD" w14:textId="77777777" w:rsidR="008554D0" w:rsidRPr="00227EE4" w:rsidRDefault="008554D0" w:rsidP="004D0BEF">
            <w:pPr>
              <w:rPr>
                <w:rFonts w:ascii="Times New Roman" w:hAnsi="Times New Roman" w:cs="Times New Roman"/>
                <w:sz w:val="24"/>
                <w:szCs w:val="24"/>
              </w:rPr>
            </w:pPr>
          </w:p>
        </w:tc>
        <w:tc>
          <w:tcPr>
            <w:tcW w:w="1985" w:type="dxa"/>
            <w:tcBorders>
              <w:top w:val="single" w:sz="4" w:space="0" w:color="auto"/>
            </w:tcBorders>
          </w:tcPr>
          <w:p w14:paraId="53F9B712" w14:textId="77777777" w:rsidR="008554D0" w:rsidRPr="00227EE4" w:rsidRDefault="008554D0" w:rsidP="004D0BEF">
            <w:pPr>
              <w:rPr>
                <w:rFonts w:ascii="Times New Roman" w:hAnsi="Times New Roman" w:cs="Times New Roman"/>
                <w:sz w:val="24"/>
                <w:szCs w:val="24"/>
              </w:rPr>
            </w:pPr>
          </w:p>
        </w:tc>
        <w:tc>
          <w:tcPr>
            <w:tcW w:w="2126" w:type="dxa"/>
            <w:tcBorders>
              <w:top w:val="single" w:sz="4" w:space="0" w:color="auto"/>
            </w:tcBorders>
          </w:tcPr>
          <w:p w14:paraId="2DF1189D" w14:textId="77777777" w:rsidR="008554D0" w:rsidRPr="00227EE4" w:rsidRDefault="008554D0" w:rsidP="004D0BEF">
            <w:pPr>
              <w:rPr>
                <w:rFonts w:ascii="Times New Roman" w:hAnsi="Times New Roman" w:cs="Times New Roman"/>
                <w:sz w:val="24"/>
                <w:szCs w:val="24"/>
              </w:rPr>
            </w:pPr>
          </w:p>
        </w:tc>
        <w:tc>
          <w:tcPr>
            <w:tcW w:w="1989" w:type="dxa"/>
            <w:tcBorders>
              <w:top w:val="single" w:sz="4" w:space="0" w:color="auto"/>
            </w:tcBorders>
          </w:tcPr>
          <w:p w14:paraId="154A082B" w14:textId="77777777" w:rsidR="008554D0" w:rsidRPr="00227EE4" w:rsidRDefault="008554D0" w:rsidP="004D0BEF">
            <w:pPr>
              <w:rPr>
                <w:rFonts w:ascii="Times New Roman" w:hAnsi="Times New Roman" w:cs="Times New Roman"/>
                <w:sz w:val="24"/>
                <w:szCs w:val="24"/>
              </w:rPr>
            </w:pPr>
          </w:p>
        </w:tc>
      </w:tr>
      <w:tr w:rsidR="008554D0" w14:paraId="6409B5ED" w14:textId="77777777" w:rsidTr="004D0BEF">
        <w:tc>
          <w:tcPr>
            <w:tcW w:w="5949" w:type="dxa"/>
          </w:tcPr>
          <w:p w14:paraId="21293722" w14:textId="1937BE8E" w:rsidR="008554D0" w:rsidRDefault="008554D0" w:rsidP="004D0BEF">
            <w:pPr>
              <w:rPr>
                <w:rFonts w:ascii="Times New Roman" w:hAnsi="Times New Roman" w:cs="Times New Roman"/>
                <w:sz w:val="24"/>
                <w:szCs w:val="24"/>
              </w:rPr>
            </w:pPr>
            <w:r w:rsidRPr="004A697A">
              <w:rPr>
                <w:rFonts w:ascii="Times New Roman" w:hAnsi="Times New Roman" w:cs="Times New Roman"/>
                <w:i/>
                <w:iCs/>
                <w:sz w:val="24"/>
                <w:szCs w:val="24"/>
              </w:rPr>
              <w:t>N</w:t>
            </w:r>
            <w:r>
              <w:rPr>
                <w:rFonts w:ascii="Times New Roman" w:hAnsi="Times New Roman" w:cs="Times New Roman"/>
                <w:sz w:val="24"/>
                <w:szCs w:val="24"/>
              </w:rPr>
              <w:t xml:space="preserve"> with complete </w:t>
            </w:r>
            <w:proofErr w:type="spellStart"/>
            <w:r>
              <w:rPr>
                <w:rFonts w:ascii="Times New Roman" w:hAnsi="Times New Roman" w:cs="Times New Roman"/>
                <w:sz w:val="24"/>
                <w:szCs w:val="24"/>
              </w:rPr>
              <w:t>data</w:t>
            </w:r>
            <w:r w:rsidR="00D00F19" w:rsidRPr="00D00F19">
              <w:rPr>
                <w:rFonts w:ascii="Times New Roman" w:hAnsi="Times New Roman" w:cs="Times New Roman"/>
                <w:sz w:val="24"/>
                <w:szCs w:val="24"/>
                <w:vertAlign w:val="superscript"/>
              </w:rPr>
              <w:t>b</w:t>
            </w:r>
            <w:proofErr w:type="spellEnd"/>
          </w:p>
        </w:tc>
        <w:tc>
          <w:tcPr>
            <w:tcW w:w="2126" w:type="dxa"/>
          </w:tcPr>
          <w:p w14:paraId="4534DAC2" w14:textId="1F085974"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65</w:t>
            </w:r>
          </w:p>
        </w:tc>
        <w:tc>
          <w:tcPr>
            <w:tcW w:w="1985" w:type="dxa"/>
          </w:tcPr>
          <w:p w14:paraId="17B9224A" w14:textId="5F5B288E"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65</w:t>
            </w:r>
          </w:p>
        </w:tc>
        <w:tc>
          <w:tcPr>
            <w:tcW w:w="2126" w:type="dxa"/>
          </w:tcPr>
          <w:p w14:paraId="3465343F" w14:textId="0AC5A94C"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65</w:t>
            </w:r>
          </w:p>
        </w:tc>
        <w:tc>
          <w:tcPr>
            <w:tcW w:w="1989" w:type="dxa"/>
          </w:tcPr>
          <w:p w14:paraId="299213AE" w14:textId="23EF71E0" w:rsidR="008554D0" w:rsidRPr="00227EE4" w:rsidRDefault="00D00F19" w:rsidP="004D0BEF">
            <w:pPr>
              <w:rPr>
                <w:rFonts w:ascii="Times New Roman" w:hAnsi="Times New Roman" w:cs="Times New Roman"/>
                <w:sz w:val="24"/>
                <w:szCs w:val="24"/>
              </w:rPr>
            </w:pPr>
            <w:r>
              <w:rPr>
                <w:rFonts w:ascii="Times New Roman" w:hAnsi="Times New Roman" w:cs="Times New Roman"/>
                <w:sz w:val="24"/>
                <w:szCs w:val="24"/>
              </w:rPr>
              <w:t>42</w:t>
            </w:r>
          </w:p>
        </w:tc>
      </w:tr>
      <w:tr w:rsidR="008554D0" w14:paraId="09CB6335" w14:textId="77777777" w:rsidTr="004D0BEF">
        <w:tc>
          <w:tcPr>
            <w:tcW w:w="5949" w:type="dxa"/>
          </w:tcPr>
          <w:p w14:paraId="63953C62"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First session</w:t>
            </w:r>
          </w:p>
        </w:tc>
        <w:tc>
          <w:tcPr>
            <w:tcW w:w="2126" w:type="dxa"/>
          </w:tcPr>
          <w:p w14:paraId="6F3A5C08" w14:textId="30197C2F"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15.17 (4.34)</w:t>
            </w:r>
          </w:p>
        </w:tc>
        <w:tc>
          <w:tcPr>
            <w:tcW w:w="1985" w:type="dxa"/>
          </w:tcPr>
          <w:p w14:paraId="2CE99658" w14:textId="0CBC2037"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12.94 (5.06)</w:t>
            </w:r>
          </w:p>
        </w:tc>
        <w:tc>
          <w:tcPr>
            <w:tcW w:w="2126" w:type="dxa"/>
          </w:tcPr>
          <w:p w14:paraId="18397621" w14:textId="78FA84AE"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19.11 (8.01)</w:t>
            </w:r>
          </w:p>
        </w:tc>
        <w:tc>
          <w:tcPr>
            <w:tcW w:w="1989" w:type="dxa"/>
          </w:tcPr>
          <w:p w14:paraId="6F758064" w14:textId="77DCE9CF"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7.81 (1.81)</w:t>
            </w:r>
          </w:p>
        </w:tc>
      </w:tr>
      <w:tr w:rsidR="008554D0" w14:paraId="4F89403A" w14:textId="77777777" w:rsidTr="004D0BEF">
        <w:tc>
          <w:tcPr>
            <w:tcW w:w="5949" w:type="dxa"/>
          </w:tcPr>
          <w:p w14:paraId="5AA9AADD"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Last session</w:t>
            </w:r>
          </w:p>
        </w:tc>
        <w:tc>
          <w:tcPr>
            <w:tcW w:w="2126" w:type="dxa"/>
          </w:tcPr>
          <w:p w14:paraId="3A0CCC7B" w14:textId="133CC325"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6.32 (5.82)</w:t>
            </w:r>
          </w:p>
        </w:tc>
        <w:tc>
          <w:tcPr>
            <w:tcW w:w="1985" w:type="dxa"/>
          </w:tcPr>
          <w:p w14:paraId="180D6F9D" w14:textId="59A29AA9"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5.98 (5.56)</w:t>
            </w:r>
          </w:p>
        </w:tc>
        <w:tc>
          <w:tcPr>
            <w:tcW w:w="2126" w:type="dxa"/>
          </w:tcPr>
          <w:p w14:paraId="567FA736" w14:textId="06CCECFC"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9.46 (9.21)</w:t>
            </w:r>
          </w:p>
        </w:tc>
        <w:tc>
          <w:tcPr>
            <w:tcW w:w="1989" w:type="dxa"/>
          </w:tcPr>
          <w:p w14:paraId="7A3E9FE6" w14:textId="35F9265E"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3.05 (2.48)</w:t>
            </w:r>
          </w:p>
        </w:tc>
      </w:tr>
      <w:tr w:rsidR="008554D0" w14:paraId="27AC3078" w14:textId="77777777" w:rsidTr="004D0BEF">
        <w:tc>
          <w:tcPr>
            <w:tcW w:w="5949" w:type="dxa"/>
          </w:tcPr>
          <w:p w14:paraId="5F71CCB5"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Change</w:t>
            </w:r>
          </w:p>
        </w:tc>
        <w:tc>
          <w:tcPr>
            <w:tcW w:w="2126" w:type="dxa"/>
          </w:tcPr>
          <w:p w14:paraId="2BC71B37" w14:textId="435F28CF"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8.85 (5.69)</w:t>
            </w:r>
          </w:p>
        </w:tc>
        <w:tc>
          <w:tcPr>
            <w:tcW w:w="1985" w:type="dxa"/>
          </w:tcPr>
          <w:p w14:paraId="106BD032" w14:textId="2F850959"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6.95 (5.48)</w:t>
            </w:r>
          </w:p>
        </w:tc>
        <w:tc>
          <w:tcPr>
            <w:tcW w:w="2126" w:type="dxa"/>
          </w:tcPr>
          <w:p w14:paraId="131EBF05" w14:textId="4EBB578D"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9.65 (8.91)</w:t>
            </w:r>
          </w:p>
        </w:tc>
        <w:tc>
          <w:tcPr>
            <w:tcW w:w="1989" w:type="dxa"/>
          </w:tcPr>
          <w:p w14:paraId="1D92E6C7" w14:textId="06D95354"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4.76 (2.85)</w:t>
            </w:r>
          </w:p>
        </w:tc>
      </w:tr>
      <w:tr w:rsidR="008554D0" w14:paraId="411598A5" w14:textId="77777777" w:rsidTr="004D0BEF">
        <w:tc>
          <w:tcPr>
            <w:tcW w:w="5949" w:type="dxa"/>
          </w:tcPr>
          <w:p w14:paraId="13CC2CB6"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t-test</w:t>
            </w:r>
          </w:p>
        </w:tc>
        <w:tc>
          <w:tcPr>
            <w:tcW w:w="2126" w:type="dxa"/>
          </w:tcPr>
          <w:p w14:paraId="1ADBEFAD" w14:textId="3999A991"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12.54, p&lt;.001</w:t>
            </w:r>
          </w:p>
        </w:tc>
        <w:tc>
          <w:tcPr>
            <w:tcW w:w="1985" w:type="dxa"/>
          </w:tcPr>
          <w:p w14:paraId="0286841D" w14:textId="5077B295"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10.24, p&lt;.001</w:t>
            </w:r>
          </w:p>
        </w:tc>
        <w:tc>
          <w:tcPr>
            <w:tcW w:w="2126" w:type="dxa"/>
          </w:tcPr>
          <w:p w14:paraId="7D86EBDA" w14:textId="5E1A81E7"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8.73, p&lt;.001</w:t>
            </w:r>
          </w:p>
        </w:tc>
        <w:tc>
          <w:tcPr>
            <w:tcW w:w="1989" w:type="dxa"/>
          </w:tcPr>
          <w:p w14:paraId="3C13078E" w14:textId="218B648A"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10.82, p&lt;.001</w:t>
            </w:r>
          </w:p>
        </w:tc>
      </w:tr>
      <w:tr w:rsidR="008554D0" w14:paraId="17D70036" w14:textId="77777777" w:rsidTr="004D0BEF">
        <w:tc>
          <w:tcPr>
            <w:tcW w:w="5949" w:type="dxa"/>
          </w:tcPr>
          <w:p w14:paraId="748DC569"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Cohen’s d</w:t>
            </w:r>
          </w:p>
        </w:tc>
        <w:tc>
          <w:tcPr>
            <w:tcW w:w="2126" w:type="dxa"/>
          </w:tcPr>
          <w:p w14:paraId="7DDB3451" w14:textId="7E239FCA"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1.56 (1.19, 1.92)</w:t>
            </w:r>
          </w:p>
        </w:tc>
        <w:tc>
          <w:tcPr>
            <w:tcW w:w="1985" w:type="dxa"/>
          </w:tcPr>
          <w:p w14:paraId="5D730C46" w14:textId="3C810769"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1.27 (0.94, 1.60)</w:t>
            </w:r>
          </w:p>
        </w:tc>
        <w:tc>
          <w:tcPr>
            <w:tcW w:w="2126" w:type="dxa"/>
          </w:tcPr>
          <w:p w14:paraId="21AAB538" w14:textId="384B06E2"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1.08 (0.77, 1.39)</w:t>
            </w:r>
          </w:p>
        </w:tc>
        <w:tc>
          <w:tcPr>
            <w:tcW w:w="1989" w:type="dxa"/>
          </w:tcPr>
          <w:p w14:paraId="2CF6EC61" w14:textId="13BC9B0D" w:rsidR="008554D0" w:rsidRPr="00227EE4" w:rsidRDefault="00954497" w:rsidP="004D0BEF">
            <w:pPr>
              <w:rPr>
                <w:rFonts w:ascii="Times New Roman" w:hAnsi="Times New Roman" w:cs="Times New Roman"/>
                <w:sz w:val="24"/>
                <w:szCs w:val="24"/>
              </w:rPr>
            </w:pPr>
            <w:r>
              <w:rPr>
                <w:rFonts w:ascii="Times New Roman" w:hAnsi="Times New Roman" w:cs="Times New Roman"/>
                <w:sz w:val="24"/>
                <w:szCs w:val="24"/>
              </w:rPr>
              <w:t>1.67 (1.20, 2.14)</w:t>
            </w:r>
          </w:p>
        </w:tc>
      </w:tr>
      <w:tr w:rsidR="008554D0" w14:paraId="49141190" w14:textId="77777777" w:rsidTr="004D0BEF">
        <w:tc>
          <w:tcPr>
            <w:tcW w:w="5949" w:type="dxa"/>
          </w:tcPr>
          <w:p w14:paraId="2E2FC939"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Reliable improvement</w:t>
            </w:r>
          </w:p>
        </w:tc>
        <w:tc>
          <w:tcPr>
            <w:tcW w:w="2126" w:type="dxa"/>
          </w:tcPr>
          <w:p w14:paraId="7A474C9F" w14:textId="5EEB63A9"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48/65 (74%)</w:t>
            </w:r>
          </w:p>
        </w:tc>
        <w:tc>
          <w:tcPr>
            <w:tcW w:w="1985" w:type="dxa"/>
          </w:tcPr>
          <w:p w14:paraId="1C536374" w14:textId="1763B634"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49/65 (75%)</w:t>
            </w:r>
          </w:p>
        </w:tc>
        <w:tc>
          <w:tcPr>
            <w:tcW w:w="2126" w:type="dxa"/>
          </w:tcPr>
          <w:p w14:paraId="461B1E00" w14:textId="581DC94F" w:rsidR="008554D0" w:rsidRPr="009469F1" w:rsidRDefault="00A13EE7" w:rsidP="004D0BEF">
            <w:pPr>
              <w:rPr>
                <w:rFonts w:ascii="Times New Roman" w:hAnsi="Times New Roman" w:cs="Times New Roman"/>
                <w:sz w:val="24"/>
                <w:szCs w:val="24"/>
              </w:rPr>
            </w:pPr>
            <w:r w:rsidRPr="009469F1">
              <w:rPr>
                <w:rFonts w:ascii="Times New Roman" w:hAnsi="Times New Roman" w:cs="Times New Roman"/>
                <w:sz w:val="24"/>
                <w:szCs w:val="24"/>
              </w:rPr>
              <w:t>26/65 (40%)</w:t>
            </w:r>
          </w:p>
        </w:tc>
        <w:tc>
          <w:tcPr>
            <w:tcW w:w="1989" w:type="dxa"/>
          </w:tcPr>
          <w:p w14:paraId="195ABD12" w14:textId="4B748E34"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32/42 (76%)</w:t>
            </w:r>
          </w:p>
        </w:tc>
      </w:tr>
      <w:tr w:rsidR="008554D0" w14:paraId="4D60F89D" w14:textId="77777777" w:rsidTr="004D0BEF">
        <w:tc>
          <w:tcPr>
            <w:tcW w:w="5949" w:type="dxa"/>
          </w:tcPr>
          <w:p w14:paraId="21F299BB"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Reliable deterioration</w:t>
            </w:r>
          </w:p>
        </w:tc>
        <w:tc>
          <w:tcPr>
            <w:tcW w:w="2126" w:type="dxa"/>
          </w:tcPr>
          <w:p w14:paraId="73005B4B" w14:textId="2F99DF77"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1/65 (2%)</w:t>
            </w:r>
          </w:p>
        </w:tc>
        <w:tc>
          <w:tcPr>
            <w:tcW w:w="1985" w:type="dxa"/>
          </w:tcPr>
          <w:p w14:paraId="6FBB4D92" w14:textId="0C082965"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2/65 (3%)</w:t>
            </w:r>
          </w:p>
        </w:tc>
        <w:tc>
          <w:tcPr>
            <w:tcW w:w="2126" w:type="dxa"/>
          </w:tcPr>
          <w:p w14:paraId="7F9BC7A8" w14:textId="49654B20" w:rsidR="008554D0" w:rsidRPr="009469F1" w:rsidRDefault="00A13EE7" w:rsidP="004D0BEF">
            <w:pPr>
              <w:rPr>
                <w:rFonts w:ascii="Times New Roman" w:hAnsi="Times New Roman" w:cs="Times New Roman"/>
                <w:sz w:val="24"/>
                <w:szCs w:val="24"/>
              </w:rPr>
            </w:pPr>
            <w:r w:rsidRPr="009469F1">
              <w:rPr>
                <w:rFonts w:ascii="Times New Roman" w:hAnsi="Times New Roman" w:cs="Times New Roman"/>
                <w:sz w:val="24"/>
                <w:szCs w:val="24"/>
              </w:rPr>
              <w:t>1/65 (2%)</w:t>
            </w:r>
          </w:p>
        </w:tc>
        <w:tc>
          <w:tcPr>
            <w:tcW w:w="1989" w:type="dxa"/>
          </w:tcPr>
          <w:p w14:paraId="16476E59" w14:textId="37461BCF"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1/42 (2%)</w:t>
            </w:r>
          </w:p>
        </w:tc>
      </w:tr>
      <w:tr w:rsidR="008554D0" w14:paraId="3CEA0481" w14:textId="77777777" w:rsidTr="004D0BEF">
        <w:tc>
          <w:tcPr>
            <w:tcW w:w="5949" w:type="dxa"/>
          </w:tcPr>
          <w:p w14:paraId="1C2E864A"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 xml:space="preserve">Recovery </w:t>
            </w:r>
          </w:p>
        </w:tc>
        <w:tc>
          <w:tcPr>
            <w:tcW w:w="2126" w:type="dxa"/>
          </w:tcPr>
          <w:p w14:paraId="3FE283E6" w14:textId="4130D31D"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50/65 (77%)</w:t>
            </w:r>
          </w:p>
        </w:tc>
        <w:tc>
          <w:tcPr>
            <w:tcW w:w="1985" w:type="dxa"/>
          </w:tcPr>
          <w:p w14:paraId="6FEADF2D" w14:textId="14D20E95"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49/65 (75%)</w:t>
            </w:r>
          </w:p>
        </w:tc>
        <w:tc>
          <w:tcPr>
            <w:tcW w:w="2126" w:type="dxa"/>
          </w:tcPr>
          <w:p w14:paraId="2080AC46" w14:textId="2C892C7A"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40/65 (62%)</w:t>
            </w:r>
          </w:p>
        </w:tc>
        <w:tc>
          <w:tcPr>
            <w:tcW w:w="1989" w:type="dxa"/>
          </w:tcPr>
          <w:p w14:paraId="035DB4B4" w14:textId="346E43C8"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27/42 (64%)</w:t>
            </w:r>
          </w:p>
        </w:tc>
      </w:tr>
      <w:tr w:rsidR="008554D0" w14:paraId="23593471" w14:textId="77777777" w:rsidTr="004D0BEF">
        <w:tc>
          <w:tcPr>
            <w:tcW w:w="5949" w:type="dxa"/>
            <w:tcBorders>
              <w:bottom w:val="single" w:sz="4" w:space="0" w:color="auto"/>
            </w:tcBorders>
          </w:tcPr>
          <w:p w14:paraId="78BB9BA8" w14:textId="77777777" w:rsidR="008554D0" w:rsidRDefault="008554D0" w:rsidP="004D0BEF">
            <w:pPr>
              <w:rPr>
                <w:rFonts w:ascii="Times New Roman" w:hAnsi="Times New Roman" w:cs="Times New Roman"/>
                <w:sz w:val="24"/>
                <w:szCs w:val="24"/>
              </w:rPr>
            </w:pPr>
            <w:r>
              <w:rPr>
                <w:rFonts w:ascii="Times New Roman" w:hAnsi="Times New Roman" w:cs="Times New Roman"/>
                <w:sz w:val="24"/>
                <w:szCs w:val="24"/>
              </w:rPr>
              <w:t>Response (50% reduction in symptoms)</w:t>
            </w:r>
          </w:p>
        </w:tc>
        <w:tc>
          <w:tcPr>
            <w:tcW w:w="2126" w:type="dxa"/>
            <w:tcBorders>
              <w:bottom w:val="single" w:sz="4" w:space="0" w:color="auto"/>
            </w:tcBorders>
          </w:tcPr>
          <w:p w14:paraId="504F7138" w14:textId="74F1A29F"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43/65 (66%)</w:t>
            </w:r>
          </w:p>
        </w:tc>
        <w:tc>
          <w:tcPr>
            <w:tcW w:w="1985" w:type="dxa"/>
            <w:tcBorders>
              <w:bottom w:val="single" w:sz="4" w:space="0" w:color="auto"/>
            </w:tcBorders>
          </w:tcPr>
          <w:p w14:paraId="12B74E7C" w14:textId="4C3856E7"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43/65 (66%)</w:t>
            </w:r>
          </w:p>
        </w:tc>
        <w:tc>
          <w:tcPr>
            <w:tcW w:w="2126" w:type="dxa"/>
            <w:tcBorders>
              <w:bottom w:val="single" w:sz="4" w:space="0" w:color="auto"/>
            </w:tcBorders>
          </w:tcPr>
          <w:p w14:paraId="1D4A960F" w14:textId="3DF39503"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35/65 (54%)</w:t>
            </w:r>
          </w:p>
        </w:tc>
        <w:tc>
          <w:tcPr>
            <w:tcW w:w="1989" w:type="dxa"/>
            <w:tcBorders>
              <w:bottom w:val="single" w:sz="4" w:space="0" w:color="auto"/>
            </w:tcBorders>
          </w:tcPr>
          <w:p w14:paraId="516B7AF7" w14:textId="5614A3E8" w:rsidR="008554D0" w:rsidRPr="00227EE4" w:rsidRDefault="00A13EE7" w:rsidP="004D0BEF">
            <w:pPr>
              <w:rPr>
                <w:rFonts w:ascii="Times New Roman" w:hAnsi="Times New Roman" w:cs="Times New Roman"/>
                <w:sz w:val="24"/>
                <w:szCs w:val="24"/>
              </w:rPr>
            </w:pPr>
            <w:r>
              <w:rPr>
                <w:rFonts w:ascii="Times New Roman" w:hAnsi="Times New Roman" w:cs="Times New Roman"/>
                <w:sz w:val="24"/>
                <w:szCs w:val="24"/>
              </w:rPr>
              <w:t>27/42 (64%)</w:t>
            </w:r>
          </w:p>
        </w:tc>
      </w:tr>
    </w:tbl>
    <w:p w14:paraId="1BF1F4D9" w14:textId="2CB1134A" w:rsidR="00CB659B" w:rsidRPr="009469F1" w:rsidRDefault="008554D0">
      <w:pPr>
        <w:rPr>
          <w:rFonts w:ascii="Times New Roman" w:hAnsi="Times New Roman" w:cs="Times New Roman"/>
        </w:rPr>
      </w:pPr>
      <w:proofErr w:type="gramStart"/>
      <w:r w:rsidRPr="00917758">
        <w:rPr>
          <w:rFonts w:ascii="Times New Roman" w:hAnsi="Times New Roman" w:cs="Times New Roman"/>
          <w:i/>
          <w:iCs/>
        </w:rPr>
        <w:t>Note:</w:t>
      </w:r>
      <w:r>
        <w:rPr>
          <w:rFonts w:ascii="Times New Roman" w:hAnsi="Times New Roman" w:cs="Times New Roman"/>
        </w:rPr>
        <w:t xml:space="preserve"> continuous variables are mean (one SD) values; categorical variables are number (%) values; Cohen’s d effect sizes have 95% confidence interval in parentheses; </w:t>
      </w:r>
      <w:r w:rsidRPr="00383929">
        <w:rPr>
          <w:rFonts w:ascii="Times New Roman" w:hAnsi="Times New Roman" w:cs="Times New Roman"/>
          <w:vertAlign w:val="superscript"/>
        </w:rPr>
        <w:t>a</w:t>
      </w:r>
      <w:r>
        <w:rPr>
          <w:rFonts w:ascii="Times New Roman" w:hAnsi="Times New Roman" w:cs="Times New Roman"/>
        </w:rPr>
        <w:t xml:space="preserve"> </w:t>
      </w:r>
      <w:r w:rsidR="00D00F19">
        <w:rPr>
          <w:rFonts w:ascii="Times New Roman" w:hAnsi="Times New Roman" w:cs="Times New Roman"/>
        </w:rPr>
        <w:t xml:space="preserve">in the PTSD subsample, only 6/14 individuals had first and last treatment session BGQ scores; </w:t>
      </w:r>
      <w:r w:rsidR="00D00F19" w:rsidRPr="00D00F19">
        <w:rPr>
          <w:rFonts w:ascii="Times New Roman" w:hAnsi="Times New Roman" w:cs="Times New Roman"/>
          <w:vertAlign w:val="superscript"/>
        </w:rPr>
        <w:t>b</w:t>
      </w:r>
      <w:r w:rsidR="00D00F19">
        <w:rPr>
          <w:rFonts w:ascii="Times New Roman" w:hAnsi="Times New Roman" w:cs="Times New Roman"/>
        </w:rPr>
        <w:t xml:space="preserve"> in the remaining subsample of 66, </w:t>
      </w:r>
      <w:r>
        <w:rPr>
          <w:rFonts w:ascii="Times New Roman" w:hAnsi="Times New Roman" w:cs="Times New Roman"/>
        </w:rPr>
        <w:t>one individual only attended a single session, so had no post data for PHQ-9, GAD-7 and WSAS</w:t>
      </w:r>
      <w:r w:rsidR="00D00F19">
        <w:rPr>
          <w:rFonts w:ascii="Times New Roman" w:hAnsi="Times New Roman" w:cs="Times New Roman"/>
        </w:rPr>
        <w:t xml:space="preserve"> and </w:t>
      </w:r>
      <w:r>
        <w:rPr>
          <w:rFonts w:ascii="Times New Roman" w:hAnsi="Times New Roman" w:cs="Times New Roman"/>
        </w:rPr>
        <w:t>4</w:t>
      </w:r>
      <w:r w:rsidR="00D00F19">
        <w:rPr>
          <w:rFonts w:ascii="Times New Roman" w:hAnsi="Times New Roman" w:cs="Times New Roman"/>
        </w:rPr>
        <w:t>2</w:t>
      </w:r>
      <w:r>
        <w:rPr>
          <w:rFonts w:ascii="Times New Roman" w:hAnsi="Times New Roman" w:cs="Times New Roman"/>
        </w:rPr>
        <w:t xml:space="preserve"> participants had first and last session BGQ scores</w:t>
      </w:r>
      <w:r w:rsidR="00D00F19">
        <w:rPr>
          <w:rFonts w:ascii="Times New Roman" w:hAnsi="Times New Roman" w:cs="Times New Roman"/>
        </w:rPr>
        <w:t>.</w:t>
      </w:r>
      <w:proofErr w:type="gramEnd"/>
      <w:r w:rsidR="00D00F19">
        <w:rPr>
          <w:rFonts w:ascii="Times New Roman" w:hAnsi="Times New Roman" w:cs="Times New Roman"/>
        </w:rPr>
        <w:t xml:space="preserve"> </w:t>
      </w:r>
      <w:r w:rsidR="009469F1">
        <w:rPr>
          <w:rFonts w:ascii="Times New Roman" w:hAnsi="Times New Roman" w:cs="Times New Roman"/>
        </w:rPr>
        <w:t xml:space="preserve">A series of chi-squared tests (for binary variables) and repeated measures ANOVAs examined if there were any significant differences between the subgroups. The only significant difference was that WSAS recovery rates were lower for the PTSD sample than the remaining sample, p=.02. </w:t>
      </w:r>
    </w:p>
    <w:sectPr w:rsidR="00CB659B" w:rsidRPr="009469F1" w:rsidSect="00D00F19">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9F"/>
    <w:rsid w:val="00060788"/>
    <w:rsid w:val="00073C27"/>
    <w:rsid w:val="000A1F65"/>
    <w:rsid w:val="000B0877"/>
    <w:rsid w:val="00183B8E"/>
    <w:rsid w:val="0019625F"/>
    <w:rsid w:val="00233E31"/>
    <w:rsid w:val="00250258"/>
    <w:rsid w:val="002A6B2D"/>
    <w:rsid w:val="002C2A0C"/>
    <w:rsid w:val="002E7532"/>
    <w:rsid w:val="0030470E"/>
    <w:rsid w:val="00377052"/>
    <w:rsid w:val="003907D8"/>
    <w:rsid w:val="0039481C"/>
    <w:rsid w:val="003B2767"/>
    <w:rsid w:val="0040688C"/>
    <w:rsid w:val="0046002A"/>
    <w:rsid w:val="00472C85"/>
    <w:rsid w:val="004C549F"/>
    <w:rsid w:val="004C7053"/>
    <w:rsid w:val="004D25E5"/>
    <w:rsid w:val="004D3893"/>
    <w:rsid w:val="004D5FC8"/>
    <w:rsid w:val="004F2785"/>
    <w:rsid w:val="005070A8"/>
    <w:rsid w:val="00552B1B"/>
    <w:rsid w:val="0057214A"/>
    <w:rsid w:val="005942CC"/>
    <w:rsid w:val="005E415A"/>
    <w:rsid w:val="00631C60"/>
    <w:rsid w:val="00632D7C"/>
    <w:rsid w:val="006B7D2F"/>
    <w:rsid w:val="006C4FA9"/>
    <w:rsid w:val="00701389"/>
    <w:rsid w:val="007419BF"/>
    <w:rsid w:val="0074770A"/>
    <w:rsid w:val="00773893"/>
    <w:rsid w:val="007C313E"/>
    <w:rsid w:val="0081455F"/>
    <w:rsid w:val="008554D0"/>
    <w:rsid w:val="008606B2"/>
    <w:rsid w:val="008C2E4D"/>
    <w:rsid w:val="008E5D7B"/>
    <w:rsid w:val="00922798"/>
    <w:rsid w:val="009469F1"/>
    <w:rsid w:val="00954497"/>
    <w:rsid w:val="00955510"/>
    <w:rsid w:val="00957679"/>
    <w:rsid w:val="009A3D44"/>
    <w:rsid w:val="00A13EE7"/>
    <w:rsid w:val="00A47127"/>
    <w:rsid w:val="00A606F8"/>
    <w:rsid w:val="00A85866"/>
    <w:rsid w:val="00A87CCD"/>
    <w:rsid w:val="00AC503C"/>
    <w:rsid w:val="00AD31BD"/>
    <w:rsid w:val="00B22045"/>
    <w:rsid w:val="00B741F3"/>
    <w:rsid w:val="00B972F8"/>
    <w:rsid w:val="00BA05FE"/>
    <w:rsid w:val="00BA20D4"/>
    <w:rsid w:val="00BD1861"/>
    <w:rsid w:val="00BE33B1"/>
    <w:rsid w:val="00C1480D"/>
    <w:rsid w:val="00C21052"/>
    <w:rsid w:val="00C25A80"/>
    <w:rsid w:val="00C270F3"/>
    <w:rsid w:val="00C43ADC"/>
    <w:rsid w:val="00C62806"/>
    <w:rsid w:val="00C701F5"/>
    <w:rsid w:val="00C97122"/>
    <w:rsid w:val="00CB659B"/>
    <w:rsid w:val="00CC6C9D"/>
    <w:rsid w:val="00CD51AD"/>
    <w:rsid w:val="00D00F19"/>
    <w:rsid w:val="00DA322F"/>
    <w:rsid w:val="00DC1866"/>
    <w:rsid w:val="00DD0F74"/>
    <w:rsid w:val="00E847E4"/>
    <w:rsid w:val="00EF6D7E"/>
    <w:rsid w:val="00EF7F25"/>
    <w:rsid w:val="085057C1"/>
    <w:rsid w:val="23443BED"/>
    <w:rsid w:val="51D58636"/>
    <w:rsid w:val="56029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BB20"/>
  <w15:chartTrackingRefBased/>
  <w15:docId w15:val="{00F2278E-9898-493C-8846-92FEDB49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5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4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4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4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4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4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4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4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4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49F"/>
    <w:rPr>
      <w:rFonts w:eastAsiaTheme="majorEastAsia" w:cstheme="majorBidi"/>
      <w:color w:val="272727" w:themeColor="text1" w:themeTint="D8"/>
    </w:rPr>
  </w:style>
  <w:style w:type="paragraph" w:styleId="Title">
    <w:name w:val="Title"/>
    <w:basedOn w:val="Normal"/>
    <w:next w:val="Normal"/>
    <w:link w:val="TitleChar"/>
    <w:uiPriority w:val="10"/>
    <w:qFormat/>
    <w:rsid w:val="004C5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49F"/>
    <w:pPr>
      <w:spacing w:before="160"/>
      <w:jc w:val="center"/>
    </w:pPr>
    <w:rPr>
      <w:i/>
      <w:iCs/>
      <w:color w:val="404040" w:themeColor="text1" w:themeTint="BF"/>
    </w:rPr>
  </w:style>
  <w:style w:type="character" w:customStyle="1" w:styleId="QuoteChar">
    <w:name w:val="Quote Char"/>
    <w:basedOn w:val="DefaultParagraphFont"/>
    <w:link w:val="Quote"/>
    <w:uiPriority w:val="29"/>
    <w:rsid w:val="004C549F"/>
    <w:rPr>
      <w:i/>
      <w:iCs/>
      <w:color w:val="404040" w:themeColor="text1" w:themeTint="BF"/>
    </w:rPr>
  </w:style>
  <w:style w:type="paragraph" w:styleId="ListParagraph">
    <w:name w:val="List Paragraph"/>
    <w:basedOn w:val="Normal"/>
    <w:uiPriority w:val="34"/>
    <w:qFormat/>
    <w:rsid w:val="004C549F"/>
    <w:pPr>
      <w:ind w:left="720"/>
      <w:contextualSpacing/>
    </w:pPr>
  </w:style>
  <w:style w:type="character" w:styleId="IntenseEmphasis">
    <w:name w:val="Intense Emphasis"/>
    <w:basedOn w:val="DefaultParagraphFont"/>
    <w:uiPriority w:val="21"/>
    <w:qFormat/>
    <w:rsid w:val="004C549F"/>
    <w:rPr>
      <w:i/>
      <w:iCs/>
      <w:color w:val="0F4761" w:themeColor="accent1" w:themeShade="BF"/>
    </w:rPr>
  </w:style>
  <w:style w:type="paragraph" w:styleId="IntenseQuote">
    <w:name w:val="Intense Quote"/>
    <w:basedOn w:val="Normal"/>
    <w:next w:val="Normal"/>
    <w:link w:val="IntenseQuoteChar"/>
    <w:uiPriority w:val="30"/>
    <w:qFormat/>
    <w:rsid w:val="004C5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49F"/>
    <w:rPr>
      <w:i/>
      <w:iCs/>
      <w:color w:val="0F4761" w:themeColor="accent1" w:themeShade="BF"/>
    </w:rPr>
  </w:style>
  <w:style w:type="character" w:styleId="IntenseReference">
    <w:name w:val="Intense Reference"/>
    <w:basedOn w:val="DefaultParagraphFont"/>
    <w:uiPriority w:val="32"/>
    <w:qFormat/>
    <w:rsid w:val="004C549F"/>
    <w:rPr>
      <w:b/>
      <w:bCs/>
      <w:smallCaps/>
      <w:color w:val="0F4761" w:themeColor="accent1" w:themeShade="BF"/>
      <w:spacing w:val="5"/>
    </w:rPr>
  </w:style>
  <w:style w:type="paragraph" w:styleId="NoSpacing">
    <w:name w:val="No Spacing"/>
    <w:uiPriority w:val="1"/>
    <w:qFormat/>
    <w:rsid w:val="00C270F3"/>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C270F3"/>
    <w:rPr>
      <w:sz w:val="16"/>
      <w:szCs w:val="16"/>
    </w:rPr>
  </w:style>
  <w:style w:type="paragraph" w:styleId="CommentText">
    <w:name w:val="annotation text"/>
    <w:basedOn w:val="Normal"/>
    <w:link w:val="CommentTextChar"/>
    <w:uiPriority w:val="99"/>
    <w:unhideWhenUsed/>
    <w:rsid w:val="00C270F3"/>
    <w:pPr>
      <w:spacing w:line="240" w:lineRule="auto"/>
    </w:pPr>
    <w:rPr>
      <w:sz w:val="20"/>
      <w:szCs w:val="20"/>
    </w:rPr>
  </w:style>
  <w:style w:type="character" w:customStyle="1" w:styleId="CommentTextChar">
    <w:name w:val="Comment Text Char"/>
    <w:basedOn w:val="DefaultParagraphFont"/>
    <w:link w:val="CommentText"/>
    <w:uiPriority w:val="99"/>
    <w:rsid w:val="00C270F3"/>
    <w:rPr>
      <w:sz w:val="20"/>
      <w:szCs w:val="20"/>
    </w:rPr>
  </w:style>
  <w:style w:type="character" w:customStyle="1" w:styleId="cf01">
    <w:name w:val="cf01"/>
    <w:basedOn w:val="DefaultParagraphFont"/>
    <w:rsid w:val="00773893"/>
    <w:rPr>
      <w:rFonts w:ascii="Segoe UI" w:hAnsi="Segoe UI" w:cs="Segoe UI" w:hint="default"/>
      <w:sz w:val="18"/>
      <w:szCs w:val="18"/>
    </w:rPr>
  </w:style>
  <w:style w:type="character" w:customStyle="1" w:styleId="cf11">
    <w:name w:val="cf11"/>
    <w:basedOn w:val="DefaultParagraphFont"/>
    <w:rsid w:val="00773893"/>
    <w:rPr>
      <w:rFonts w:ascii="Segoe UI" w:hAnsi="Segoe UI" w:cs="Segoe UI" w:hint="default"/>
      <w:color w:val="0D0D0D"/>
      <w:sz w:val="18"/>
      <w:szCs w:val="18"/>
      <w:shd w:val="clear" w:color="auto" w:fill="FFFFFF"/>
    </w:rPr>
  </w:style>
  <w:style w:type="table" w:styleId="TableGrid">
    <w:name w:val="Table Grid"/>
    <w:basedOn w:val="TableNormal"/>
    <w:uiPriority w:val="39"/>
    <w:rsid w:val="00A606F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3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8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D3893"/>
    <w:rPr>
      <w:b/>
      <w:bCs/>
    </w:rPr>
  </w:style>
  <w:style w:type="character" w:customStyle="1" w:styleId="CommentSubjectChar">
    <w:name w:val="Comment Subject Char"/>
    <w:basedOn w:val="CommentTextChar"/>
    <w:link w:val="CommentSubject"/>
    <w:uiPriority w:val="99"/>
    <w:semiHidden/>
    <w:rsid w:val="004D3893"/>
    <w:rPr>
      <w:b/>
      <w:bCs/>
      <w:sz w:val="20"/>
      <w:szCs w:val="20"/>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C628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1/archinte.166.10.1092" TargetMode="External"/><Relationship Id="rId3" Type="http://schemas.openxmlformats.org/officeDocument/2006/relationships/webSettings" Target="webSettings.xml"/><Relationship Id="rId7" Type="http://schemas.openxmlformats.org/officeDocument/2006/relationships/hyperlink" Target="https://doi.org/10.1176/ps.2006.57.9.12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93/fampra/cmy050" TargetMode="External"/><Relationship Id="rId11" Type="http://schemas.openxmlformats.org/officeDocument/2006/relationships/theme" Target="theme/theme1.xml"/><Relationship Id="rId5" Type="http://schemas.openxmlformats.org/officeDocument/2006/relationships/hyperlink" Target="https://doi.org/10.1192/bjp.180.5.461" TargetMode="External"/><Relationship Id="rId10" Type="http://schemas.openxmlformats.org/officeDocument/2006/relationships/fontTable" Target="fontTable.xml"/><Relationship Id="rId4" Type="http://schemas.openxmlformats.org/officeDocument/2006/relationships/hyperlink" Target="https://doi.org/10.1046/j.1525-1497.2001.016009606.x" TargetMode="External"/><Relationship Id="rId9" Type="http://schemas.openxmlformats.org/officeDocument/2006/relationships/hyperlink" Target="https://doi.org/10.3109/13651501.2014.894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Barney</dc:creator>
  <cp:keywords/>
  <dc:description/>
  <cp:lastModifiedBy>Goff Sarah (Devon Partnership Trust)</cp:lastModifiedBy>
  <cp:revision>2</cp:revision>
  <dcterms:created xsi:type="dcterms:W3CDTF">2024-10-20T16:01:00Z</dcterms:created>
  <dcterms:modified xsi:type="dcterms:W3CDTF">2024-10-20T16:01:00Z</dcterms:modified>
</cp:coreProperties>
</file>