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3D96" w14:textId="77777777" w:rsidR="003A002E" w:rsidRPr="00FF0C9A" w:rsidRDefault="003A002E" w:rsidP="003A002E">
      <w:pPr>
        <w:spacing w:after="80"/>
        <w:jc w:val="center"/>
        <w:rPr>
          <w:rFonts w:cs="Times New Roman"/>
        </w:rPr>
      </w:pPr>
      <w:r w:rsidRPr="00FF0C9A">
        <w:rPr>
          <w:rFonts w:cs="Times New Roman"/>
          <w:b/>
        </w:rPr>
        <w:t>Online Appendix: Derivations of the Theoretical Model</w:t>
      </w:r>
    </w:p>
    <w:p w14:paraId="14B06C1A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 xml:space="preserve">I reproduce the derivations for the model developed from Friedman and Resnick’s (2001) cheap-pseudonym mechanism and interpreted through a Buchanan-Ostrom club and commons overlay. The notation follows the main text: </w:t>
      </w:r>
      <m:oMath>
        <m:r>
          <w:rPr>
            <w:rFonts w:ascii="Cambria Math" w:hAnsi="Cambria Math" w:cs="Times New Roman"/>
          </w:rPr>
          <m:t>n</m:t>
        </m:r>
      </m:oMath>
      <w:r w:rsidRPr="00FF0C9A">
        <w:rPr>
          <w:rFonts w:cs="Times New Roman"/>
        </w:rPr>
        <w:t xml:space="preserve"> denotes active participation, </w:t>
      </w:r>
      <m:oMath>
        <m:r>
          <w:rPr>
            <w:rFonts w:ascii="Cambria Math" w:hAnsi="Cambria Math" w:cs="Times New Roman"/>
          </w:rPr>
          <m:t>h</m:t>
        </m:r>
      </m:oMath>
      <w:r w:rsidRPr="00FF0C9A">
        <w:rPr>
          <w:rFonts w:cs="Times New Roman"/>
        </w:rPr>
        <w:t xml:space="preserve"> the share of uncivil contributions, </w:t>
      </w:r>
      <m:oMath>
        <m:r>
          <w:rPr>
            <w:rFonts w:ascii="Cambria Math" w:hAnsi="Cambria Math" w:cs="Times New Roman"/>
          </w:rPr>
          <m:t>τ</m:t>
        </m:r>
      </m:oMath>
      <w:r w:rsidRPr="00FF0C9A">
        <w:rPr>
          <w:rFonts w:cs="Times New Roman"/>
        </w:rPr>
        <w:t xml:space="preserve"> onboarding or verification friction, </w:t>
      </w:r>
      <m:oMath>
        <m:r>
          <w:rPr>
            <w:rFonts w:ascii="Cambria Math" w:hAnsi="Cambria Math" w:cs="Times New Roman"/>
          </w:rPr>
          <m:t>κ</m:t>
        </m:r>
      </m:oMath>
      <w:r w:rsidRPr="00FF0C9A">
        <w:rPr>
          <w:rFonts w:cs="Times New Roman"/>
        </w:rPr>
        <w:t xml:space="preserve"> the cost of identity reset, </w:t>
      </w:r>
      <m:oMath>
        <m:r>
          <w:rPr>
            <w:rFonts w:ascii="Cambria Math" w:hAnsi="Cambria Math" w:cs="Times New Roman"/>
          </w:rPr>
          <m:t>p</m:t>
        </m:r>
      </m:oMath>
      <w:r w:rsidRPr="00FF0C9A">
        <w:rPr>
          <w:rFonts w:cs="Times New Roman"/>
        </w:rPr>
        <w:t xml:space="preserve"> the probability of detection, and </w:t>
      </w:r>
      <m:oMath>
        <m:r>
          <w:rPr>
            <w:rFonts w:ascii="Cambria Math" w:hAnsi="Cambria Math" w:cs="Times New Roman"/>
          </w:rPr>
          <m:t>R-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FF0C9A">
        <w:rPr>
          <w:rFonts w:cs="Times New Roman"/>
        </w:rPr>
        <w:t xml:space="preserve"> the continuation value of good standing relative to newcomer status.</w:t>
      </w:r>
    </w:p>
    <w:p w14:paraId="4F2FD54C" w14:textId="77777777" w:rsidR="003A002E" w:rsidRPr="00FF0C9A" w:rsidRDefault="003A002E" w:rsidP="003A002E">
      <w:pPr>
        <w:pStyle w:val="Heading1"/>
        <w:spacing w:before="240"/>
        <w:rPr>
          <w:rFonts w:ascii="Times New Roman" w:hAnsi="Times New Roman" w:cs="Times New Roman"/>
          <w:sz w:val="24"/>
          <w:szCs w:val="24"/>
        </w:rPr>
      </w:pPr>
      <w:r w:rsidRPr="00FF0C9A">
        <w:rPr>
          <w:rFonts w:ascii="Times New Roman" w:hAnsi="Times New Roman" w:cs="Times New Roman"/>
          <w:sz w:val="24"/>
          <w:szCs w:val="24"/>
        </w:rPr>
        <w:t>Derivation of Equation (1)</w:t>
      </w:r>
    </w:p>
    <w:p w14:paraId="791692C2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Let the entry threshold be:</w:t>
      </w:r>
    </w:p>
    <w:p w14:paraId="7209079F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c</m:t>
              </m:r>
            </m:e>
          </m:acc>
          <m:r>
            <w:rPr>
              <w:rFonts w:ascii="Cambria Math" w:hAnsi="Cambria Math" w:cs="Times New Roman"/>
            </w:rPr>
            <m:t>=Q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n,h</m:t>
              </m:r>
            </m:e>
          </m:d>
          <m:r>
            <w:rPr>
              <w:rFonts w:ascii="Cambria Math" w:hAnsi="Cambria Math" w:cs="Times New Roman"/>
            </w:rPr>
            <m:t>-τ+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</m:oMath>
      </m:oMathPara>
    </w:p>
    <w:p w14:paraId="5F76555F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 xml:space="preserve">A user enters if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≤</m:t>
        </m:r>
        <m:acc>
          <m:accPr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</m:oMath>
      <w:r w:rsidRPr="00FF0C9A">
        <w:rPr>
          <w:rFonts w:cs="Times New Roman"/>
        </w:rPr>
        <w:t xml:space="preserve">. Because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~U[0,1]</m:t>
        </m:r>
      </m:oMath>
      <w:r w:rsidRPr="00FF0C9A">
        <w:rPr>
          <w:rFonts w:cs="Times New Roman"/>
        </w:rPr>
        <w:t xml:space="preserve">, the share of users who enter equals the probability that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Pr="00FF0C9A">
        <w:rPr>
          <w:rFonts w:cs="Times New Roman"/>
        </w:rPr>
        <w:t xml:space="preserve"> lies below the threshold. For an interior equilibrium with </w:t>
      </w:r>
      <m:oMath>
        <m:r>
          <w:rPr>
            <w:rFonts w:ascii="Cambria Math" w:hAnsi="Cambria Math" w:cs="Times New Roman"/>
          </w:rPr>
          <m:t>0&lt;</m:t>
        </m:r>
        <m:acc>
          <m:accPr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c</m:t>
            </m:r>
          </m:e>
        </m:acc>
        <m:r>
          <w:rPr>
            <w:rFonts w:ascii="Cambria Math" w:hAnsi="Cambria Math" w:cs="Times New Roman"/>
          </w:rPr>
          <m:t>&lt;1</m:t>
        </m:r>
      </m:oMath>
      <w:r w:rsidRPr="00FF0C9A">
        <w:rPr>
          <w:rFonts w:cs="Times New Roman"/>
        </w:rPr>
        <w:t>, this implies:</w:t>
      </w:r>
    </w:p>
    <w:p w14:paraId="59B60C08" w14:textId="77777777" w:rsidR="003A002E" w:rsidRPr="00FF0C9A" w:rsidRDefault="003A002E" w:rsidP="003A002E">
      <w:pPr>
        <w:spacing w:after="120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n=</m:t>
          </m:r>
          <m:func>
            <m:funcPr>
              <m:ctrlPr>
                <w:rPr>
                  <w:rFonts w:ascii="Cambria Math" w:hAnsi="Cambria Math" w:cs="Times New Roman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Pr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≤</m:t>
                  </m:r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</m:acc>
                </m:e>
              </m:d>
            </m:e>
          </m:func>
          <m:r>
            <w:rPr>
              <w:rFonts w:ascii="Cambria Math" w:hAnsi="Cambria Math" w:cs="Times New Roman"/>
            </w:rPr>
            <m:t>=</m:t>
          </m:r>
          <m:acc>
            <m:accPr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c</m:t>
              </m:r>
            </m:e>
          </m:acc>
        </m:oMath>
      </m:oMathPara>
    </w:p>
    <w:p w14:paraId="37F865AD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Substituting back for the threshold yields:</w:t>
      </w:r>
    </w:p>
    <w:p w14:paraId="4F615E5C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n=Q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n,h</m:t>
              </m:r>
            </m:e>
          </m:d>
          <m:r>
            <w:rPr>
              <w:rFonts w:ascii="Cambria Math" w:hAnsi="Cambria Math" w:cs="Times New Roman"/>
            </w:rPr>
            <m:t>-τ+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+μn-λh-τ+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</m:oMath>
      </m:oMathPara>
    </w:p>
    <w:p w14:paraId="656DD852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Rearranging gives:</w:t>
      </w:r>
    </w:p>
    <w:p w14:paraId="4210A704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1-μ</m:t>
              </m:r>
            </m:e>
          </m:d>
          <m:r>
            <w:rPr>
              <w:rFonts w:ascii="Cambria Math" w:hAnsi="Cambria Math" w:cs="Times New Roman"/>
            </w:rPr>
            <m:t>n=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-λh-τ+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</m:oMath>
      </m:oMathPara>
    </w:p>
    <w:p w14:paraId="13E42D81" w14:textId="77777777" w:rsidR="003A002E" w:rsidRPr="00FF0C9A" w:rsidRDefault="003A002E" w:rsidP="003A002E">
      <w:pPr>
        <w:spacing w:after="120"/>
        <w:ind w:firstLine="432"/>
        <w:rPr>
          <w:rFonts w:cs="Times New Roman"/>
          <w:lang w:val="pt-BR"/>
        </w:rPr>
      </w:pPr>
      <w:r w:rsidRPr="00FF0C9A">
        <w:rPr>
          <w:rFonts w:cs="Times New Roman"/>
          <w:lang w:val="pt-BR"/>
        </w:rPr>
        <w:t>Hence: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0AA1043B" w14:textId="77777777" w:rsidTr="000F7B3D">
        <w:tc>
          <w:tcPr>
            <w:tcW w:w="8275" w:type="dxa"/>
          </w:tcPr>
          <w:p w14:paraId="33B27AAA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-λh-τ+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1-μ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,  0&lt;μ&lt;1</m:t>
                </m:r>
              </m:oMath>
            </m:oMathPara>
          </w:p>
        </w:tc>
        <w:tc>
          <w:tcPr>
            <w:tcW w:w="1075" w:type="dxa"/>
          </w:tcPr>
          <w:p w14:paraId="6118AC90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(1)</w:t>
            </w:r>
          </w:p>
        </w:tc>
      </w:tr>
    </w:tbl>
    <w:p w14:paraId="5E2BFED5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The interior conditions are:</w:t>
      </w:r>
    </w:p>
    <w:p w14:paraId="58DC2272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0&lt;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b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-λh-τ+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&lt;1-μ</m:t>
          </m:r>
        </m:oMath>
      </m:oMathPara>
    </w:p>
    <w:p w14:paraId="10224CEE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If the left inequality fails, the corner solution is </w:t>
      </w:r>
      <m:oMath>
        <m:r>
          <w:rPr>
            <w:rFonts w:ascii="Cambria Math" w:hAnsi="Cambria Math" w:cs="Times New Roman"/>
          </w:rPr>
          <m:t>n=0</m:t>
        </m:r>
      </m:oMath>
      <w:r w:rsidRPr="00FF0C9A">
        <w:rPr>
          <w:rFonts w:cs="Times New Roman"/>
        </w:rPr>
        <w:t xml:space="preserve">. If the right inequality fails, the corner solution is </w:t>
      </w:r>
      <m:oMath>
        <m:r>
          <w:rPr>
            <w:rFonts w:ascii="Cambria Math" w:hAnsi="Cambria Math" w:cs="Times New Roman"/>
          </w:rPr>
          <m:t>n=1</m:t>
        </m:r>
      </m:oMath>
      <w:r w:rsidRPr="00FF0C9A">
        <w:rPr>
          <w:rFonts w:cs="Times New Roman"/>
        </w:rPr>
        <w:t xml:space="preserve">. The restriction </w:t>
      </w:r>
      <m:oMath>
        <m:r>
          <w:rPr>
            <w:rFonts w:ascii="Cambria Math" w:hAnsi="Cambria Math" w:cs="Times New Roman"/>
          </w:rPr>
          <m:t>0&lt;μ&lt;1</m:t>
        </m:r>
      </m:oMath>
      <w:r w:rsidRPr="00FF0C9A">
        <w:rPr>
          <w:rFonts w:cs="Times New Roman"/>
        </w:rPr>
        <w:t xml:space="preserve"> guarantees a unique fixed point in the interior because the positive feedback from participation to quality is not explosive.</w:t>
      </w:r>
    </w:p>
    <w:p w14:paraId="0EEDEDF4" w14:textId="77777777" w:rsidR="003A002E" w:rsidRPr="00FF0C9A" w:rsidRDefault="003A002E" w:rsidP="003A002E">
      <w:pPr>
        <w:pStyle w:val="Heading1"/>
        <w:spacing w:before="240"/>
        <w:rPr>
          <w:rFonts w:ascii="Times New Roman" w:hAnsi="Times New Roman" w:cs="Times New Roman"/>
          <w:sz w:val="24"/>
          <w:szCs w:val="24"/>
        </w:rPr>
      </w:pPr>
      <w:r w:rsidRPr="00FF0C9A">
        <w:rPr>
          <w:rFonts w:ascii="Times New Roman" w:hAnsi="Times New Roman" w:cs="Times New Roman"/>
          <w:sz w:val="24"/>
          <w:szCs w:val="24"/>
        </w:rPr>
        <w:t>Derivation of Equation (3)</w:t>
      </w:r>
    </w:p>
    <w:p w14:paraId="58CE528D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From Equation (2), an active user behaves uncivilly if and only if the one-period private gain from misconduct exceeds the expected discounted penalty. Define the cutoff:</w:t>
      </w:r>
    </w:p>
    <w:p w14:paraId="7E41CBCD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Π</m:t>
          </m:r>
          <m:r>
            <w:rPr>
              <w:rFonts w:ascii="Cambria Math" w:hAnsi="Cambria Math" w:cs="Times New Roman"/>
            </w:rPr>
            <m:t>=δp(κ+R-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)</m:t>
          </m:r>
        </m:oMath>
      </m:oMathPara>
    </w:p>
    <w:p w14:paraId="3D347CD8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Then an active user is uncivil whenever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g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&gt;</m:t>
        </m:r>
        <m:r>
          <m:rPr>
            <m:sty m:val="p"/>
          </m:rPr>
          <w:rPr>
            <w:rFonts w:ascii="Cambria Math" w:hAnsi="Cambria Math" w:cs="Times New Roman"/>
          </w:rPr>
          <m:t>Π</m:t>
        </m:r>
      </m:oMath>
      <w:r w:rsidRPr="00FF0C9A">
        <w:rPr>
          <w:rFonts w:cs="Times New Roman"/>
        </w:rPr>
        <w:t xml:space="preserve">. If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g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w:rPr>
            <w:rFonts w:ascii="Cambria Math" w:hAnsi="Cambria Math" w:cs="Times New Roman"/>
          </w:rPr>
          <m:t>~U[0,</m:t>
        </m:r>
        <m:bar>
          <m:barPr>
            <m:pos m:val="top"/>
            <m:ctrlPr>
              <w:rPr>
                <w:rFonts w:ascii="Cambria Math" w:hAnsi="Cambria Math" w:cs="Times New Roman"/>
                <w:i/>
              </w:rPr>
            </m:ctrlPr>
          </m:barPr>
          <m:e>
            <m:r>
              <w:rPr>
                <w:rFonts w:ascii="Cambria Math" w:hAnsi="Cambria Math" w:cs="Times New Roman"/>
              </w:rPr>
              <m:t>g</m:t>
            </m:r>
          </m:e>
        </m:bar>
        <m:r>
          <w:rPr>
            <w:rFonts w:ascii="Cambria Math" w:hAnsi="Cambria Math" w:cs="Times New Roman"/>
          </w:rPr>
          <m:t>]</m:t>
        </m:r>
      </m:oMath>
      <w:r w:rsidRPr="00FF0C9A">
        <w:rPr>
          <w:rFonts w:cs="Times New Roman"/>
        </w:rPr>
        <w:t>, the equilibrium share of uncivil users equals the probability that the private gain lies above the cutoff:</w:t>
      </w:r>
    </w:p>
    <w:p w14:paraId="21A65099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h=</m:t>
          </m:r>
          <m:func>
            <m:funcPr>
              <m:ctrlPr>
                <w:rPr>
                  <w:rFonts w:ascii="Cambria Math" w:hAnsi="Cambria Math" w:cs="Times New Roman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Pr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&gt;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Π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=1-</m:t>
          </m:r>
          <m:func>
            <m:funcPr>
              <m:ctrlPr>
                <w:rPr>
                  <w:rFonts w:ascii="Cambria Math" w:hAnsi="Cambria Math" w:cs="Times New Roman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Pr</m:t>
              </m:r>
              <m:ctrlPr>
                <w:rPr>
                  <w:rFonts w:ascii="Cambria Math" w:hAnsi="Cambria Math" w:cs="Times New Roman"/>
                  <w:i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≤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Π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=1-</m:t>
          </m:r>
          <m:r>
            <m:rPr>
              <m:sty m:val="p"/>
            </m:rPr>
            <w:rPr>
              <w:rFonts w:ascii="Cambria Math" w:hAnsi="Cambria Math" w:cs="Times New Roman"/>
            </w:rPr>
            <m:t>Π</m:t>
          </m:r>
          <m:r>
            <w:rPr>
              <w:rFonts w:ascii="Cambria Math" w:hAnsi="Cambria Math" w:cs="Times New Roman"/>
            </w:rPr>
            <m:t>/</m:t>
          </m:r>
          <m:bar>
            <m:barPr>
              <m:pos m:val="top"/>
              <m:ctrlPr>
                <w:rPr>
                  <w:rFonts w:ascii="Cambria Math" w:hAnsi="Cambria Math" w:cs="Times New Roman"/>
                  <w:i/>
                </w:rPr>
              </m:ctrlPr>
            </m:barPr>
            <m:e>
              <m:r>
                <w:rPr>
                  <w:rFonts w:ascii="Cambria Math" w:hAnsi="Cambria Math" w:cs="Times New Roman"/>
                </w:rPr>
                <m:t>g</m:t>
              </m:r>
            </m:e>
          </m:bar>
        </m:oMath>
      </m:oMathPara>
    </w:p>
    <w:p w14:paraId="046EC72A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Substituting for </w:t>
      </w:r>
      <m:oMath>
        <m:r>
          <m:rPr>
            <m:sty m:val="p"/>
          </m:rPr>
          <w:rPr>
            <w:rFonts w:ascii="Cambria Math" w:hAnsi="Cambria Math" w:cs="Times New Roman"/>
          </w:rPr>
          <m:t>Π</m:t>
        </m:r>
      </m:oMath>
      <w:r w:rsidRPr="00FF0C9A">
        <w:rPr>
          <w:rFonts w:cs="Times New Roman"/>
        </w:rPr>
        <w:t xml:space="preserve"> gives: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56F7D4B5" w14:textId="77777777" w:rsidTr="000F7B3D">
        <w:tc>
          <w:tcPr>
            <w:tcW w:w="8275" w:type="dxa"/>
          </w:tcPr>
          <w:p w14:paraId="28DB57F9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h=1-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δp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κ+R-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sub>
                        </m:sSub>
                      </m:e>
                    </m:d>
                  </m:num>
                  <m:den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e>
                    </m:bar>
                  </m:den>
                </m:f>
                <m:r>
                  <w:rPr>
                    <w:rFonts w:ascii="Cambria Math" w:hAnsi="Cambria Math" w:cs="Times New Roman"/>
                  </w:rPr>
                  <m:t>,  0&lt;δp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κ+R-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</w:rPr>
                  <m:t>&lt;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</w:rPr>
                      <m:t>g</m:t>
                    </m:r>
                  </m:e>
                </m:bar>
              </m:oMath>
            </m:oMathPara>
          </w:p>
        </w:tc>
        <w:tc>
          <w:tcPr>
            <w:tcW w:w="1075" w:type="dxa"/>
          </w:tcPr>
          <w:p w14:paraId="01CAAA67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(3)</w:t>
            </w:r>
          </w:p>
        </w:tc>
      </w:tr>
    </w:tbl>
    <w:p w14:paraId="7CA812CC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with the usual truncation to the unit interval. If </w:t>
      </w:r>
      <m:oMath>
        <m:r>
          <m:rPr>
            <m:sty m:val="p"/>
          </m:rPr>
          <w:rPr>
            <w:rFonts w:ascii="Cambria Math" w:hAnsi="Cambria Math" w:cs="Times New Roman"/>
          </w:rPr>
          <m:t>Π</m:t>
        </m:r>
        <m:r>
          <w:rPr>
            <w:rFonts w:ascii="Cambria Math" w:hAnsi="Cambria Math" w:cs="Times New Roman"/>
          </w:rPr>
          <m:t>≤0</m:t>
        </m:r>
      </m:oMath>
      <w:r w:rsidRPr="00FF0C9A">
        <w:rPr>
          <w:rFonts w:cs="Times New Roman"/>
        </w:rPr>
        <w:t xml:space="preserve">, then </w:t>
      </w:r>
      <m:oMath>
        <m:r>
          <w:rPr>
            <w:rFonts w:ascii="Cambria Math" w:hAnsi="Cambria Math" w:cs="Times New Roman"/>
          </w:rPr>
          <m:t>h=1</m:t>
        </m:r>
      </m:oMath>
      <w:r w:rsidRPr="00FF0C9A">
        <w:rPr>
          <w:rFonts w:cs="Times New Roman"/>
        </w:rPr>
        <w:t xml:space="preserve">; if </w:t>
      </w:r>
      <m:oMath>
        <m:r>
          <m:rPr>
            <m:sty m:val="p"/>
          </m:rPr>
          <w:rPr>
            <w:rFonts w:ascii="Cambria Math" w:hAnsi="Cambria Math" w:cs="Times New Roman"/>
          </w:rPr>
          <m:t>Π</m:t>
        </m:r>
        <m:r>
          <w:rPr>
            <w:rFonts w:ascii="Cambria Math" w:hAnsi="Cambria Math" w:cs="Times New Roman"/>
          </w:rPr>
          <m:t>≥</m:t>
        </m:r>
        <m:bar>
          <m:barPr>
            <m:pos m:val="top"/>
            <m:ctrlPr>
              <w:rPr>
                <w:rFonts w:ascii="Cambria Math" w:hAnsi="Cambria Math" w:cs="Times New Roman"/>
                <w:i/>
              </w:rPr>
            </m:ctrlPr>
          </m:barPr>
          <m:e>
            <m:r>
              <w:rPr>
                <w:rFonts w:ascii="Cambria Math" w:hAnsi="Cambria Math" w:cs="Times New Roman"/>
              </w:rPr>
              <m:t>g</m:t>
            </m:r>
          </m:e>
        </m:bar>
      </m:oMath>
      <w:r w:rsidRPr="00FF0C9A">
        <w:rPr>
          <w:rFonts w:cs="Times New Roman"/>
        </w:rPr>
        <w:t xml:space="preserve">, then </w:t>
      </w:r>
      <m:oMath>
        <m:r>
          <w:rPr>
            <w:rFonts w:ascii="Cambria Math" w:hAnsi="Cambria Math" w:cs="Times New Roman"/>
          </w:rPr>
          <m:t>h=0</m:t>
        </m:r>
      </m:oMath>
      <w:r w:rsidRPr="00FF0C9A">
        <w:rPr>
          <w:rFonts w:cs="Times New Roman"/>
        </w:rPr>
        <w:t xml:space="preserve">. </w:t>
      </w:r>
    </w:p>
    <w:p w14:paraId="56E6144B" w14:textId="77777777" w:rsidR="003A002E" w:rsidRPr="00FF0C9A" w:rsidRDefault="003A002E" w:rsidP="003A002E">
      <w:pPr>
        <w:pStyle w:val="Heading1"/>
        <w:spacing w:before="240"/>
        <w:rPr>
          <w:rFonts w:ascii="Times New Roman" w:hAnsi="Times New Roman" w:cs="Times New Roman"/>
          <w:sz w:val="24"/>
          <w:szCs w:val="24"/>
        </w:rPr>
      </w:pPr>
      <w:r w:rsidRPr="00FF0C9A">
        <w:rPr>
          <w:rFonts w:ascii="Times New Roman" w:hAnsi="Times New Roman" w:cs="Times New Roman"/>
          <w:sz w:val="24"/>
          <w:szCs w:val="24"/>
        </w:rPr>
        <w:lastRenderedPageBreak/>
        <w:t>Proof of the Main Comparative Statics</w:t>
      </w:r>
    </w:p>
    <w:p w14:paraId="53A56892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Start from equation (3):</w:t>
      </w:r>
    </w:p>
    <w:p w14:paraId="0BA99564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h=1-δp(κ+R-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)/</m:t>
          </m:r>
          <m:bar>
            <m:barPr>
              <m:pos m:val="top"/>
              <m:ctrlPr>
                <w:rPr>
                  <w:rFonts w:ascii="Cambria Math" w:hAnsi="Cambria Math" w:cs="Times New Roman"/>
                  <w:i/>
                </w:rPr>
              </m:ctrlPr>
            </m:barPr>
            <m:e>
              <m:r>
                <w:rPr>
                  <w:rFonts w:ascii="Cambria Math" w:hAnsi="Cambria Math" w:cs="Times New Roman"/>
                </w:rPr>
                <m:t>g</m:t>
              </m:r>
            </m:e>
          </m:bar>
        </m:oMath>
      </m:oMathPara>
    </w:p>
    <w:p w14:paraId="03D4C378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Differentiating with respect to the key institutional parameters yields</w:t>
      </w:r>
    </w:p>
    <w:p w14:paraId="145B9788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∂h</m:t>
              </m:r>
            </m:num>
            <m:den>
              <m:r>
                <w:rPr>
                  <w:rFonts w:ascii="Cambria Math" w:hAnsi="Cambria Math" w:cs="Times New Roman"/>
                </w:rPr>
                <m:t>∂κ</m:t>
              </m:r>
            </m:den>
          </m:f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δp</m:t>
              </m:r>
            </m:num>
            <m:den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den>
          </m:f>
          <m:r>
            <w:rPr>
              <w:rFonts w:ascii="Cambria Math" w:hAnsi="Cambria Math" w:cs="Times New Roman"/>
            </w:rPr>
            <m:t>&lt;0</m:t>
          </m:r>
        </m:oMath>
      </m:oMathPara>
    </w:p>
    <w:p w14:paraId="18D0F415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∂h</m:t>
              </m:r>
            </m:num>
            <m:den>
              <m:r>
                <w:rPr>
                  <w:rFonts w:ascii="Cambria Math" w:hAnsi="Cambria Math" w:cs="Times New Roman"/>
                </w:rPr>
                <m:t>∂R</m:t>
              </m:r>
            </m:den>
          </m:f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δp</m:t>
              </m:r>
            </m:num>
            <m:den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den>
          </m:f>
          <m:r>
            <w:rPr>
              <w:rFonts w:ascii="Cambria Math" w:hAnsi="Cambria Math" w:cs="Times New Roman"/>
            </w:rPr>
            <m:t>&lt;0</m:t>
          </m:r>
        </m:oMath>
      </m:oMathPara>
    </w:p>
    <w:p w14:paraId="23307B89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∂h</m:t>
              </m:r>
            </m:num>
            <m:den>
              <m:r>
                <w:rPr>
                  <w:rFonts w:ascii="Cambria Math" w:hAnsi="Cambria Math" w:cs="Times New Roman"/>
                </w:rPr>
                <m:t>∂p</m:t>
              </m:r>
            </m:den>
          </m:f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δ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κ+R-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</m:e>
              </m:d>
            </m:num>
            <m:den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den>
          </m:f>
          <m:r>
            <w:rPr>
              <w:rFonts w:ascii="Cambria Math" w:hAnsi="Cambria Math" w:cs="Times New Roman"/>
            </w:rPr>
            <m:t>&lt;0</m:t>
          </m:r>
        </m:oMath>
      </m:oMathPara>
    </w:p>
    <w:p w14:paraId="15FFE933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∂h</m:t>
              </m:r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δp</m:t>
              </m:r>
            </m:num>
            <m:den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den>
          </m:f>
          <m:r>
            <w:rPr>
              <w:rFonts w:ascii="Cambria Math" w:hAnsi="Cambria Math" w:cs="Times New Roman"/>
            </w:rPr>
            <m:t>&gt;0</m:t>
          </m:r>
        </m:oMath>
      </m:oMathPara>
    </w:p>
    <w:p w14:paraId="15A2065F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The first three signs are clear: harder identity reset, more valuable good standing, and better detection all reduce incivility. The last result is the Friedman-Resnick newcomer effect. Making the fallback value of re-entry too attractive weakens deterrence because sanctioned users can return too cheaply. Now substitute Equation (3) into Equation (1) to obtain the reduced-form participation equation: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00161DF8" w14:textId="77777777" w:rsidTr="000F7B3D">
        <w:tc>
          <w:tcPr>
            <w:tcW w:w="8275" w:type="dxa"/>
          </w:tcPr>
          <w:p w14:paraId="03DB30E0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n=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-λ+λδp(κ+R-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)/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 w:cs="Times New Roman"/>
                          </w:rPr>
                          <m:t>g</m:t>
                        </m:r>
                      </m:e>
                    </m:bar>
                    <m:r>
                      <w:rPr>
                        <w:rFonts w:ascii="Cambria Math" w:hAnsi="Cambria Math" w:cs="Times New Roman"/>
                      </w:rPr>
                      <m:t>-τ+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</w:rPr>
                      <m:t>1-μ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,  0&lt;μ&lt;1</m:t>
                </m:r>
              </m:oMath>
            </m:oMathPara>
          </w:p>
        </w:tc>
        <w:tc>
          <w:tcPr>
            <w:tcW w:w="1075" w:type="dxa"/>
          </w:tcPr>
          <w:p w14:paraId="0AEEA3FF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(4)</w:t>
            </w:r>
          </w:p>
        </w:tc>
      </w:tr>
    </w:tbl>
    <w:p w14:paraId="6B886CA3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>Differentiating Equation (4) gives:</w:t>
      </w:r>
    </w:p>
    <w:p w14:paraId="6BBC963C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∂n</m:t>
              </m:r>
            </m:num>
            <m:den>
              <m:r>
                <w:rPr>
                  <w:rFonts w:ascii="Cambria Math" w:hAnsi="Cambria Math" w:cs="Times New Roman"/>
                </w:rPr>
                <m:t>∂κ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λδp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1-μ</m:t>
                      </m:r>
                    </m:e>
                  </m:d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bar>
                </m:e>
              </m:d>
            </m:den>
          </m:f>
          <m:r>
            <w:rPr>
              <w:rFonts w:ascii="Cambria Math" w:hAnsi="Cambria Math" w:cs="Times New Roman"/>
            </w:rPr>
            <m:t>&gt;0</m:t>
          </m:r>
        </m:oMath>
      </m:oMathPara>
    </w:p>
    <w:p w14:paraId="3CDC6E5D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∂n</m:t>
              </m:r>
            </m:num>
            <m:den>
              <m:r>
                <w:rPr>
                  <w:rFonts w:ascii="Cambria Math" w:hAnsi="Cambria Math" w:cs="Times New Roman"/>
                </w:rPr>
                <m:t>∂R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λδp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1-μ</m:t>
                      </m:r>
                    </m:e>
                  </m:d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bar>
                </m:e>
              </m:d>
            </m:den>
          </m:f>
          <m:r>
            <w:rPr>
              <w:rFonts w:ascii="Cambria Math" w:hAnsi="Cambria Math" w:cs="Times New Roman"/>
            </w:rPr>
            <m:t>&gt;0</m:t>
          </m:r>
        </m:oMath>
      </m:oMathPara>
    </w:p>
    <w:p w14:paraId="6F82B548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∂n</m:t>
              </m:r>
            </m:num>
            <m:den>
              <m:r>
                <w:rPr>
                  <w:rFonts w:ascii="Cambria Math" w:hAnsi="Cambria Math" w:cs="Times New Roman"/>
                </w:rPr>
                <m:t>∂p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λδ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κ+R-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0</m:t>
                      </m:r>
                    </m:sub>
                  </m:sSub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1-μ</m:t>
                      </m:r>
                    </m:e>
                  </m:d>
                  <m:bar>
                    <m:barPr>
                      <m:pos m:val="top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bar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</m:bar>
                </m:e>
              </m:d>
            </m:den>
          </m:f>
          <m:r>
            <w:rPr>
              <w:rFonts w:ascii="Cambria Math" w:hAnsi="Cambria Math" w:cs="Times New Roman"/>
            </w:rPr>
            <m:t>&gt;0</m:t>
          </m:r>
        </m:oMath>
      </m:oMathPara>
    </w:p>
    <w:p w14:paraId="047180A6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∂n</m:t>
              </m:r>
            </m:num>
            <m:den>
              <m:r>
                <w:rPr>
                  <w:rFonts w:ascii="Cambria Math" w:hAnsi="Cambria Math" w:cs="Times New Roman"/>
                </w:rPr>
                <m:t>∂τ</m:t>
              </m:r>
            </m:den>
          </m:f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1-μ</m:t>
              </m:r>
            </m:den>
          </m:f>
          <m:r>
            <w:rPr>
              <w:rFonts w:ascii="Cambria Math" w:hAnsi="Cambria Math" w:cs="Times New Roman"/>
            </w:rPr>
            <m:t>&lt;0</m:t>
          </m:r>
        </m:oMath>
      </m:oMathPara>
    </w:p>
    <w:p w14:paraId="11610C97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∂n</m:t>
              </m:r>
            </m:num>
            <m:den>
              <m:r>
                <w:rPr>
                  <w:rFonts w:ascii="Cambria Math" w:hAnsi="Cambria Math" w:cs="Times New Roman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1-λδp/</m:t>
              </m:r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num>
            <m:den>
              <m:r>
                <w:rPr>
                  <w:rFonts w:ascii="Cambria Math" w:hAnsi="Cambria Math" w:cs="Times New Roman"/>
                </w:rPr>
                <m:t>1-μ</m:t>
              </m:r>
            </m:den>
          </m:f>
        </m:oMath>
      </m:oMathPara>
    </w:p>
    <w:p w14:paraId="532CBDBE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The last term is generally ambiguous. A more generous newcomer status raises </w:t>
      </w:r>
      <w:proofErr w:type="gramStart"/>
      <w:r w:rsidRPr="00FF0C9A">
        <w:rPr>
          <w:rFonts w:cs="Times New Roman"/>
        </w:rPr>
        <w:t>entry, but</w:t>
      </w:r>
      <w:proofErr w:type="gramEnd"/>
      <w:r w:rsidRPr="00FF0C9A">
        <w:rPr>
          <w:rFonts w:cs="Times New Roman"/>
        </w:rPr>
        <w:t xml:space="preserve"> also weakens deterrence by making post-sanction re-entry less costly. But that is substantively useful: it is why identity persistence can allow a community to become more welcoming without becoming more disorderly.</w:t>
      </w:r>
    </w:p>
    <w:p w14:paraId="76780766" w14:textId="77777777" w:rsidR="003A002E" w:rsidRPr="00FF0C9A" w:rsidRDefault="003A002E" w:rsidP="003A002E">
      <w:pPr>
        <w:spacing w:after="120"/>
        <w:rPr>
          <w:rFonts w:cs="Times New Roman"/>
        </w:rPr>
      </w:pPr>
      <w:r>
        <w:rPr>
          <w:rFonts w:cs="Times New Roman"/>
        </w:rPr>
        <w:t xml:space="preserve">The </w:t>
      </w:r>
      <w:r w:rsidRPr="00FF0C9A">
        <w:rPr>
          <w:rFonts w:cs="Times New Roman"/>
        </w:rPr>
        <w:t xml:space="preserve">continuation value of good standing </w:t>
      </w:r>
      <w:r>
        <w:rPr>
          <w:rFonts w:cs="Times New Roman"/>
        </w:rPr>
        <w:t xml:space="preserve">is </w:t>
      </w:r>
      <m:oMath>
        <m:r>
          <w:rPr>
            <w:rFonts w:ascii="Cambria Math" w:hAnsi="Cambria Math" w:cs="Times New Roman"/>
          </w:rPr>
          <m:t>R=</m:t>
        </m:r>
        <m:bar>
          <m:barPr>
            <m:pos m:val="top"/>
            <m:ctrlPr>
              <w:rPr>
                <w:rFonts w:ascii="Cambria Math" w:hAnsi="Cambria Math" w:cs="Times New Roman"/>
                <w:i/>
              </w:rPr>
            </m:ctrlPr>
          </m:barPr>
          <m:e>
            <m:r>
              <w:rPr>
                <w:rFonts w:ascii="Cambria Math" w:hAnsi="Cambria Math" w:cs="Times New Roman"/>
              </w:rPr>
              <m:t>R</m:t>
            </m:r>
          </m:e>
        </m:bar>
        <m:r>
          <w:rPr>
            <w:rFonts w:ascii="Cambria Math" w:hAnsi="Cambria Math" w:cs="Times New Roman"/>
          </w:rPr>
          <m:t>+σ</m:t>
        </m:r>
      </m:oMath>
      <w:r w:rsidRPr="00FF0C9A">
        <w:rPr>
          <w:rFonts w:cs="Times New Roman"/>
        </w:rPr>
        <w:t xml:space="preserve">, where </w:t>
      </w:r>
      <m:oMath>
        <m:r>
          <w:rPr>
            <w:rFonts w:ascii="Cambria Math" w:hAnsi="Cambria Math" w:cs="Times New Roman"/>
          </w:rPr>
          <m:t>σ</m:t>
        </m:r>
      </m:oMath>
      <w:r w:rsidRPr="00FF0C9A">
        <w:rPr>
          <w:rFonts w:cs="Times New Roman"/>
        </w:rPr>
        <w:t xml:space="preserve"> denotes the quasi-rent generated by non-transferable, reputation-bearing club rights. Substituting into Equation (3) implies:</w:t>
      </w:r>
    </w:p>
    <w:p w14:paraId="75C0CB0A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∂h</m:t>
              </m:r>
            </m:num>
            <m:den>
              <m:r>
                <w:rPr>
                  <w:rFonts w:ascii="Cambria Math" w:hAnsi="Cambria Math" w:cs="Times New Roman"/>
                </w:rPr>
                <m:t>∂σ</m:t>
              </m:r>
            </m:den>
          </m:f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δp</m:t>
              </m:r>
            </m:num>
            <m:den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den>
          </m:f>
          <m:r>
            <w:rPr>
              <w:rFonts w:ascii="Cambria Math" w:hAnsi="Cambria Math" w:cs="Times New Roman"/>
            </w:rPr>
            <m:t>&lt;0</m:t>
          </m:r>
        </m:oMath>
      </m:oMathPara>
    </w:p>
    <w:p w14:paraId="003A298F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∂n</m:t>
              </m:r>
            </m:num>
            <m:den>
              <m:r>
                <w:rPr>
                  <w:rFonts w:ascii="Cambria Math" w:hAnsi="Cambria Math" w:cs="Times New Roman"/>
                </w:rPr>
                <m:t>∂σ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λδp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1-μ</m:t>
                  </m:r>
                </m:e>
              </m:d>
              <m:bar>
                <m:barPr>
                  <m:pos m:val="top"/>
                  <m:ctrlPr>
                    <w:rPr>
                      <w:rFonts w:ascii="Cambria Math" w:hAnsi="Cambria Math" w:cs="Times New Roman"/>
                      <w:i/>
                    </w:rPr>
                  </m:ctrlPr>
                </m:bar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</m:bar>
            </m:den>
          </m:f>
          <m:r>
            <w:rPr>
              <w:rFonts w:ascii="Cambria Math" w:hAnsi="Cambria Math" w:cs="Times New Roman"/>
            </w:rPr>
            <m:t>&gt;0</m:t>
          </m:r>
        </m:oMath>
      </m:oMathPara>
    </w:p>
    <w:p w14:paraId="52590E37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By attaching durable quasi-rents to good standing, non-transferable credentials raise the expected future cost of misconduct and thereby reduce equilibrium incivility.</w:t>
      </w:r>
    </w:p>
    <w:p w14:paraId="3D8347D2" w14:textId="77777777" w:rsidR="003A002E" w:rsidRPr="00FF0C9A" w:rsidRDefault="003A002E" w:rsidP="003A002E">
      <w:pPr>
        <w:pStyle w:val="Heading1"/>
        <w:spacing w:before="240"/>
        <w:rPr>
          <w:rFonts w:ascii="Times New Roman" w:hAnsi="Times New Roman" w:cs="Times New Roman"/>
          <w:sz w:val="24"/>
          <w:szCs w:val="24"/>
        </w:rPr>
      </w:pPr>
      <w:r w:rsidRPr="00FF0C9A">
        <w:rPr>
          <w:rFonts w:ascii="Times New Roman" w:hAnsi="Times New Roman" w:cs="Times New Roman"/>
          <w:sz w:val="24"/>
          <w:szCs w:val="24"/>
        </w:rPr>
        <w:t>Proof of the Internalization Condition</w:t>
      </w:r>
    </w:p>
    <w:p w14:paraId="70672478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Suppose each active participant contributes one unit of content, so there are </w:t>
      </w:r>
      <w:proofErr w:type="spellStart"/>
      <w:r w:rsidRPr="00FF0C9A">
        <w:rPr>
          <w:rFonts w:cs="Times New Roman"/>
        </w:rPr>
        <w:t>n</w:t>
      </w:r>
      <w:proofErr w:type="spellEnd"/>
      <w:r w:rsidRPr="00FF0C9A">
        <w:rPr>
          <w:rFonts w:cs="Times New Roman"/>
        </w:rPr>
        <w:t xml:space="preserve"> active contributions in total. One additional uncivil contribution raises the uncivil share by </w:t>
      </w:r>
      <m:oMath>
        <m:r>
          <w:rPr>
            <w:rFonts w:ascii="Cambria Math" w:hAnsi="Cambria Math" w:cs="Times New Roman"/>
          </w:rPr>
          <m:t>1/n</m:t>
        </m:r>
      </m:oMath>
      <w:r w:rsidRPr="00FF0C9A">
        <w:rPr>
          <w:rFonts w:cs="Times New Roman"/>
        </w:rPr>
        <w:t xml:space="preserve">. Aggregate gross participation value is </w:t>
      </w:r>
      <m:oMath>
        <m:r>
          <w:rPr>
            <w:rFonts w:ascii="Cambria Math" w:hAnsi="Cambria Math" w:cs="Times New Roman"/>
          </w:rPr>
          <m:t>nQ(n,h)</m:t>
        </m:r>
      </m:oMath>
      <w:r w:rsidRPr="00FF0C9A">
        <w:rPr>
          <w:rFonts w:cs="Times New Roman"/>
        </w:rPr>
        <w:t>. Holding n fixed locally, the effect of one more uncivil contribution is:</w:t>
      </w:r>
    </w:p>
    <w:p w14:paraId="3FEEFFFD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d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nQ</m:t>
              </m:r>
            </m:e>
          </m:d>
          <m:r>
            <w:rPr>
              <w:rFonts w:ascii="Cambria Math" w:hAnsi="Cambria Math" w:cs="Times New Roman"/>
            </w:rPr>
            <m:t>=n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-λdh</m:t>
              </m:r>
            </m:e>
          </m:d>
          <m:r>
            <w:rPr>
              <w:rFonts w:ascii="Cambria Math" w:hAnsi="Cambria Math" w:cs="Times New Roman"/>
            </w:rPr>
            <m:t>=n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-λ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</m:e>
              </m:d>
            </m:e>
          </m:d>
          <m:r>
            <w:rPr>
              <w:rFonts w:ascii="Cambria Math" w:hAnsi="Cambria Math" w:cs="Times New Roman"/>
            </w:rPr>
            <m:t>=-λ</m:t>
          </m:r>
        </m:oMath>
      </m:oMathPara>
    </w:p>
    <w:p w14:paraId="4EDF5212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 xml:space="preserve">The direct gross harm imposed on the community by one additional uncivil contribution is </w:t>
      </w:r>
      <m:oMath>
        <m:r>
          <w:rPr>
            <w:rFonts w:ascii="Cambria Math" w:hAnsi="Cambria Math" w:cs="Times New Roman"/>
          </w:rPr>
          <m:t>λ</m:t>
        </m:r>
      </m:oMath>
      <w:r w:rsidRPr="00FF0C9A">
        <w:rPr>
          <w:rFonts w:cs="Times New Roman"/>
        </w:rPr>
        <w:t xml:space="preserve">. Let </w:t>
      </w:r>
      <m:oMath>
        <m:r>
          <w:rPr>
            <w:rFonts w:ascii="Cambria Math" w:hAnsi="Cambria Math" w:cs="Times New Roman"/>
          </w:rPr>
          <m:t>m&gt;0</m:t>
        </m:r>
      </m:oMath>
      <w:r w:rsidRPr="00FF0C9A">
        <w:rPr>
          <w:rFonts w:cs="Times New Roman"/>
        </w:rPr>
        <w:t xml:space="preserve"> denote the moderation, enforcement, or adjudication cost generated by one uncivil contribution. Then the total marginal social damage is: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0AC9C564" w14:textId="77777777" w:rsidTr="000F7B3D">
        <w:tc>
          <w:tcPr>
            <w:tcW w:w="8275" w:type="dxa"/>
          </w:tcPr>
          <w:p w14:paraId="685C491D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D=λ+m</m:t>
                </m:r>
              </m:oMath>
            </m:oMathPara>
          </w:p>
        </w:tc>
        <w:tc>
          <w:tcPr>
            <w:tcW w:w="1075" w:type="dxa"/>
          </w:tcPr>
          <w:p w14:paraId="376DCFCD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(6)</w:t>
            </w:r>
          </w:p>
        </w:tc>
      </w:tr>
    </w:tbl>
    <w:p w14:paraId="79A63F9A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>A socially efficient rule therefore permits uncivil behavior only when the actor's private gain exceeds the total marginal social damage: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76182C31" w14:textId="77777777" w:rsidTr="000F7B3D">
        <w:tc>
          <w:tcPr>
            <w:tcW w:w="8275" w:type="dxa"/>
          </w:tcPr>
          <w:p w14:paraId="79E2F293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&gt;D</m:t>
                </m:r>
              </m:oMath>
            </m:oMathPara>
          </w:p>
        </w:tc>
        <w:tc>
          <w:tcPr>
            <w:tcW w:w="1075" w:type="dxa"/>
          </w:tcPr>
          <w:p w14:paraId="1280E685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(7)</w:t>
            </w:r>
          </w:p>
        </w:tc>
      </w:tr>
    </w:tbl>
    <w:p w14:paraId="186456A1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 xml:space="preserve">Under the identity regime, however, the actor compares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g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Pr="00FF0C9A">
        <w:rPr>
          <w:rFonts w:cs="Times New Roman"/>
        </w:rPr>
        <w:t xml:space="preserve"> to the private expected penalty from Equation (2), not to </w:t>
      </w:r>
      <m:oMath>
        <m:r>
          <w:rPr>
            <w:rFonts w:ascii="Cambria Math" w:hAnsi="Cambria Math" w:cs="Times New Roman"/>
          </w:rPr>
          <m:t>D</m:t>
        </m:r>
      </m:oMath>
      <w:r w:rsidRPr="00FF0C9A">
        <w:rPr>
          <w:rFonts w:cs="Times New Roman"/>
        </w:rPr>
        <w:t xml:space="preserve">. The governance technology internalizes </w:t>
      </w:r>
      <w:proofErr w:type="gramStart"/>
      <w:r w:rsidRPr="00FF0C9A">
        <w:rPr>
          <w:rFonts w:cs="Times New Roman"/>
        </w:rPr>
        <w:t>the externality</w:t>
      </w:r>
      <w:proofErr w:type="gramEnd"/>
      <w:r w:rsidRPr="00FF0C9A">
        <w:rPr>
          <w:rFonts w:cs="Times New Roman"/>
        </w:rPr>
        <w:t xml:space="preserve"> to the extent that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4A92727F" w14:textId="77777777" w:rsidTr="000F7B3D">
        <w:tc>
          <w:tcPr>
            <w:tcW w:w="8275" w:type="dxa"/>
          </w:tcPr>
          <w:p w14:paraId="5C5C17A8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δp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κ+R-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</w:rPr>
                  <m:t>≈λ+m</m:t>
                </m:r>
              </m:oMath>
            </m:oMathPara>
          </w:p>
        </w:tc>
        <w:tc>
          <w:tcPr>
            <w:tcW w:w="1075" w:type="dxa"/>
          </w:tcPr>
          <w:p w14:paraId="54047893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(8)</w:t>
            </w:r>
          </w:p>
        </w:tc>
      </w:tr>
    </w:tbl>
    <w:p w14:paraId="6F3F5CD5" w14:textId="77777777" w:rsidR="003A002E" w:rsidRPr="00FF0C9A" w:rsidRDefault="003A002E" w:rsidP="003A002E">
      <w:pPr>
        <w:spacing w:after="120"/>
        <w:rPr>
          <w:rFonts w:cs="Times New Roman"/>
        </w:rPr>
      </w:pPr>
      <w:r w:rsidRPr="00FF0C9A">
        <w:rPr>
          <w:rFonts w:cs="Times New Roman"/>
        </w:rPr>
        <w:t xml:space="preserve">If the two sides are equal, the private threshold coincides with the social threshold. If the left-hand side is smaller, the regime under-deters. If it is larger, the regime over-deters. Because incivility also lowers the quality of the discourse environment and therefore depresses participation, </w:t>
      </w:r>
      <m:oMath>
        <m:r>
          <w:rPr>
            <w:rFonts w:ascii="Cambria Math" w:hAnsi="Cambria Math" w:cs="Times New Roman"/>
          </w:rPr>
          <m:t>λ+m</m:t>
        </m:r>
      </m:oMath>
      <w:r w:rsidRPr="00FF0C9A">
        <w:rPr>
          <w:rFonts w:cs="Times New Roman"/>
        </w:rPr>
        <w:t xml:space="preserve"> should be read as a lower bound on the full social harm.</w:t>
      </w:r>
    </w:p>
    <w:p w14:paraId="6CD94A64" w14:textId="77777777" w:rsidR="003A002E" w:rsidRPr="00FF0C9A" w:rsidRDefault="003A002E" w:rsidP="003A002E">
      <w:pPr>
        <w:pStyle w:val="Heading1"/>
        <w:spacing w:before="240"/>
        <w:rPr>
          <w:rFonts w:ascii="Times New Roman" w:hAnsi="Times New Roman" w:cs="Times New Roman"/>
          <w:sz w:val="24"/>
          <w:szCs w:val="24"/>
        </w:rPr>
      </w:pPr>
      <w:r w:rsidRPr="00FF0C9A">
        <w:rPr>
          <w:rFonts w:ascii="Times New Roman" w:hAnsi="Times New Roman" w:cs="Times New Roman"/>
          <w:sz w:val="24"/>
          <w:szCs w:val="24"/>
        </w:rPr>
        <w:t>Proof of Equation (9)</w:t>
      </w:r>
    </w:p>
    <w:p w14:paraId="6707D7A3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From Equation (3), holding the equilibrium incivility </w:t>
      </w:r>
      <w:proofErr w:type="gramStart"/>
      <w:r w:rsidRPr="00FF0C9A">
        <w:rPr>
          <w:rFonts w:cs="Times New Roman"/>
        </w:rPr>
        <w:t>rate constant</w:t>
      </w:r>
      <w:proofErr w:type="gramEnd"/>
      <w:r w:rsidRPr="00FF0C9A">
        <w:rPr>
          <w:rFonts w:cs="Times New Roman"/>
        </w:rPr>
        <w:t xml:space="preserve"> is equivalent to holding the penalty term constant. Let:</w:t>
      </w:r>
    </w:p>
    <w:p w14:paraId="32E8650D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Π</m:t>
          </m:r>
          <m:r>
            <w:rPr>
              <w:rFonts w:ascii="Cambria Math" w:hAnsi="Cambria Math" w:cs="Times New Roman"/>
            </w:rPr>
            <m:t>=δp(κ+R-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)</m:t>
          </m:r>
        </m:oMath>
      </m:oMathPara>
    </w:p>
    <w:p w14:paraId="18797F96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 xml:space="preserve">If </w:t>
      </w:r>
      <m:oMath>
        <m:r>
          <w:rPr>
            <w:rFonts w:ascii="Cambria Math" w:hAnsi="Cambria Math" w:cs="Times New Roman"/>
          </w:rPr>
          <m:t>p</m:t>
        </m:r>
      </m:oMath>
      <w:r w:rsidRPr="00FF0C9A">
        <w:rPr>
          <w:rFonts w:cs="Times New Roman"/>
        </w:rPr>
        <w:t xml:space="preserve"> and </w:t>
      </w:r>
      <m:oMath>
        <m:r>
          <w:rPr>
            <w:rFonts w:ascii="Cambria Math" w:hAnsi="Cambria Math" w:cs="Times New Roman"/>
          </w:rPr>
          <m:t>δ</m:t>
        </m:r>
      </m:oMath>
      <w:r w:rsidRPr="00FF0C9A">
        <w:rPr>
          <w:rFonts w:cs="Times New Roman"/>
        </w:rPr>
        <w:t xml:space="preserve"> are fixed, then </w:t>
      </w:r>
      <m:oMath>
        <m:r>
          <w:rPr>
            <w:rFonts w:ascii="Cambria Math" w:hAnsi="Cambria Math" w:cs="Times New Roman"/>
          </w:rPr>
          <m:t>dh=0</m:t>
        </m:r>
      </m:oMath>
      <w:r w:rsidRPr="00FF0C9A">
        <w:rPr>
          <w:rFonts w:cs="Times New Roman"/>
        </w:rPr>
        <w:t xml:space="preserve"> implies</w:t>
      </w:r>
      <w:r w:rsidRPr="00FF0C9A">
        <w:rPr>
          <w:rFonts w:cs="Times New Roman"/>
          <w:i/>
        </w:rPr>
        <w:t xml:space="preserve"> </w:t>
      </w:r>
      <m:oMath>
        <m:r>
          <w:rPr>
            <w:rFonts w:ascii="Cambria Math" w:hAnsi="Cambria Math" w:cs="Times New Roman"/>
          </w:rPr>
          <m:t>d</m:t>
        </m:r>
        <m:r>
          <m:rPr>
            <m:sty m:val="p"/>
          </m:rPr>
          <w:rPr>
            <w:rFonts w:ascii="Cambria Math" w:hAnsi="Cambria Math" w:cs="Times New Roman"/>
          </w:rPr>
          <m:t>Π</m:t>
        </m:r>
        <m:r>
          <w:rPr>
            <w:rFonts w:ascii="Cambria Math" w:hAnsi="Cambria Math" w:cs="Times New Roman"/>
          </w:rPr>
          <m:t>=0</m:t>
        </m:r>
      </m:oMath>
      <w:r w:rsidRPr="00FF0C9A">
        <w:rPr>
          <w:rFonts w:cs="Times New Roman"/>
        </w:rPr>
        <w:t>, so:</w:t>
      </w:r>
    </w:p>
    <w:p w14:paraId="08206B7F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m:oMathPara>
        <m:oMath>
          <m:r>
            <w:rPr>
              <w:rFonts w:ascii="Cambria Math" w:hAnsi="Cambria Math" w:cs="Times New Roman"/>
            </w:rPr>
            <m:t>0=δp(dκ+dR-d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)</m:t>
          </m:r>
        </m:oMath>
      </m:oMathPara>
    </w:p>
    <w:p w14:paraId="5EC89DFC" w14:textId="77777777" w:rsidR="003A002E" w:rsidRPr="00FF0C9A" w:rsidRDefault="003A002E" w:rsidP="003A002E">
      <w:pPr>
        <w:spacing w:after="120"/>
        <w:ind w:firstLine="432"/>
        <w:rPr>
          <w:rFonts w:cs="Times New Roman"/>
        </w:rPr>
      </w:pPr>
      <w:r w:rsidRPr="00FF0C9A">
        <w:rPr>
          <w:rFonts w:cs="Times New Roman"/>
        </w:rPr>
        <w:t>Hence: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5"/>
        <w:gridCol w:w="1075"/>
      </w:tblGrid>
      <w:tr w:rsidR="003A002E" w:rsidRPr="00FF0C9A" w14:paraId="48B401CA" w14:textId="77777777" w:rsidTr="000F7B3D">
        <w:tc>
          <w:tcPr>
            <w:tcW w:w="8275" w:type="dxa"/>
          </w:tcPr>
          <w:p w14:paraId="5161A4E3" w14:textId="77777777" w:rsidR="003A002E" w:rsidRPr="00FF0C9A" w:rsidRDefault="003A002E" w:rsidP="000F7B3D">
            <w:pPr>
              <w:spacing w:line="480" w:lineRule="auto"/>
              <w:jc w:val="both"/>
              <w:rPr>
                <w:rFonts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 xml:space="preserve"> d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=dκ+dR</m:t>
                </m:r>
              </m:oMath>
            </m:oMathPara>
          </w:p>
        </w:tc>
        <w:tc>
          <w:tcPr>
            <w:tcW w:w="1075" w:type="dxa"/>
          </w:tcPr>
          <w:p w14:paraId="29FF783A" w14:textId="77777777" w:rsidR="003A002E" w:rsidRPr="00FF0C9A" w:rsidRDefault="003A002E" w:rsidP="000F7B3D">
            <w:pPr>
              <w:spacing w:line="480" w:lineRule="auto"/>
              <w:jc w:val="right"/>
              <w:rPr>
                <w:rFonts w:cs="Times New Roman"/>
              </w:rPr>
            </w:pPr>
            <w:r w:rsidRPr="00FF0C9A">
              <w:rPr>
                <w:rFonts w:cs="Times New Roman"/>
              </w:rPr>
              <w:t>(9)</w:t>
            </w:r>
          </w:p>
        </w:tc>
      </w:tr>
    </w:tbl>
    <w:p w14:paraId="1D204446" w14:textId="2E5CDFE3" w:rsidR="002D184A" w:rsidRPr="003A002E" w:rsidRDefault="003A002E" w:rsidP="003A002E">
      <w:pPr>
        <w:spacing w:after="120"/>
        <w:ind w:firstLine="720"/>
        <w:rPr>
          <w:rFonts w:cs="Times New Roman"/>
        </w:rPr>
      </w:pPr>
      <w:r w:rsidRPr="00FF0C9A">
        <w:rPr>
          <w:rFonts w:cs="Times New Roman"/>
        </w:rPr>
        <w:t xml:space="preserve">Equation (9) formalizes the “newcomers paying dues” mechanism. If resettable identities are cheap, the club may need to keep newcomer status relatively unattractive </w:t>
      </w:r>
      <w:proofErr w:type="gramStart"/>
      <w:r w:rsidRPr="00FF0C9A">
        <w:rPr>
          <w:rFonts w:cs="Times New Roman"/>
        </w:rPr>
        <w:t>in order to</w:t>
      </w:r>
      <w:proofErr w:type="gramEnd"/>
      <w:r w:rsidRPr="00FF0C9A">
        <w:rPr>
          <w:rFonts w:cs="Times New Roman"/>
        </w:rPr>
        <w:t xml:space="preserve"> deter misconduct. By contrast, if identity reset becomes harder or if good standing becomes more valuable, the club can be more welcoming to new entrants without sacrificing discourse quality.</w:t>
      </w:r>
    </w:p>
    <w:sectPr w:rsidR="002D184A" w:rsidRPr="003A002E" w:rsidSect="00034616">
      <w:footerReference w:type="default" r:id="rId8"/>
      <w:pgSz w:w="12240" w:h="15840"/>
      <w:pgMar w:top="136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1C06F" w14:textId="77777777" w:rsidR="00C822D7" w:rsidRDefault="00C822D7">
      <w:pPr>
        <w:spacing w:after="0" w:line="240" w:lineRule="auto"/>
      </w:pPr>
      <w:r>
        <w:separator/>
      </w:r>
    </w:p>
  </w:endnote>
  <w:endnote w:type="continuationSeparator" w:id="0">
    <w:p w14:paraId="449937AC" w14:textId="77777777" w:rsidR="00C822D7" w:rsidRDefault="00C82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9E18" w14:textId="77777777" w:rsidR="002D184A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89433" w14:textId="77777777" w:rsidR="00C822D7" w:rsidRDefault="00C822D7">
      <w:pPr>
        <w:spacing w:after="0" w:line="240" w:lineRule="auto"/>
      </w:pPr>
      <w:r>
        <w:separator/>
      </w:r>
    </w:p>
  </w:footnote>
  <w:footnote w:type="continuationSeparator" w:id="0">
    <w:p w14:paraId="7C5F5C20" w14:textId="77777777" w:rsidR="00C822D7" w:rsidRDefault="00C82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080139">
    <w:abstractNumId w:val="8"/>
  </w:num>
  <w:num w:numId="2" w16cid:durableId="855310826">
    <w:abstractNumId w:val="6"/>
  </w:num>
  <w:num w:numId="3" w16cid:durableId="2115974340">
    <w:abstractNumId w:val="5"/>
  </w:num>
  <w:num w:numId="4" w16cid:durableId="1472751826">
    <w:abstractNumId w:val="4"/>
  </w:num>
  <w:num w:numId="5" w16cid:durableId="927081679">
    <w:abstractNumId w:val="7"/>
  </w:num>
  <w:num w:numId="6" w16cid:durableId="1322659481">
    <w:abstractNumId w:val="3"/>
  </w:num>
  <w:num w:numId="7" w16cid:durableId="914360468">
    <w:abstractNumId w:val="2"/>
  </w:num>
  <w:num w:numId="8" w16cid:durableId="150222252">
    <w:abstractNumId w:val="1"/>
  </w:num>
  <w:num w:numId="9" w16cid:durableId="43787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74B3"/>
    <w:rsid w:val="0029639D"/>
    <w:rsid w:val="002D184A"/>
    <w:rsid w:val="00326F90"/>
    <w:rsid w:val="003A002E"/>
    <w:rsid w:val="00433825"/>
    <w:rsid w:val="0045744C"/>
    <w:rsid w:val="00462622"/>
    <w:rsid w:val="00933EFD"/>
    <w:rsid w:val="00963167"/>
    <w:rsid w:val="00AA1D8D"/>
    <w:rsid w:val="00B47730"/>
    <w:rsid w:val="00B771A4"/>
    <w:rsid w:val="00C822D7"/>
    <w:rsid w:val="00CB0664"/>
    <w:rsid w:val="00CF758F"/>
    <w:rsid w:val="00E075F0"/>
    <w:rsid w:val="00E76504"/>
    <w:rsid w:val="00FC693F"/>
    <w:rsid w:val="00FF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DD91F1"/>
  <w14:defaultImageDpi w14:val="300"/>
  <w15:docId w15:val="{F127B43A-9F4B-4A6A-B943-A6BA5D93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9631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Christos Makridis</cp:lastModifiedBy>
  <cp:revision>8</cp:revision>
  <dcterms:created xsi:type="dcterms:W3CDTF">2013-12-23T23:15:00Z</dcterms:created>
  <dcterms:modified xsi:type="dcterms:W3CDTF">2026-04-23T13:01:00Z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b20742-429b-42b9-accf-7e4dee8e6e11_Enabled">
    <vt:lpwstr>true</vt:lpwstr>
  </property>
  <property fmtid="{D5CDD505-2E9C-101B-9397-08002B2CF9AE}" pid="3" name="MSIP_Label_d8b20742-429b-42b9-accf-7e4dee8e6e11_SetDate">
    <vt:lpwstr>2026-04-12T02:48:45Z</vt:lpwstr>
  </property>
  <property fmtid="{D5CDD505-2E9C-101B-9397-08002B2CF9AE}" pid="4" name="MSIP_Label_d8b20742-429b-42b9-accf-7e4dee8e6e11_Method">
    <vt:lpwstr>Standard</vt:lpwstr>
  </property>
  <property fmtid="{D5CDD505-2E9C-101B-9397-08002B2CF9AE}" pid="5" name="MSIP_Label_d8b20742-429b-42b9-accf-7e4dee8e6e11_Name">
    <vt:lpwstr>General</vt:lpwstr>
  </property>
  <property fmtid="{D5CDD505-2E9C-101B-9397-08002B2CF9AE}" pid="6" name="MSIP_Label_d8b20742-429b-42b9-accf-7e4dee8e6e11_SiteId">
    <vt:lpwstr>b14f2065-f065-4a73-8348-7550feb841c5</vt:lpwstr>
  </property>
  <property fmtid="{D5CDD505-2E9C-101B-9397-08002B2CF9AE}" pid="7" name="MSIP_Label_d8b20742-429b-42b9-accf-7e4dee8e6e11_ActionId">
    <vt:lpwstr>cf300cb0-693b-4c84-9a60-4a4ae8670d5d</vt:lpwstr>
  </property>
  <property fmtid="{D5CDD505-2E9C-101B-9397-08002B2CF9AE}" pid="8" name="MSIP_Label_d8b20742-429b-42b9-accf-7e4dee8e6e11_ContentBits">
    <vt:lpwstr>0</vt:lpwstr>
  </property>
  <property fmtid="{D5CDD505-2E9C-101B-9397-08002B2CF9AE}" pid="9" name="MSIP_Label_d8b20742-429b-42b9-accf-7e4dee8e6e11_Tag">
    <vt:lpwstr>10, 3, 0, 1</vt:lpwstr>
  </property>
</Properties>
</file>