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4566" w14:textId="77777777" w:rsidR="00263734" w:rsidRPr="00E806D4" w:rsidRDefault="00263734" w:rsidP="002637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D4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</w:p>
    <w:p w14:paraId="7916237B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</w:rPr>
      </w:pPr>
      <w:r w:rsidRPr="00E806D4">
        <w:rPr>
          <w:rFonts w:ascii="Times New Roman" w:hAnsi="Times New Roman" w:cs="Times New Roman"/>
          <w:b/>
          <w:bCs/>
        </w:rPr>
        <w:t xml:space="preserve">Selection criteria </w:t>
      </w:r>
    </w:p>
    <w:p w14:paraId="615C262F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</w:rPr>
      </w:pPr>
    </w:p>
    <w:p w14:paraId="2731C6B2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</w:rPr>
      </w:pPr>
      <w:r w:rsidRPr="00E806D4">
        <w:rPr>
          <w:rFonts w:ascii="Times New Roman" w:hAnsi="Times New Roman" w:cs="Times New Roman"/>
          <w:b/>
          <w:bCs/>
        </w:rPr>
        <w:t>Databases</w:t>
      </w:r>
      <w:r w:rsidRPr="00E806D4">
        <w:rPr>
          <w:rFonts w:ascii="Times New Roman" w:hAnsi="Times New Roman" w:cs="Times New Roman"/>
        </w:rPr>
        <w:t>: Pub Med, Scopus, Web of Science</w:t>
      </w:r>
    </w:p>
    <w:p w14:paraId="3BA06A8A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</w:rPr>
      </w:pPr>
      <w:r w:rsidRPr="00E806D4">
        <w:rPr>
          <w:rFonts w:ascii="Times New Roman" w:hAnsi="Times New Roman" w:cs="Times New Roman"/>
          <w:b/>
          <w:bCs/>
        </w:rPr>
        <w:t>Fields</w:t>
      </w:r>
      <w:r w:rsidRPr="00E806D4">
        <w:rPr>
          <w:rFonts w:ascii="Times New Roman" w:hAnsi="Times New Roman" w:cs="Times New Roman"/>
        </w:rPr>
        <w:t>: title, abstract</w:t>
      </w:r>
    </w:p>
    <w:p w14:paraId="1423FBBD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  <w:b/>
          <w:bCs/>
        </w:rPr>
      </w:pPr>
      <w:r w:rsidRPr="00E806D4">
        <w:rPr>
          <w:rFonts w:ascii="Times New Roman" w:hAnsi="Times New Roman" w:cs="Times New Roman"/>
          <w:b/>
          <w:bCs/>
        </w:rPr>
        <w:t xml:space="preserve">Inclusion criteria: </w:t>
      </w:r>
    </w:p>
    <w:p w14:paraId="437D3FB3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</w:rPr>
      </w:pPr>
      <w:r w:rsidRPr="00E806D4">
        <w:rPr>
          <w:rFonts w:ascii="Times New Roman" w:hAnsi="Times New Roman" w:cs="Times New Roman"/>
        </w:rPr>
        <w:t xml:space="preserve">Australian health system (Population), Preconditions (Phenomena of Interest), Managed competition (Context) </w:t>
      </w:r>
    </w:p>
    <w:p w14:paraId="37019F27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</w:rPr>
      </w:pPr>
      <w:r w:rsidRPr="00E806D4">
        <w:rPr>
          <w:rFonts w:ascii="Times New Roman" w:hAnsi="Times New Roman" w:cs="Times New Roman"/>
          <w:b/>
          <w:bCs/>
        </w:rPr>
        <w:t>Years</w:t>
      </w:r>
      <w:r w:rsidRPr="00E806D4">
        <w:rPr>
          <w:rFonts w:ascii="Times New Roman" w:hAnsi="Times New Roman" w:cs="Times New Roman"/>
        </w:rPr>
        <w:t>: 2000-2023</w:t>
      </w:r>
    </w:p>
    <w:p w14:paraId="54436EF0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</w:rPr>
      </w:pPr>
      <w:r w:rsidRPr="00E806D4">
        <w:rPr>
          <w:rFonts w:ascii="Times New Roman" w:hAnsi="Times New Roman" w:cs="Times New Roman"/>
          <w:b/>
          <w:bCs/>
        </w:rPr>
        <w:t>Language</w:t>
      </w:r>
      <w:r w:rsidRPr="00E806D4">
        <w:rPr>
          <w:rFonts w:ascii="Times New Roman" w:hAnsi="Times New Roman" w:cs="Times New Roman"/>
        </w:rPr>
        <w:t xml:space="preserve">: English </w:t>
      </w:r>
    </w:p>
    <w:p w14:paraId="3A03C9E0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</w:rPr>
      </w:pPr>
      <w:r w:rsidRPr="00E806D4">
        <w:rPr>
          <w:rFonts w:ascii="Times New Roman" w:hAnsi="Times New Roman" w:cs="Times New Roman"/>
          <w:b/>
          <w:bCs/>
        </w:rPr>
        <w:t>Type of study</w:t>
      </w:r>
      <w:r w:rsidRPr="00E806D4">
        <w:rPr>
          <w:rFonts w:ascii="Times New Roman" w:hAnsi="Times New Roman" w:cs="Times New Roman"/>
        </w:rPr>
        <w:t xml:space="preserve">: qualitative, quantitative, mixed-method peer reviewed articles; books; grey literature </w:t>
      </w:r>
    </w:p>
    <w:p w14:paraId="3E64644D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</w:rPr>
      </w:pPr>
    </w:p>
    <w:p w14:paraId="2C68B437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  <w:b/>
          <w:bCs/>
        </w:rPr>
      </w:pPr>
      <w:r w:rsidRPr="00E806D4">
        <w:rPr>
          <w:rFonts w:ascii="Times New Roman" w:hAnsi="Times New Roman" w:cs="Times New Roman"/>
          <w:b/>
          <w:bCs/>
        </w:rPr>
        <w:t>Search strategy</w:t>
      </w:r>
    </w:p>
    <w:p w14:paraId="47D67E71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</w:rPr>
      </w:pPr>
    </w:p>
    <w:p w14:paraId="0ABD9470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  <w:b/>
          <w:bCs/>
        </w:rPr>
      </w:pPr>
      <w:r w:rsidRPr="00E806D4">
        <w:rPr>
          <w:rFonts w:ascii="Times New Roman" w:hAnsi="Times New Roman" w:cs="Times New Roman"/>
          <w:b/>
          <w:bCs/>
        </w:rPr>
        <w:t xml:space="preserve">Table 1A: </w:t>
      </w:r>
      <w:r w:rsidRPr="00E806D4">
        <w:rPr>
          <w:rFonts w:ascii="Times New Roman" w:hAnsi="Times New Roman" w:cs="Times New Roman"/>
        </w:rPr>
        <w:t>Search strategy</w:t>
      </w:r>
    </w:p>
    <w:p w14:paraId="25F448EF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3734" w:rsidRPr="00E806D4" w14:paraId="0D7E5510" w14:textId="77777777" w:rsidTr="00140C9E">
        <w:tc>
          <w:tcPr>
            <w:tcW w:w="9350" w:type="dxa"/>
          </w:tcPr>
          <w:p w14:paraId="279EADCD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>PubMed</w:t>
            </w:r>
          </w:p>
        </w:tc>
      </w:tr>
      <w:tr w:rsidR="00263734" w:rsidRPr="00E806D4" w14:paraId="74500528" w14:textId="77777777" w:rsidTr="00140C9E">
        <w:tc>
          <w:tcPr>
            <w:tcW w:w="9350" w:type="dxa"/>
          </w:tcPr>
          <w:p w14:paraId="4291F425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(Australian health system[Title/Abstract] OR Australian healthcare system[Title/Abstract] OR Australian health care system[Title/Abstract]) AND (Reform*[Title/Abstract] OR Polic*[Title/Abstract] OR Challeng*[Title/Abstract] OR Problem*[Title/Abstract] OR Limit*[Title/Abstract] OR Limitation*[Title/Abstract] OR Issue*[Title/Abstract] OR Barrier*[Title/Abstract] OR Opportunit*[Title/Abstract] OR Strength*[Title/Abstract] OR Solution*[Title/Abstract] OR Basic benefit package[Title/Abstract] OR Out-of-pocket[Title/Abstract] OR OOP[Title/Abstract] OR Conflict of interest[Title/Abstract] OR Consumer choice[Title/Abstract] OR Consumer information[Title/Abstract] OR Market transparency[Title/Abstract] OR Risk-bearing[Title/Abstract] OR Contestable markets[Title/Abstract] OR Contract*[Title/Abstract] OR Integration[Title/Abstract] OR Competition regulation[Title/Abstract] OR Cross-subsidies[Title/Abstract] OR Risk Selection[Title/Abstract] OR Free riding[Title/Abstract] OR Quality supervision[Title/Abstract] OR Access[Title/Abstract]) AND (Managed competition[Title/Abstract] OR Competition[Title/Abstract] OR Private health insurance[Title/Abstract] OR PHI[Title/Abstract] OR Insurance[Title/Abstract] OR Financing[Title/Abstract] OR Private[Title/Abstract] OR Hybrid*[Title/Abstract] OR Public-private mix[Title/Abstract])</w:t>
            </w:r>
          </w:p>
        </w:tc>
      </w:tr>
      <w:tr w:rsidR="00263734" w:rsidRPr="00E806D4" w14:paraId="631D3E7E" w14:textId="77777777" w:rsidTr="00140C9E">
        <w:tc>
          <w:tcPr>
            <w:tcW w:w="9350" w:type="dxa"/>
          </w:tcPr>
          <w:p w14:paraId="3CE2C7F1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 xml:space="preserve">Web of Science </w:t>
            </w:r>
          </w:p>
        </w:tc>
      </w:tr>
      <w:tr w:rsidR="00263734" w:rsidRPr="00E806D4" w14:paraId="581FFF13" w14:textId="77777777" w:rsidTr="00140C9E">
        <w:tc>
          <w:tcPr>
            <w:tcW w:w="9350" w:type="dxa"/>
          </w:tcPr>
          <w:p w14:paraId="73F34EB9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 xml:space="preserve">TS=((( australian health system ) OR ( australian healthcare system ) OR ( australian AND health AND care AND system ) ) AND ( ( reform* OR polic* ) OR ( challeng* ) OR ( problem* ) OR ( limit* ) OR ( limitation* ) OR ( issue* ) OR ( barrier* ) OR ( opportunit* ) OR ( strength* ) OR ( solution* ) OR ( basic AND benefit AND package ) OR ( out-of-pocket ) OR ( oop ) OR ( conflict AND of AND interest ) OR ( consumer AND choice ) OR ( consumer AND information ) OR ( market AND transparency ) OR ( risk-bearing ) OR ( contestable AND markets ) OR ( contract* ) OR ( integration ) OR ( competition AND regulation ) OR ( cross-subsidies ) OR ( risk AND selection ) OR ( free AND riding ) OR ( quality AND supervision ) OR ( access ) ) AND ( ( managed AND competition ) OR ( </w:t>
            </w:r>
            <w:r w:rsidRPr="0072177A">
              <w:rPr>
                <w:rFonts w:ascii="Times New Roman" w:hAnsi="Times New Roman" w:cs="Times New Roman"/>
              </w:rPr>
              <w:lastRenderedPageBreak/>
              <w:t>competition ) OR ( private AND health AND insurance ) OR ( phi ) OR ( insurance ) OR ( financing ) OR ( private ) OR ( hybrid* ) OR ( public-private AND mix ) ) )</w:t>
            </w:r>
          </w:p>
        </w:tc>
      </w:tr>
      <w:tr w:rsidR="00263734" w:rsidRPr="00E806D4" w14:paraId="56C4DF05" w14:textId="77777777" w:rsidTr="00140C9E">
        <w:tc>
          <w:tcPr>
            <w:tcW w:w="9350" w:type="dxa"/>
          </w:tcPr>
          <w:p w14:paraId="5E895D15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lastRenderedPageBreak/>
              <w:t>Scopus</w:t>
            </w:r>
          </w:p>
        </w:tc>
      </w:tr>
      <w:tr w:rsidR="00263734" w:rsidRPr="00E806D4" w14:paraId="50A90C2E" w14:textId="77777777" w:rsidTr="00140C9E">
        <w:tc>
          <w:tcPr>
            <w:tcW w:w="9350" w:type="dxa"/>
          </w:tcPr>
          <w:p w14:paraId="59ACAE56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TITLE-ABS-KEY ( ( australian AND health AND system ) OR ( australian AND healthcare AND system ) OR ( australian AND health AND care AND system ) ) AND TITLE-ABS-KEY ( ( reform* OR polic* ) OR ( challeng* ) OR ( problem* ) OR ( limit* ) OR ( limitation* ) OR ( issue* ) OR ( barrier* ) OR ( opportunit* ) OR ( strength* ) OR ( solution* ) OR ( basic AND benefit AND package ) OR ( out-of-pocket ) OR ( oop ) OR ( conflict AND of AND interest ) OR ( consumer AND choice ) OR ( consumer AND information ) OR ( market AND transparency ) OR ( risk-bearing ) OR ( contestable AND markets ) OR ( contract* ) OR ( integration ) OR ( competition AND regulation ) OR ( cross-subsidies ) OR ( risk AND selection ) OR ( free AND riding ) OR ( quality AND supervision ) OR ( access ) ) AND TITLE-ABS-KEY ( ( managed AND competition ) OR ( competition ) OR ( private AND health AND insurance ) OR ( phi ) OR ( insurance ) OR ( financing ) OR ( private ) OR ( hybrid* ) OR ( public-private AND mix ) )</w:t>
            </w:r>
          </w:p>
        </w:tc>
      </w:tr>
      <w:tr w:rsidR="00263734" w:rsidRPr="00E806D4" w14:paraId="79C17ABB" w14:textId="77777777" w:rsidTr="00140C9E">
        <w:tc>
          <w:tcPr>
            <w:tcW w:w="9350" w:type="dxa"/>
          </w:tcPr>
          <w:p w14:paraId="004532FB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>Google</w:t>
            </w:r>
          </w:p>
        </w:tc>
      </w:tr>
      <w:tr w:rsidR="00263734" w:rsidRPr="00E806D4" w14:paraId="698AC024" w14:textId="77777777" w:rsidTr="00140C9E">
        <w:trPr>
          <w:trHeight w:val="553"/>
        </w:trPr>
        <w:tc>
          <w:tcPr>
            <w:tcW w:w="9350" w:type="dxa"/>
          </w:tcPr>
          <w:p w14:paraId="0E8E56F1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 xml:space="preserve">Advance search with all the words: </w:t>
            </w:r>
            <w:r w:rsidRPr="0072177A">
              <w:rPr>
                <w:rFonts w:ascii="Times New Roman" w:hAnsi="Times New Roman" w:cs="Times New Roman"/>
              </w:rPr>
              <w:t>Australian health system AND</w:t>
            </w:r>
            <w:r w:rsidRPr="0072177A">
              <w:rPr>
                <w:rFonts w:ascii="Times New Roman" w:hAnsi="Times New Roman" w:cs="Times New Roman"/>
                <w:lang w:val="en-GB"/>
              </w:rPr>
              <w:t xml:space="preserve"> managed competition</w:t>
            </w:r>
            <w:r w:rsidRPr="0072177A">
              <w:rPr>
                <w:rFonts w:ascii="Times New Roman" w:hAnsi="Times New Roman" w:cs="Times New Roman"/>
              </w:rPr>
              <w:t xml:space="preserve"> AND</w:t>
            </w:r>
            <w:r w:rsidRPr="0072177A">
              <w:rPr>
                <w:rFonts w:ascii="Times New Roman" w:hAnsi="Times New Roman" w:cs="Times New Roman"/>
                <w:lang w:val="en-GB"/>
              </w:rPr>
              <w:t xml:space="preserve"> preconditions</w:t>
            </w:r>
          </w:p>
          <w:p w14:paraId="05AA18EC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7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/>
              </w:rPr>
              <w:t>Years</w:t>
            </w: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: 2000-2023</w:t>
            </w:r>
          </w:p>
        </w:tc>
      </w:tr>
    </w:tbl>
    <w:p w14:paraId="0AFA1DF1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  <w:b/>
          <w:bCs/>
        </w:rPr>
      </w:pPr>
    </w:p>
    <w:p w14:paraId="385B5981" w14:textId="77777777" w:rsidR="00263734" w:rsidRPr="00E806D4" w:rsidRDefault="00263734" w:rsidP="00263734">
      <w:pPr>
        <w:pStyle w:val="paragraph"/>
        <w:spacing w:line="276" w:lineRule="auto"/>
        <w:jc w:val="both"/>
        <w:textAlignment w:val="baseline"/>
        <w:rPr>
          <w:b/>
          <w:bCs/>
        </w:rPr>
      </w:pPr>
      <w:r w:rsidRPr="00E806D4">
        <w:rPr>
          <w:b/>
          <w:bCs/>
        </w:rPr>
        <w:t>Study selection</w:t>
      </w:r>
    </w:p>
    <w:p w14:paraId="2385711F" w14:textId="77777777" w:rsidR="00263734" w:rsidRPr="00E806D4" w:rsidRDefault="00263734" w:rsidP="00263734">
      <w:pPr>
        <w:pStyle w:val="Default"/>
        <w:jc w:val="both"/>
        <w:rPr>
          <w:rFonts w:ascii="Times New Roman" w:hAnsi="Times New Roman" w:cs="Times New Roman"/>
        </w:rPr>
      </w:pPr>
      <w:r w:rsidRPr="00E806D4">
        <w:rPr>
          <w:rFonts w:ascii="Times New Roman" w:hAnsi="Times New Roman" w:cs="Times New Roman"/>
        </w:rPr>
        <w:t>Studies identified in the search were collated and deduplicated in EndNote X9. Other relevant studies were added through a back and forward snowballing search or manually, including peer review articles, books, and grey literature, as described in Table 2A. Title and abstract, and full-text screening were completed independently by CB, and PAP. Any conflicts which occurred during screening and selection were resolved by consensus with J</w:t>
      </w:r>
      <w:r>
        <w:rPr>
          <w:rFonts w:ascii="Times New Roman" w:hAnsi="Times New Roman" w:cs="Times New Roman"/>
        </w:rPr>
        <w:t>H</w:t>
      </w:r>
      <w:r w:rsidRPr="00E806D4">
        <w:rPr>
          <w:rFonts w:ascii="Times New Roman" w:hAnsi="Times New Roman" w:cs="Times New Roman"/>
        </w:rPr>
        <w:t>.</w:t>
      </w:r>
    </w:p>
    <w:p w14:paraId="51518222" w14:textId="77777777" w:rsidR="00263734" w:rsidRPr="00E806D4" w:rsidRDefault="00263734" w:rsidP="00263734">
      <w:pPr>
        <w:pStyle w:val="paragraph"/>
        <w:spacing w:line="276" w:lineRule="auto"/>
        <w:jc w:val="both"/>
        <w:textAlignment w:val="baseline"/>
      </w:pPr>
      <w:r w:rsidRPr="00E806D4">
        <w:rPr>
          <w:b/>
          <w:bCs/>
        </w:rPr>
        <w:t xml:space="preserve">Table 2A: </w:t>
      </w:r>
      <w:r w:rsidRPr="00E806D4">
        <w:t>Study selection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5953"/>
      </w:tblGrid>
      <w:tr w:rsidR="00263734" w:rsidRPr="00E806D4" w14:paraId="6E59023D" w14:textId="77777777" w:rsidTr="00140C9E">
        <w:tc>
          <w:tcPr>
            <w:tcW w:w="1271" w:type="dxa"/>
          </w:tcPr>
          <w:p w14:paraId="3EFA4451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 xml:space="preserve">Database </w:t>
            </w:r>
          </w:p>
        </w:tc>
        <w:tc>
          <w:tcPr>
            <w:tcW w:w="992" w:type="dxa"/>
          </w:tcPr>
          <w:p w14:paraId="221BBBD5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  <w:p w14:paraId="1D019D24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>studies</w:t>
            </w:r>
          </w:p>
        </w:tc>
        <w:tc>
          <w:tcPr>
            <w:tcW w:w="1134" w:type="dxa"/>
          </w:tcPr>
          <w:p w14:paraId="61F641D9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>Selected studies</w:t>
            </w:r>
          </w:p>
        </w:tc>
        <w:tc>
          <w:tcPr>
            <w:tcW w:w="5953" w:type="dxa"/>
          </w:tcPr>
          <w:p w14:paraId="3F48FE85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 xml:space="preserve">Included paper according selection criteria </w:t>
            </w:r>
          </w:p>
        </w:tc>
      </w:tr>
      <w:tr w:rsidR="00263734" w:rsidRPr="00E806D4" w14:paraId="3F2C321D" w14:textId="77777777" w:rsidTr="00140C9E">
        <w:tc>
          <w:tcPr>
            <w:tcW w:w="1271" w:type="dxa"/>
          </w:tcPr>
          <w:p w14:paraId="67B7DAC4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 xml:space="preserve">PubMed </w:t>
            </w:r>
          </w:p>
        </w:tc>
        <w:tc>
          <w:tcPr>
            <w:tcW w:w="992" w:type="dxa"/>
          </w:tcPr>
          <w:p w14:paraId="13506DBE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14:paraId="0F8ED204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3" w:type="dxa"/>
          </w:tcPr>
          <w:p w14:paraId="751B9B92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None</w:t>
            </w:r>
          </w:p>
        </w:tc>
      </w:tr>
      <w:tr w:rsidR="00263734" w:rsidRPr="00E806D4" w14:paraId="1A29DC5D" w14:textId="77777777" w:rsidTr="00140C9E">
        <w:tc>
          <w:tcPr>
            <w:tcW w:w="1271" w:type="dxa"/>
          </w:tcPr>
          <w:p w14:paraId="1D8B68F7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992" w:type="dxa"/>
          </w:tcPr>
          <w:p w14:paraId="08468AD3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134" w:type="dxa"/>
          </w:tcPr>
          <w:p w14:paraId="154871E2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14:paraId="1745AB8B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es-ES"/>
              </w:rPr>
            </w:pPr>
            <w:r w:rsidRPr="0003483D">
              <w:rPr>
                <w:rFonts w:ascii="Times New Roman" w:hAnsi="Times New Roman" w:cs="Times New Roman"/>
                <w:lang w:val="es-ES"/>
              </w:rPr>
              <w:t xml:space="preserve">Eldridge, D. S. et al (2017) </w:t>
            </w:r>
          </w:p>
          <w:p w14:paraId="66D2AF10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es-ES"/>
              </w:rPr>
            </w:pPr>
            <w:r w:rsidRPr="0003483D">
              <w:rPr>
                <w:rFonts w:ascii="Times New Roman" w:hAnsi="Times New Roman" w:cs="Times New Roman"/>
                <w:lang w:val="es-ES"/>
              </w:rPr>
              <w:t xml:space="preserve">Fouda, A., et al. (2017) </w:t>
            </w:r>
          </w:p>
          <w:p w14:paraId="3B92E22A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es-ES"/>
              </w:rPr>
            </w:pPr>
            <w:r w:rsidRPr="0003483D">
              <w:rPr>
                <w:rFonts w:ascii="Times New Roman" w:hAnsi="Times New Roman" w:cs="Times New Roman"/>
                <w:lang w:val="es-ES"/>
              </w:rPr>
              <w:t xml:space="preserve">García-Goñi et al (2018). </w:t>
            </w:r>
          </w:p>
          <w:p w14:paraId="0CFB2793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 xml:space="preserve">Paolucci, F. et al. (2018) </w:t>
            </w:r>
          </w:p>
        </w:tc>
      </w:tr>
      <w:tr w:rsidR="00263734" w:rsidRPr="000725C3" w14:paraId="56C114F4" w14:textId="77777777" w:rsidTr="00140C9E">
        <w:tc>
          <w:tcPr>
            <w:tcW w:w="1271" w:type="dxa"/>
          </w:tcPr>
          <w:p w14:paraId="52F7AAD5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Web of Science</w:t>
            </w:r>
          </w:p>
        </w:tc>
        <w:tc>
          <w:tcPr>
            <w:tcW w:w="992" w:type="dxa"/>
          </w:tcPr>
          <w:p w14:paraId="02619F6D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134" w:type="dxa"/>
          </w:tcPr>
          <w:p w14:paraId="762DB73E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14:paraId="52DBAA87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es-ES"/>
              </w:rPr>
            </w:pPr>
            <w:r w:rsidRPr="0003483D">
              <w:rPr>
                <w:rFonts w:ascii="Times New Roman" w:hAnsi="Times New Roman" w:cs="Times New Roman"/>
                <w:lang w:val="es-ES"/>
              </w:rPr>
              <w:t xml:space="preserve">Eldridge, D. S. et al (2017) </w:t>
            </w:r>
          </w:p>
          <w:p w14:paraId="5029E844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es-ES"/>
              </w:rPr>
            </w:pPr>
            <w:r w:rsidRPr="0003483D">
              <w:rPr>
                <w:rFonts w:ascii="Times New Roman" w:hAnsi="Times New Roman" w:cs="Times New Roman"/>
                <w:lang w:val="es-ES"/>
              </w:rPr>
              <w:t xml:space="preserve">Fouda, A. et al  (2017) </w:t>
            </w:r>
          </w:p>
          <w:p w14:paraId="72C04FC4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es-ES"/>
              </w:rPr>
            </w:pPr>
            <w:r w:rsidRPr="0003483D">
              <w:rPr>
                <w:rFonts w:ascii="Times New Roman" w:hAnsi="Times New Roman" w:cs="Times New Roman"/>
                <w:lang w:val="es-ES"/>
              </w:rPr>
              <w:t>García-Goñi et al(2018)</w:t>
            </w:r>
          </w:p>
        </w:tc>
      </w:tr>
      <w:tr w:rsidR="00263734" w:rsidRPr="00E806D4" w14:paraId="058A5A2E" w14:textId="77777777" w:rsidTr="00140C9E">
        <w:tc>
          <w:tcPr>
            <w:tcW w:w="1271" w:type="dxa"/>
          </w:tcPr>
          <w:p w14:paraId="484DAD21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Snowballing</w:t>
            </w:r>
          </w:p>
        </w:tc>
        <w:tc>
          <w:tcPr>
            <w:tcW w:w="992" w:type="dxa"/>
          </w:tcPr>
          <w:p w14:paraId="66F7B8AE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</w:tcPr>
          <w:p w14:paraId="4874E86A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14:paraId="4805185A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Doiron, D., &amp; Kettlewell, N. (2018)</w:t>
            </w:r>
          </w:p>
          <w:p w14:paraId="0684197A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Rana, R. H., et al (2020)</w:t>
            </w:r>
          </w:p>
          <w:p w14:paraId="14D21C90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  <w:r w:rsidRPr="0003483D">
              <w:rPr>
                <w:rFonts w:ascii="Times New Roman" w:hAnsi="Times New Roman" w:cs="Times New Roman"/>
                <w:lang w:val="nl-NL"/>
              </w:rPr>
              <w:t xml:space="preserve">Van de Ven, W. P. M. M. et al. (2013) </w:t>
            </w:r>
          </w:p>
          <w:p w14:paraId="5B9E7F7A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  <w:r w:rsidRPr="0003483D">
              <w:rPr>
                <w:rFonts w:ascii="Times New Roman" w:hAnsi="Times New Roman" w:cs="Times New Roman"/>
                <w:lang w:val="nl-NL"/>
              </w:rPr>
              <w:t xml:space="preserve">Bevan, G. and Van De Ven, W. P. M. M. (2010) </w:t>
            </w:r>
          </w:p>
          <w:p w14:paraId="6A8D49E1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Enthoven, A. (1988)</w:t>
            </w:r>
          </w:p>
          <w:p w14:paraId="49581F6B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lastRenderedPageBreak/>
              <w:t>Enthoven, A. (1978)</w:t>
            </w:r>
          </w:p>
          <w:p w14:paraId="54BA2E2D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Whitty, J. A., &amp; Littlejohns, P. (2015)</w:t>
            </w:r>
          </w:p>
        </w:tc>
      </w:tr>
      <w:tr w:rsidR="00263734" w:rsidRPr="000725C3" w14:paraId="733D830C" w14:textId="77777777" w:rsidTr="00140C9E">
        <w:tc>
          <w:tcPr>
            <w:tcW w:w="1271" w:type="dxa"/>
          </w:tcPr>
          <w:p w14:paraId="27B2446B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lastRenderedPageBreak/>
              <w:t>Google Scholar</w:t>
            </w:r>
          </w:p>
        </w:tc>
        <w:tc>
          <w:tcPr>
            <w:tcW w:w="992" w:type="dxa"/>
          </w:tcPr>
          <w:p w14:paraId="7CF78F10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 xml:space="preserve">First 100 results </w:t>
            </w:r>
          </w:p>
        </w:tc>
        <w:tc>
          <w:tcPr>
            <w:tcW w:w="1134" w:type="dxa"/>
          </w:tcPr>
          <w:p w14:paraId="403862FB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14:paraId="4E3A0EED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 xml:space="preserve">Duckett, S. and Willcox, S. (2015) </w:t>
            </w:r>
          </w:p>
          <w:p w14:paraId="245B687A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  <w:r w:rsidRPr="0003483D">
              <w:rPr>
                <w:rFonts w:ascii="Times New Roman" w:hAnsi="Times New Roman" w:cs="Times New Roman"/>
                <w:lang w:val="nl-NL"/>
              </w:rPr>
              <w:t xml:space="preserve">Van de Ven, W. P. M. M. et al. (2013) </w:t>
            </w:r>
          </w:p>
          <w:p w14:paraId="61C3C3A5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03483D">
              <w:rPr>
                <w:rFonts w:ascii="Times New Roman" w:hAnsi="Times New Roman" w:cs="Times New Roman"/>
                <w:lang w:val="nl-NL"/>
              </w:rPr>
              <w:t xml:space="preserve">Van de Ven, W. et al. </w:t>
            </w:r>
            <w:r w:rsidRPr="0003483D">
              <w:rPr>
                <w:rFonts w:ascii="Times New Roman" w:hAnsi="Times New Roman" w:cs="Times New Roman"/>
                <w:lang w:val="en-GB"/>
              </w:rPr>
              <w:t xml:space="preserve">(2022). </w:t>
            </w:r>
          </w:p>
          <w:p w14:paraId="2E357B0B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 xml:space="preserve">Willcox, S. (2005) </w:t>
            </w:r>
          </w:p>
          <w:p w14:paraId="54BE1043" w14:textId="77777777" w:rsidR="00263734" w:rsidRPr="0072177A" w:rsidRDefault="00263734" w:rsidP="00140C9E">
            <w:pPr>
              <w:pStyle w:val="Default"/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D</w:t>
            </w:r>
            <w:r w:rsidRPr="0072177A"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  <w:t>onato, R. and Onur, I. (2018)</w:t>
            </w:r>
          </w:p>
          <w:p w14:paraId="1A82CE2E" w14:textId="77777777" w:rsidR="00263734" w:rsidRPr="0003483D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nl-NL"/>
              </w:rPr>
            </w:pPr>
            <w:r w:rsidRPr="0003483D">
              <w:rPr>
                <w:rFonts w:ascii="Times New Roman" w:eastAsiaTheme="minorEastAsia" w:hAnsi="Times New Roman" w:cs="Times New Roman"/>
                <w:color w:val="000000" w:themeColor="text1"/>
                <w:lang w:val="nl-NL"/>
              </w:rPr>
              <w:t>Duckett, S. (2018)</w:t>
            </w:r>
          </w:p>
          <w:p w14:paraId="272C8D82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  <w:r w:rsidRPr="0003483D">
              <w:rPr>
                <w:rFonts w:ascii="Times New Roman" w:hAnsi="Times New Roman" w:cs="Times New Roman"/>
                <w:lang w:val="nl-NL"/>
              </w:rPr>
              <w:t>Vaikuntam, B. P. et al (2020)</w:t>
            </w:r>
          </w:p>
        </w:tc>
      </w:tr>
      <w:tr w:rsidR="00263734" w:rsidRPr="00E806D4" w14:paraId="68B7E000" w14:textId="77777777" w:rsidTr="00140C9E">
        <w:tc>
          <w:tcPr>
            <w:tcW w:w="1271" w:type="dxa"/>
          </w:tcPr>
          <w:p w14:paraId="19D966DC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 xml:space="preserve">Manually added </w:t>
            </w:r>
          </w:p>
          <w:p w14:paraId="444BD75E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(peer-reviewed)</w:t>
            </w:r>
          </w:p>
        </w:tc>
        <w:tc>
          <w:tcPr>
            <w:tcW w:w="992" w:type="dxa"/>
          </w:tcPr>
          <w:p w14:paraId="2C921BFF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48E039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12CEDBB4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 xml:space="preserve">Anderson, M., &amp; Mossialos, E. (2022) </w:t>
            </w:r>
          </w:p>
          <w:p w14:paraId="24CF3892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>Doiron, D., &amp; Kettlewell, N. (2018)</w:t>
            </w:r>
          </w:p>
          <w:p w14:paraId="3CBA0B03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es-ES"/>
              </w:rPr>
            </w:pPr>
            <w:r w:rsidRPr="0003483D">
              <w:rPr>
                <w:rFonts w:ascii="Times New Roman" w:hAnsi="Times New Roman" w:cs="Times New Roman"/>
                <w:lang w:val="es-ES"/>
              </w:rPr>
              <w:t>Hall, J. (2010)</w:t>
            </w:r>
          </w:p>
          <w:p w14:paraId="484540FD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  <w:r w:rsidRPr="0003483D">
              <w:rPr>
                <w:rFonts w:ascii="Times New Roman" w:hAnsi="Times New Roman" w:cs="Times New Roman"/>
                <w:lang w:val="es-ES"/>
              </w:rPr>
              <w:t xml:space="preserve">Henriquez, J. et al. </w:t>
            </w:r>
            <w:r w:rsidRPr="0003483D">
              <w:rPr>
                <w:rFonts w:ascii="Times New Roman" w:hAnsi="Times New Roman" w:cs="Times New Roman"/>
                <w:lang w:val="nl-NL"/>
              </w:rPr>
              <w:t>(2019)</w:t>
            </w:r>
          </w:p>
          <w:p w14:paraId="23DB0E04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  <w:r w:rsidRPr="0003483D">
              <w:rPr>
                <w:rFonts w:ascii="Times New Roman" w:hAnsi="Times New Roman" w:cs="Times New Roman"/>
                <w:lang w:val="nl-NL"/>
              </w:rPr>
              <w:t>Kim, H. et al. (2021)</w:t>
            </w:r>
          </w:p>
          <w:p w14:paraId="25B57CB5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  <w:r w:rsidRPr="0003483D">
              <w:rPr>
                <w:rFonts w:ascii="Times New Roman" w:hAnsi="Times New Roman" w:cs="Times New Roman"/>
                <w:lang w:val="nl-NL"/>
              </w:rPr>
              <w:t>Van Kleef, R., &amp; McGuire, T. G. (2018)</w:t>
            </w:r>
          </w:p>
          <w:p w14:paraId="3E7DE9A5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 xml:space="preserve">Crowe, S. et al. (2011). </w:t>
            </w:r>
          </w:p>
          <w:p w14:paraId="7F793A20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>Shamsullah, A. (2011)</w:t>
            </w:r>
          </w:p>
        </w:tc>
      </w:tr>
      <w:tr w:rsidR="00263734" w:rsidRPr="00E806D4" w14:paraId="5F60C0B9" w14:textId="77777777" w:rsidTr="00140C9E">
        <w:tc>
          <w:tcPr>
            <w:tcW w:w="1271" w:type="dxa"/>
          </w:tcPr>
          <w:p w14:paraId="71193BEF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Manually added (books)</w:t>
            </w:r>
          </w:p>
        </w:tc>
        <w:tc>
          <w:tcPr>
            <w:tcW w:w="992" w:type="dxa"/>
          </w:tcPr>
          <w:p w14:paraId="701D3B27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7346C6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5D6EDA4B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>Duckett, S. and Willcox, S. (2015)</w:t>
            </w:r>
          </w:p>
          <w:p w14:paraId="00B94A37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>Palmer, G. and Short, S. (2014)</w:t>
            </w:r>
          </w:p>
        </w:tc>
      </w:tr>
      <w:tr w:rsidR="00263734" w:rsidRPr="00E806D4" w14:paraId="6055999B" w14:textId="77777777" w:rsidTr="00140C9E">
        <w:tc>
          <w:tcPr>
            <w:tcW w:w="1271" w:type="dxa"/>
          </w:tcPr>
          <w:p w14:paraId="1DCE6183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Manually added.</w:t>
            </w:r>
          </w:p>
          <w:p w14:paraId="117F978A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(grey literature)</w:t>
            </w:r>
          </w:p>
        </w:tc>
        <w:tc>
          <w:tcPr>
            <w:tcW w:w="992" w:type="dxa"/>
          </w:tcPr>
          <w:p w14:paraId="66E53E68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97FB3E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788E3CBB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ABS (2019)</w:t>
            </w:r>
          </w:p>
          <w:p w14:paraId="03BCCF84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ACCC (2020)</w:t>
            </w:r>
          </w:p>
          <w:p w14:paraId="7D71BEE9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ACSQHC (2021)</w:t>
            </w:r>
          </w:p>
          <w:p w14:paraId="0FB5E72F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AIHW (2017)</w:t>
            </w:r>
          </w:p>
          <w:p w14:paraId="5072B756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AIHW (2018)</w:t>
            </w:r>
          </w:p>
          <w:p w14:paraId="5BF04019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AIHW (2019)</w:t>
            </w:r>
          </w:p>
          <w:p w14:paraId="2AD7E177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AIHW (2021)</w:t>
            </w:r>
          </w:p>
          <w:p w14:paraId="36F158AA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AIHW (2022a)</w:t>
            </w:r>
          </w:p>
          <w:p w14:paraId="63E341B4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AIHW (2022b)</w:t>
            </w:r>
          </w:p>
          <w:p w14:paraId="205C8F54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AIHW (2022c)</w:t>
            </w:r>
          </w:p>
          <w:p w14:paraId="19F34370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AIHW (2022d)</w:t>
            </w:r>
          </w:p>
          <w:p w14:paraId="246EE2D3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AMA Research and Reform Unit (2021)</w:t>
            </w:r>
          </w:p>
          <w:p w14:paraId="4D0088E6" w14:textId="77777777" w:rsidR="00263734" w:rsidRPr="0003483D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03483D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APRA (2020)</w:t>
            </w:r>
          </w:p>
          <w:p w14:paraId="2890CE00" w14:textId="77777777" w:rsidR="00263734" w:rsidRPr="0003483D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03483D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APRA (2021)</w:t>
            </w:r>
          </w:p>
          <w:p w14:paraId="563BA5CC" w14:textId="77777777" w:rsidR="00263734" w:rsidRPr="0003483D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03483D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APRA (2022a)</w:t>
            </w:r>
          </w:p>
          <w:p w14:paraId="49546E1B" w14:textId="77777777" w:rsidR="00263734" w:rsidRPr="0003483D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03483D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APRA (2022b)</w:t>
            </w:r>
          </w:p>
          <w:p w14:paraId="4710EA55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APRA (2022c)</w:t>
            </w:r>
          </w:p>
          <w:p w14:paraId="6EFAA7A0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 xml:space="preserve">Biggs, A. (2016) </w:t>
            </w:r>
          </w:p>
          <w:p w14:paraId="20FDA2C8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 xml:space="preserve">Biggs, A. (2017) </w:t>
            </w:r>
          </w:p>
          <w:p w14:paraId="3D5A9DA9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Bloom, A. L. (2002)</w:t>
            </w:r>
          </w:p>
          <w:p w14:paraId="585F2F6A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Commonwealth Ombudsman (2021)</w:t>
            </w:r>
          </w:p>
          <w:p w14:paraId="56AAD93C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Department of Health and Aged Care (2021)</w:t>
            </w:r>
          </w:p>
          <w:p w14:paraId="735CC9EE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Department of Health and Aged Care (2023)</w:t>
            </w:r>
          </w:p>
          <w:p w14:paraId="49BBA852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  <w:t>King, D. (2022).</w:t>
            </w:r>
          </w:p>
          <w:p w14:paraId="3F352B2E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M</w:t>
            </w:r>
            <w:r w:rsidRPr="0072177A"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  <w:t>cAuley, I. (2008).</w:t>
            </w:r>
          </w:p>
          <w:p w14:paraId="75C651EF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 xml:space="preserve">NHHRC (2009)  </w:t>
            </w:r>
          </w:p>
          <w:p w14:paraId="54422FF0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lastRenderedPageBreak/>
              <w:t>NSW Health (2021)</w:t>
            </w:r>
          </w:p>
          <w:p w14:paraId="0A35FC9B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OECD (2016)</w:t>
            </w:r>
          </w:p>
          <w:p w14:paraId="542887CC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OECD (2021)</w:t>
            </w:r>
          </w:p>
          <w:p w14:paraId="31EE6D82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 xml:space="preserve">OECD (2022) </w:t>
            </w:r>
          </w:p>
          <w:p w14:paraId="22EBEA3F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PC (2017)</w:t>
            </w:r>
          </w:p>
          <w:p w14:paraId="4F863A71" w14:textId="77777777" w:rsidR="00263734" w:rsidRPr="0072177A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PHA (2019)</w:t>
            </w:r>
          </w:p>
          <w:p w14:paraId="6B7CECCC" w14:textId="77777777" w:rsidR="00263734" w:rsidRPr="0003483D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nl-NL"/>
              </w:rPr>
            </w:pPr>
            <w:r w:rsidRPr="0003483D">
              <w:rPr>
                <w:rFonts w:ascii="Times New Roman" w:eastAsia="Times New Roman" w:hAnsi="Times New Roman" w:cs="Times New Roman"/>
                <w:color w:val="000000" w:themeColor="text1"/>
                <w:lang w:val="nl-NL"/>
              </w:rPr>
              <w:t>PHIO (2020)</w:t>
            </w:r>
          </w:p>
          <w:p w14:paraId="32952F98" w14:textId="77777777" w:rsidR="00263734" w:rsidRPr="0003483D" w:rsidRDefault="00263734" w:rsidP="00140C9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nl-NL"/>
              </w:rPr>
            </w:pPr>
            <w:r w:rsidRPr="0003483D">
              <w:rPr>
                <w:rFonts w:ascii="Times New Roman" w:eastAsia="Times New Roman" w:hAnsi="Times New Roman" w:cs="Times New Roman"/>
                <w:color w:val="000000" w:themeColor="text1"/>
                <w:lang w:val="nl-NL"/>
              </w:rPr>
              <w:t>Street, A. et al (2007)</w:t>
            </w:r>
          </w:p>
          <w:p w14:paraId="204F99D6" w14:textId="77777777" w:rsidR="00263734" w:rsidRPr="0072177A" w:rsidRDefault="00263734" w:rsidP="00140C9E">
            <w:pPr>
              <w:pStyle w:val="Default"/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  <w:t>Tsirtsakis, A. (2022)</w:t>
            </w:r>
          </w:p>
          <w:p w14:paraId="28CD6263" w14:textId="77777777" w:rsidR="00263734" w:rsidRPr="0072177A" w:rsidRDefault="00263734" w:rsidP="00140C9E">
            <w:pPr>
              <w:pStyle w:val="Default"/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  <w:t xml:space="preserve">Freguja, C. (2023) </w:t>
            </w:r>
          </w:p>
          <w:p w14:paraId="6A4439EB" w14:textId="77777777" w:rsidR="00263734" w:rsidRPr="0072177A" w:rsidRDefault="00263734" w:rsidP="00140C9E">
            <w:pPr>
              <w:pStyle w:val="Default"/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  <w:t>Stoelwinder, J. (2019)</w:t>
            </w:r>
          </w:p>
          <w:p w14:paraId="566ED0EC" w14:textId="77777777" w:rsidR="00263734" w:rsidRPr="0072177A" w:rsidRDefault="00263734" w:rsidP="00140C9E">
            <w:pPr>
              <w:pStyle w:val="Default"/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  <w:t>Doggett, J., &amp; McAuley, I. (2013)</w:t>
            </w:r>
          </w:p>
          <w:p w14:paraId="7451E4CB" w14:textId="77777777" w:rsidR="00263734" w:rsidRPr="0072177A" w:rsidRDefault="00263734" w:rsidP="00140C9E">
            <w:pPr>
              <w:pStyle w:val="Default"/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  <w:t>McAuley, I., Mendaue, J. (2007)</w:t>
            </w:r>
          </w:p>
          <w:p w14:paraId="04C331A4" w14:textId="77777777" w:rsidR="00263734" w:rsidRPr="0072177A" w:rsidRDefault="00263734" w:rsidP="00140C9E">
            <w:pPr>
              <w:pStyle w:val="Default"/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  <w:t>CHF of Australia (2022)</w:t>
            </w:r>
          </w:p>
          <w:p w14:paraId="4F5417A6" w14:textId="77777777" w:rsidR="00263734" w:rsidRPr="0072177A" w:rsidRDefault="00263734" w:rsidP="00140C9E">
            <w:pPr>
              <w:pStyle w:val="Default"/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  <w:t xml:space="preserve">Roy Morgan (2021) </w:t>
            </w:r>
          </w:p>
          <w:p w14:paraId="681C288C" w14:textId="77777777" w:rsidR="00263734" w:rsidRPr="0072177A" w:rsidRDefault="00263734" w:rsidP="00140C9E">
            <w:pPr>
              <w:pStyle w:val="Default"/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  <w:t>Tuohy, C. H. (2010)</w:t>
            </w:r>
          </w:p>
          <w:p w14:paraId="1B4C7C9F" w14:textId="77777777" w:rsidR="00263734" w:rsidRPr="0072177A" w:rsidRDefault="00263734" w:rsidP="00140C9E">
            <w:pPr>
              <w:pStyle w:val="Default"/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  <w:t>IHACPA (2022).</w:t>
            </w:r>
          </w:p>
        </w:tc>
      </w:tr>
    </w:tbl>
    <w:p w14:paraId="4EF2B1D7" w14:textId="77777777" w:rsidR="00263734" w:rsidRPr="00E806D4" w:rsidRDefault="00263734" w:rsidP="00263734">
      <w:pPr>
        <w:pStyle w:val="Default"/>
        <w:jc w:val="both"/>
        <w:rPr>
          <w:rFonts w:ascii="Times New Roman" w:hAnsi="Times New Roman" w:cs="Times New Roman"/>
        </w:rPr>
      </w:pPr>
    </w:p>
    <w:p w14:paraId="4F9D5979" w14:textId="77777777" w:rsidR="00263734" w:rsidRPr="00E806D4" w:rsidRDefault="00263734" w:rsidP="00263734">
      <w:pPr>
        <w:pStyle w:val="paragraph"/>
        <w:spacing w:line="276" w:lineRule="auto"/>
        <w:jc w:val="both"/>
        <w:textAlignment w:val="baseline"/>
        <w:rPr>
          <w:b/>
          <w:bCs/>
        </w:rPr>
      </w:pPr>
      <w:r w:rsidRPr="00E806D4">
        <w:rPr>
          <w:b/>
          <w:bCs/>
        </w:rPr>
        <w:t>Data synthesis</w:t>
      </w:r>
    </w:p>
    <w:p w14:paraId="627E6506" w14:textId="77777777" w:rsidR="00263734" w:rsidRPr="00E806D4" w:rsidRDefault="00263734" w:rsidP="00263734">
      <w:pPr>
        <w:pStyle w:val="paragraph"/>
        <w:spacing w:line="276" w:lineRule="auto"/>
        <w:jc w:val="both"/>
        <w:textAlignment w:val="baseline"/>
      </w:pPr>
      <w:r w:rsidRPr="00E806D4">
        <w:t>Selected references were read in full by CB and PAP and assigned for synthesis to the relevant framework preconditions (Henriquez et al., 202</w:t>
      </w:r>
      <w:r>
        <w:t>4</w:t>
      </w:r>
      <w:r w:rsidRPr="00E806D4">
        <w:t>). Some references were relevant and informed the synthesis of all the preconditions, as reported in Table 3A. Any conflicts were resolved by consensus with JE.</w:t>
      </w:r>
    </w:p>
    <w:p w14:paraId="25F690DD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</w:rPr>
      </w:pPr>
      <w:r w:rsidRPr="00E806D4">
        <w:rPr>
          <w:rFonts w:ascii="Times New Roman" w:hAnsi="Times New Roman" w:cs="Times New Roman"/>
          <w:b/>
          <w:bCs/>
        </w:rPr>
        <w:t>Table 3A</w:t>
      </w:r>
      <w:r w:rsidRPr="00E806D4">
        <w:rPr>
          <w:rFonts w:ascii="Times New Roman" w:hAnsi="Times New Roman" w:cs="Times New Roman"/>
        </w:rPr>
        <w:t xml:space="preserve">: Synthesis of selected studies for each precondition informed by Henriquez (2022). </w:t>
      </w:r>
    </w:p>
    <w:p w14:paraId="7F204785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6945"/>
      </w:tblGrid>
      <w:tr w:rsidR="00263734" w:rsidRPr="00E806D4" w14:paraId="223A29CE" w14:textId="77777777" w:rsidTr="00140C9E">
        <w:tc>
          <w:tcPr>
            <w:tcW w:w="1413" w:type="dxa"/>
          </w:tcPr>
          <w:p w14:paraId="1464C656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 xml:space="preserve">Precondition </w:t>
            </w:r>
          </w:p>
        </w:tc>
        <w:tc>
          <w:tcPr>
            <w:tcW w:w="992" w:type="dxa"/>
          </w:tcPr>
          <w:p w14:paraId="79197F05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 xml:space="preserve">Studies contributing </w:t>
            </w:r>
          </w:p>
        </w:tc>
        <w:tc>
          <w:tcPr>
            <w:tcW w:w="6945" w:type="dxa"/>
          </w:tcPr>
          <w:p w14:paraId="622AE258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>Synthesis of selected studies</w:t>
            </w:r>
          </w:p>
        </w:tc>
      </w:tr>
      <w:tr w:rsidR="00263734" w:rsidRPr="00E806D4" w14:paraId="60A9B522" w14:textId="77777777" w:rsidTr="00140C9E">
        <w:tc>
          <w:tcPr>
            <w:tcW w:w="1413" w:type="dxa"/>
          </w:tcPr>
          <w:p w14:paraId="2C628387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72177A">
              <w:rPr>
                <w:rFonts w:ascii="Times New Roman" w:hAnsi="Times New Roman" w:cs="Times New Roman"/>
              </w:rPr>
              <w:t>Literature informing all the preconditions</w:t>
            </w:r>
            <w:r w:rsidRPr="0072177A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992" w:type="dxa"/>
          </w:tcPr>
          <w:p w14:paraId="5A5C94A7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45" w:type="dxa"/>
          </w:tcPr>
          <w:p w14:paraId="2CBFB6DE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21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Peer reviewed:</w:t>
            </w:r>
            <w:r w:rsidRPr="007217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1D72136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>Anderson, M., &amp; Mossialos, E. (2022)</w:t>
            </w:r>
          </w:p>
          <w:p w14:paraId="45220828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nl-NL"/>
              </w:rPr>
            </w:pPr>
            <w:r w:rsidRPr="0003483D">
              <w:rPr>
                <w:rFonts w:ascii="Times New Roman" w:hAnsi="Times New Roman" w:cs="Times New Roman"/>
                <w:color w:val="000000" w:themeColor="text1"/>
                <w:lang w:val="nl-NL"/>
              </w:rPr>
              <w:t>Bevan, G. and Van De Ven, W. P. M. M. (2010)</w:t>
            </w:r>
          </w:p>
          <w:p w14:paraId="459FC3D1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  <w:r w:rsidRPr="0003483D">
              <w:rPr>
                <w:rFonts w:ascii="Times New Roman" w:hAnsi="Times New Roman" w:cs="Times New Roman"/>
                <w:lang w:val="nl-NL"/>
              </w:rPr>
              <w:t>Crowe, S. et al. (2011)</w:t>
            </w:r>
          </w:p>
          <w:p w14:paraId="1D28083D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nl-NL"/>
              </w:rPr>
            </w:pPr>
            <w:r w:rsidRPr="0003483D">
              <w:rPr>
                <w:rFonts w:ascii="Times New Roman" w:hAnsi="Times New Roman" w:cs="Times New Roman"/>
                <w:color w:val="000000" w:themeColor="text1"/>
                <w:lang w:val="nl-NL"/>
              </w:rPr>
              <w:t>Doggett, J., &amp; McAuley, I. (2013)</w:t>
            </w:r>
          </w:p>
          <w:p w14:paraId="23D0C170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nl-NL"/>
              </w:rPr>
            </w:pPr>
            <w:r w:rsidRPr="0003483D">
              <w:rPr>
                <w:rFonts w:ascii="Times New Roman" w:hAnsi="Times New Roman" w:cs="Times New Roman"/>
                <w:color w:val="000000" w:themeColor="text1"/>
                <w:lang w:val="nl-NL"/>
              </w:rPr>
              <w:t>Enthoven, A. (1988)</w:t>
            </w:r>
          </w:p>
          <w:p w14:paraId="1A999EC9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nl-NL"/>
              </w:rPr>
            </w:pPr>
            <w:r w:rsidRPr="0003483D">
              <w:rPr>
                <w:rFonts w:ascii="Times New Roman" w:hAnsi="Times New Roman" w:cs="Times New Roman"/>
                <w:color w:val="000000" w:themeColor="text1"/>
                <w:lang w:val="nl-NL"/>
              </w:rPr>
              <w:t>Enthoven, A. (1978)</w:t>
            </w:r>
          </w:p>
          <w:p w14:paraId="126D483C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es-ES"/>
              </w:rPr>
            </w:pPr>
            <w:r w:rsidRPr="0003483D">
              <w:rPr>
                <w:rFonts w:ascii="Times New Roman" w:hAnsi="Times New Roman" w:cs="Times New Roman"/>
                <w:lang w:val="es-ES"/>
              </w:rPr>
              <w:t>Rana, R. H., et al (2020)</w:t>
            </w:r>
          </w:p>
          <w:p w14:paraId="0578D6A7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  <w:r w:rsidRPr="0003483D">
              <w:rPr>
                <w:rFonts w:ascii="Times New Roman" w:hAnsi="Times New Roman" w:cs="Times New Roman"/>
                <w:lang w:val="nl-NL"/>
              </w:rPr>
              <w:t>Van de Ven, W. P. M. M. et al. (2013)</w:t>
            </w:r>
          </w:p>
          <w:p w14:paraId="07CF88A2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  <w:r w:rsidRPr="0003483D">
              <w:rPr>
                <w:rFonts w:ascii="Times New Roman" w:hAnsi="Times New Roman" w:cs="Times New Roman"/>
                <w:lang w:val="nl-NL"/>
              </w:rPr>
              <w:t>Van Kleef, R., &amp; McGuire, T. G. (2018)</w:t>
            </w:r>
          </w:p>
          <w:p w14:paraId="3FB958A9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nl-NL"/>
              </w:rPr>
            </w:pPr>
          </w:p>
          <w:p w14:paraId="448B32DF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721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Grey literature:</w:t>
            </w:r>
            <w:r w:rsidRPr="007217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B2B68EF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2177A">
              <w:rPr>
                <w:rFonts w:ascii="Times New Roman" w:hAnsi="Times New Roman" w:cs="Times New Roman"/>
                <w:color w:val="000000" w:themeColor="text1"/>
              </w:rPr>
              <w:t>APRA (2020)</w:t>
            </w:r>
          </w:p>
          <w:p w14:paraId="3B655D16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2177A">
              <w:rPr>
                <w:rFonts w:ascii="Times New Roman" w:hAnsi="Times New Roman" w:cs="Times New Roman"/>
                <w:color w:val="000000" w:themeColor="text1"/>
              </w:rPr>
              <w:t>APRA (2021)</w:t>
            </w:r>
          </w:p>
          <w:p w14:paraId="3AB0DAAD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2177A">
              <w:rPr>
                <w:rFonts w:ascii="Times New Roman" w:hAnsi="Times New Roman" w:cs="Times New Roman"/>
                <w:color w:val="000000" w:themeColor="text1"/>
              </w:rPr>
              <w:lastRenderedPageBreak/>
              <w:t>Biggs, A. (2016)</w:t>
            </w:r>
          </w:p>
          <w:p w14:paraId="2DC1F5D7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2177A">
              <w:rPr>
                <w:rFonts w:ascii="Times New Roman" w:hAnsi="Times New Roman" w:cs="Times New Roman"/>
                <w:color w:val="000000" w:themeColor="text1"/>
              </w:rPr>
              <w:t>Bloom, A. L. (2002)</w:t>
            </w:r>
          </w:p>
          <w:p w14:paraId="05010E87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2177A">
              <w:rPr>
                <w:rFonts w:ascii="Times New Roman" w:hAnsi="Times New Roman" w:cs="Times New Roman"/>
                <w:color w:val="000000" w:themeColor="text1"/>
              </w:rPr>
              <w:t>CHF of Australia (2022)</w:t>
            </w:r>
          </w:p>
          <w:p w14:paraId="14970738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2177A">
              <w:rPr>
                <w:rFonts w:ascii="Times New Roman" w:hAnsi="Times New Roman" w:cs="Times New Roman"/>
                <w:color w:val="000000" w:themeColor="text1"/>
              </w:rPr>
              <w:t>Department of Health and Aged Care (2021)</w:t>
            </w:r>
          </w:p>
          <w:p w14:paraId="00FCAF56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03483D">
              <w:rPr>
                <w:rFonts w:ascii="Times New Roman" w:hAnsi="Times New Roman" w:cs="Times New Roman"/>
                <w:color w:val="000000" w:themeColor="text1"/>
                <w:lang w:val="es-ES"/>
              </w:rPr>
              <w:t>Freguja, C. (2023)</w:t>
            </w:r>
          </w:p>
          <w:p w14:paraId="78DF2E5C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03483D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Henriquez, J. et al. </w:t>
            </w:r>
            <w:r w:rsidRPr="0072177A">
              <w:rPr>
                <w:rFonts w:ascii="Times New Roman" w:hAnsi="Times New Roman" w:cs="Times New Roman"/>
                <w:color w:val="000000" w:themeColor="text1"/>
              </w:rPr>
              <w:t>(2019)</w:t>
            </w:r>
          </w:p>
          <w:p w14:paraId="25028180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2177A">
              <w:rPr>
                <w:rFonts w:ascii="Times New Roman" w:hAnsi="Times New Roman" w:cs="Times New Roman"/>
                <w:color w:val="000000" w:themeColor="text1"/>
              </w:rPr>
              <w:t>IHACPA (2022).</w:t>
            </w:r>
          </w:p>
          <w:p w14:paraId="6C2ED71A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2177A">
              <w:rPr>
                <w:rFonts w:ascii="Times New Roman" w:hAnsi="Times New Roman" w:cs="Times New Roman"/>
                <w:color w:val="000000" w:themeColor="text1"/>
              </w:rPr>
              <w:t>King, D. (2022)</w:t>
            </w:r>
          </w:p>
          <w:p w14:paraId="5BFEE4D9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2177A">
              <w:rPr>
                <w:rFonts w:ascii="Times New Roman" w:hAnsi="Times New Roman" w:cs="Times New Roman"/>
                <w:color w:val="000000" w:themeColor="text1"/>
              </w:rPr>
              <w:t>McAuley, I. (2008).</w:t>
            </w:r>
          </w:p>
          <w:p w14:paraId="5C9E41F4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2177A">
              <w:rPr>
                <w:rFonts w:ascii="Times New Roman" w:hAnsi="Times New Roman" w:cs="Times New Roman"/>
                <w:color w:val="000000" w:themeColor="text1"/>
              </w:rPr>
              <w:t>McAuley, I., Mendaue, J. (2007).</w:t>
            </w:r>
          </w:p>
          <w:p w14:paraId="3E5527C6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2177A">
              <w:rPr>
                <w:rFonts w:ascii="Times New Roman" w:hAnsi="Times New Roman" w:cs="Times New Roman"/>
                <w:color w:val="000000" w:themeColor="text1"/>
              </w:rPr>
              <w:t>NHHRC (2009)</w:t>
            </w:r>
          </w:p>
          <w:p w14:paraId="63E3B39D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2177A">
              <w:rPr>
                <w:rFonts w:ascii="Times New Roman" w:hAnsi="Times New Roman" w:cs="Times New Roman"/>
                <w:color w:val="000000" w:themeColor="text1"/>
              </w:rPr>
              <w:t>NSW Health (2021)</w:t>
            </w:r>
          </w:p>
          <w:p w14:paraId="316E8253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2177A">
              <w:rPr>
                <w:rFonts w:ascii="Times New Roman" w:hAnsi="Times New Roman" w:cs="Times New Roman"/>
                <w:color w:val="000000" w:themeColor="text1"/>
              </w:rPr>
              <w:t>PC (2017)</w:t>
            </w:r>
          </w:p>
          <w:p w14:paraId="778A8064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2177A">
              <w:rPr>
                <w:rFonts w:ascii="Times New Roman" w:hAnsi="Times New Roman" w:cs="Times New Roman"/>
                <w:color w:val="000000" w:themeColor="text1"/>
              </w:rPr>
              <w:t>Roy Morgan (2021)</w:t>
            </w:r>
          </w:p>
          <w:p w14:paraId="176C7F28" w14:textId="77777777" w:rsidR="00263734" w:rsidRPr="0072177A" w:rsidRDefault="00263734" w:rsidP="00140C9E">
            <w:pPr>
              <w:pStyle w:val="Default"/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  <w:t>Stoelwinder, J. (2019)</w:t>
            </w:r>
          </w:p>
          <w:p w14:paraId="3856DAB4" w14:textId="77777777" w:rsidR="00263734" w:rsidRPr="0072177A" w:rsidRDefault="00263734" w:rsidP="00140C9E">
            <w:pPr>
              <w:pStyle w:val="Default"/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  <w:t>Tsirtsakis, A. (2022)</w:t>
            </w:r>
          </w:p>
          <w:p w14:paraId="7710F591" w14:textId="77777777" w:rsidR="00263734" w:rsidRPr="0072177A" w:rsidRDefault="00263734" w:rsidP="00140C9E">
            <w:pPr>
              <w:pStyle w:val="Default"/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</w:pPr>
            <w:r w:rsidRPr="0072177A">
              <w:rPr>
                <w:rFonts w:ascii="Times New Roman" w:eastAsiaTheme="minorEastAsia" w:hAnsi="Times New Roman" w:cs="Times New Roman"/>
                <w:color w:val="000000" w:themeColor="text1"/>
                <w:lang w:val="en-AU"/>
              </w:rPr>
              <w:t>Tuohy, C. H. (2010)</w:t>
            </w:r>
          </w:p>
        </w:tc>
      </w:tr>
      <w:tr w:rsidR="00263734" w:rsidRPr="000725C3" w14:paraId="3C108619" w14:textId="77777777" w:rsidTr="00140C9E">
        <w:tc>
          <w:tcPr>
            <w:tcW w:w="1413" w:type="dxa"/>
          </w:tcPr>
          <w:p w14:paraId="6996C41F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lastRenderedPageBreak/>
              <w:t>Basic benefit package</w:t>
            </w:r>
          </w:p>
        </w:tc>
        <w:tc>
          <w:tcPr>
            <w:tcW w:w="992" w:type="dxa"/>
          </w:tcPr>
          <w:p w14:paraId="57EED33E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6945" w:type="dxa"/>
          </w:tcPr>
          <w:p w14:paraId="002AE6A4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 xml:space="preserve">Peer reviewed: </w:t>
            </w:r>
            <w:r w:rsidRPr="0072177A">
              <w:rPr>
                <w:rFonts w:ascii="Times New Roman" w:hAnsi="Times New Roman" w:cs="Times New Roman"/>
              </w:rPr>
              <w:tab/>
            </w:r>
          </w:p>
          <w:p w14:paraId="08DED163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 xml:space="preserve">Whitty, J. A., &amp; Littlejohns, P. (2015). </w:t>
            </w:r>
          </w:p>
          <w:p w14:paraId="67137218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03483D">
              <w:rPr>
                <w:rFonts w:ascii="Times New Roman" w:hAnsi="Times New Roman" w:cs="Times New Roman"/>
                <w:lang w:val="nl-NL"/>
              </w:rPr>
              <w:t>Kim, H. et al. (2021)</w:t>
            </w:r>
          </w:p>
          <w:p w14:paraId="700CF499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  <w:r w:rsidRPr="0003483D">
              <w:rPr>
                <w:rFonts w:ascii="Times New Roman" w:hAnsi="Times New Roman" w:cs="Times New Roman"/>
                <w:lang w:val="nl-NL"/>
              </w:rPr>
              <w:t>Paolucci, et al., 2018</w:t>
            </w:r>
          </w:p>
        </w:tc>
      </w:tr>
      <w:tr w:rsidR="00263734" w:rsidRPr="00E806D4" w14:paraId="72942774" w14:textId="77777777" w:rsidTr="00140C9E">
        <w:tc>
          <w:tcPr>
            <w:tcW w:w="1413" w:type="dxa"/>
          </w:tcPr>
          <w:p w14:paraId="60F531F0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Affordable out-of-pocket payments</w:t>
            </w:r>
          </w:p>
        </w:tc>
        <w:tc>
          <w:tcPr>
            <w:tcW w:w="992" w:type="dxa"/>
          </w:tcPr>
          <w:p w14:paraId="3989C19E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6945" w:type="dxa"/>
          </w:tcPr>
          <w:p w14:paraId="74D5A6C8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 xml:space="preserve">Grey literature: </w:t>
            </w:r>
          </w:p>
          <w:p w14:paraId="436C456F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OECD (2022)</w:t>
            </w:r>
          </w:p>
          <w:p w14:paraId="2BB09A0D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 xml:space="preserve">ABS (2019) </w:t>
            </w:r>
          </w:p>
          <w:p w14:paraId="3112BFB0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</w:rPr>
              <w:t>Department of Health and Aged Care (2023)</w:t>
            </w:r>
          </w:p>
          <w:p w14:paraId="37508A0C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 xml:space="preserve">APRA (2022a) </w:t>
            </w:r>
          </w:p>
          <w:p w14:paraId="27CCB04C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 xml:space="preserve">APRA (2022b) </w:t>
            </w:r>
          </w:p>
        </w:tc>
      </w:tr>
      <w:tr w:rsidR="00263734" w:rsidRPr="00E806D4" w14:paraId="18BD8ADC" w14:textId="77777777" w:rsidTr="00140C9E">
        <w:tc>
          <w:tcPr>
            <w:tcW w:w="1413" w:type="dxa"/>
          </w:tcPr>
          <w:p w14:paraId="38BA70CC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No conflict of interest by the regulator</w:t>
            </w:r>
          </w:p>
        </w:tc>
        <w:tc>
          <w:tcPr>
            <w:tcW w:w="992" w:type="dxa"/>
          </w:tcPr>
          <w:p w14:paraId="63860C10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6945" w:type="dxa"/>
          </w:tcPr>
          <w:p w14:paraId="2889A65E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 xml:space="preserve">Grey literature: </w:t>
            </w:r>
          </w:p>
          <w:p w14:paraId="43C034D9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IHACPA (2022)</w:t>
            </w:r>
          </w:p>
          <w:p w14:paraId="3FB8345C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3734" w:rsidRPr="00E806D4" w14:paraId="79DDED8A" w14:textId="77777777" w:rsidTr="00140C9E">
        <w:tc>
          <w:tcPr>
            <w:tcW w:w="1413" w:type="dxa"/>
          </w:tcPr>
          <w:p w14:paraId="3A84E0CE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Free consumer choice of insurer</w:t>
            </w:r>
          </w:p>
        </w:tc>
        <w:tc>
          <w:tcPr>
            <w:tcW w:w="992" w:type="dxa"/>
          </w:tcPr>
          <w:p w14:paraId="16B1123C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6945" w:type="dxa"/>
          </w:tcPr>
          <w:p w14:paraId="221541A5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 xml:space="preserve">Peer reviewed: </w:t>
            </w:r>
          </w:p>
          <w:p w14:paraId="2484131C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 xml:space="preserve">Hall, J. (2010) </w:t>
            </w:r>
          </w:p>
        </w:tc>
      </w:tr>
      <w:tr w:rsidR="00263734" w:rsidRPr="00E806D4" w14:paraId="3490FD3F" w14:textId="77777777" w:rsidTr="00140C9E">
        <w:trPr>
          <w:trHeight w:val="1125"/>
        </w:trPr>
        <w:tc>
          <w:tcPr>
            <w:tcW w:w="1413" w:type="dxa"/>
          </w:tcPr>
          <w:p w14:paraId="51EEB534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Consumer information and market transparency</w:t>
            </w:r>
          </w:p>
        </w:tc>
        <w:tc>
          <w:tcPr>
            <w:tcW w:w="992" w:type="dxa"/>
          </w:tcPr>
          <w:p w14:paraId="4DAA5F49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6945" w:type="dxa"/>
          </w:tcPr>
          <w:p w14:paraId="1C1653BB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>Grey literature:</w:t>
            </w:r>
          </w:p>
          <w:p w14:paraId="1F96E91A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 xml:space="preserve">Biggs, A. (2017) </w:t>
            </w:r>
          </w:p>
          <w:p w14:paraId="7B795ED0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</w:p>
          <w:p w14:paraId="7A373FA1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63734" w:rsidRPr="00E806D4" w14:paraId="4352B762" w14:textId="77777777" w:rsidTr="00140C9E">
        <w:tc>
          <w:tcPr>
            <w:tcW w:w="1413" w:type="dxa"/>
          </w:tcPr>
          <w:p w14:paraId="39503A2C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Risk-bearing buyers and sellers</w:t>
            </w:r>
          </w:p>
        </w:tc>
        <w:tc>
          <w:tcPr>
            <w:tcW w:w="992" w:type="dxa"/>
          </w:tcPr>
          <w:p w14:paraId="55D46D1E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6945" w:type="dxa"/>
          </w:tcPr>
          <w:p w14:paraId="516B0E82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>Peer reviewed:</w:t>
            </w:r>
          </w:p>
          <w:p w14:paraId="13187FAD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 xml:space="preserve">Eldridge, D. S. et al (2017) </w:t>
            </w:r>
          </w:p>
          <w:p w14:paraId="2DE6B949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 xml:space="preserve">Doiron, D., &amp; Kettlewell, N. (2018) </w:t>
            </w:r>
          </w:p>
          <w:p w14:paraId="075EEA28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</w:p>
          <w:p w14:paraId="5F49C2B1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 xml:space="preserve">Grey literature: </w:t>
            </w:r>
          </w:p>
          <w:p w14:paraId="2BBEE90D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APRA (2020)</w:t>
            </w:r>
          </w:p>
          <w:p w14:paraId="55FF6F03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72177A">
              <w:rPr>
                <w:rFonts w:ascii="Times New Roman" w:hAnsi="Times New Roman" w:cs="Times New Roman"/>
              </w:rPr>
              <w:lastRenderedPageBreak/>
              <w:t>AMA Research and Reform Unit (2021).</w:t>
            </w:r>
          </w:p>
        </w:tc>
      </w:tr>
      <w:tr w:rsidR="00263734" w:rsidRPr="000725C3" w14:paraId="63ED4B56" w14:textId="77777777" w:rsidTr="00140C9E">
        <w:tc>
          <w:tcPr>
            <w:tcW w:w="1413" w:type="dxa"/>
          </w:tcPr>
          <w:p w14:paraId="5751F6A7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lastRenderedPageBreak/>
              <w:t>Contestable markets</w:t>
            </w:r>
          </w:p>
        </w:tc>
        <w:tc>
          <w:tcPr>
            <w:tcW w:w="992" w:type="dxa"/>
          </w:tcPr>
          <w:p w14:paraId="7E704C84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6945" w:type="dxa"/>
          </w:tcPr>
          <w:p w14:paraId="35345AB7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 xml:space="preserve">Peer reviewed: </w:t>
            </w:r>
          </w:p>
          <w:p w14:paraId="3488F493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Shamsullah, A. (2011)</w:t>
            </w:r>
          </w:p>
          <w:p w14:paraId="051B79EE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Fouda, A. et al (2017)</w:t>
            </w:r>
          </w:p>
          <w:p w14:paraId="0A2160BA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Duckett, S. and Willcox, S. (2015)</w:t>
            </w:r>
          </w:p>
          <w:p w14:paraId="3D887B10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 xml:space="preserve">Palmer, G. and Short, S. (2014) </w:t>
            </w:r>
          </w:p>
          <w:p w14:paraId="37E5F732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C48FF9A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>Grey literature:</w:t>
            </w:r>
          </w:p>
          <w:p w14:paraId="67826087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>Commonwealth Ombudsman (2021)</w:t>
            </w:r>
          </w:p>
          <w:p w14:paraId="0FBE13FB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 xml:space="preserve">AIHW (2019) </w:t>
            </w:r>
          </w:p>
          <w:p w14:paraId="0A113E1B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  <w:r w:rsidRPr="0003483D">
              <w:rPr>
                <w:rFonts w:ascii="Times New Roman" w:hAnsi="Times New Roman" w:cs="Times New Roman"/>
                <w:lang w:val="nl-NL"/>
              </w:rPr>
              <w:t xml:space="preserve">OECD (2016) </w:t>
            </w:r>
          </w:p>
          <w:p w14:paraId="528854F2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  <w:r w:rsidRPr="0003483D">
              <w:rPr>
                <w:rFonts w:ascii="Times New Roman" w:hAnsi="Times New Roman" w:cs="Times New Roman"/>
                <w:lang w:val="nl-NL"/>
              </w:rPr>
              <w:t xml:space="preserve">King, S. et al (2017) </w:t>
            </w:r>
          </w:p>
          <w:p w14:paraId="532F9829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263734" w:rsidRPr="00E806D4" w14:paraId="70630B23" w14:textId="77777777" w:rsidTr="00140C9E">
        <w:tc>
          <w:tcPr>
            <w:tcW w:w="1413" w:type="dxa"/>
          </w:tcPr>
          <w:p w14:paraId="21701868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Freedom to contract and integrate</w:t>
            </w:r>
          </w:p>
        </w:tc>
        <w:tc>
          <w:tcPr>
            <w:tcW w:w="992" w:type="dxa"/>
          </w:tcPr>
          <w:p w14:paraId="6465126A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6945" w:type="dxa"/>
          </w:tcPr>
          <w:p w14:paraId="14805509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03483D">
              <w:rPr>
                <w:rFonts w:ascii="Times New Roman" w:hAnsi="Times New Roman" w:cs="Times New Roman"/>
                <w:b/>
                <w:bCs/>
                <w:lang w:val="nl-NL"/>
              </w:rPr>
              <w:t xml:space="preserve">Peer reviewed: </w:t>
            </w:r>
          </w:p>
          <w:p w14:paraId="1A4AFCA9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  <w:r w:rsidRPr="0003483D">
              <w:rPr>
                <w:rFonts w:ascii="Times New Roman" w:hAnsi="Times New Roman" w:cs="Times New Roman"/>
                <w:lang w:val="nl-NL"/>
              </w:rPr>
              <w:t>Vaikuntam, B. P. et al. (2020)</w:t>
            </w:r>
          </w:p>
          <w:p w14:paraId="49CB9053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es-ES"/>
              </w:rPr>
            </w:pPr>
            <w:r w:rsidRPr="0003483D">
              <w:rPr>
                <w:rFonts w:ascii="Times New Roman" w:hAnsi="Times New Roman" w:cs="Times New Roman"/>
                <w:lang w:val="nl-NL"/>
              </w:rPr>
              <w:t xml:space="preserve">Street, A. et al. </w:t>
            </w:r>
            <w:r w:rsidRPr="0003483D">
              <w:rPr>
                <w:rFonts w:ascii="Times New Roman" w:hAnsi="Times New Roman" w:cs="Times New Roman"/>
                <w:lang w:val="es-ES"/>
              </w:rPr>
              <w:t>(2007)</w:t>
            </w:r>
          </w:p>
          <w:p w14:paraId="216C8B15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es-ES"/>
              </w:rPr>
            </w:pPr>
            <w:r w:rsidRPr="0072177A">
              <w:rPr>
                <w:rFonts w:ascii="Times New Roman" w:hAnsi="Times New Roman" w:cs="Times New Roman"/>
                <w:lang w:val="es-ES"/>
              </w:rPr>
              <w:t>García-Goñi et al. (2018)</w:t>
            </w:r>
          </w:p>
          <w:p w14:paraId="5C2070AE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03483D">
              <w:rPr>
                <w:rFonts w:ascii="Times New Roman" w:hAnsi="Times New Roman" w:cs="Times New Roman"/>
                <w:lang w:val="es-ES"/>
              </w:rPr>
              <w:t xml:space="preserve">Paolucci, F. et al. </w:t>
            </w:r>
            <w:r w:rsidRPr="0072177A">
              <w:rPr>
                <w:rFonts w:ascii="Times New Roman" w:hAnsi="Times New Roman" w:cs="Times New Roman"/>
                <w:lang w:val="en-AU"/>
              </w:rPr>
              <w:t xml:space="preserve">(2018) </w:t>
            </w:r>
          </w:p>
          <w:p w14:paraId="638FAB0F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19A25537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 xml:space="preserve">Grey literature: </w:t>
            </w:r>
          </w:p>
          <w:p w14:paraId="03ABCEA4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 xml:space="preserve">PHA (2019) </w:t>
            </w:r>
          </w:p>
          <w:p w14:paraId="71230AC5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 xml:space="preserve">PHIO (2020) </w:t>
            </w:r>
          </w:p>
          <w:p w14:paraId="68611350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 xml:space="preserve">Donato, R. and Onur, I. (2018) </w:t>
            </w:r>
          </w:p>
          <w:p w14:paraId="6F2EC5B1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 xml:space="preserve">Willcox, S. (2005) </w:t>
            </w:r>
          </w:p>
        </w:tc>
      </w:tr>
      <w:tr w:rsidR="00263734" w:rsidRPr="00E806D4" w14:paraId="4FAE52CF" w14:textId="77777777" w:rsidTr="00140C9E">
        <w:tc>
          <w:tcPr>
            <w:tcW w:w="1413" w:type="dxa"/>
          </w:tcPr>
          <w:p w14:paraId="22AF3707" w14:textId="77777777" w:rsidR="00263734" w:rsidRPr="0072177A" w:rsidRDefault="00263734" w:rsidP="00140C9E">
            <w:pPr>
              <w:pStyle w:val="Heading2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17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GB"/>
              </w:rPr>
              <w:t>Effective Competition Regulation</w:t>
            </w:r>
          </w:p>
        </w:tc>
        <w:tc>
          <w:tcPr>
            <w:tcW w:w="992" w:type="dxa"/>
          </w:tcPr>
          <w:p w14:paraId="36DEBE04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6945" w:type="dxa"/>
          </w:tcPr>
          <w:p w14:paraId="1A2C7B51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>Grey literature:</w:t>
            </w:r>
            <w:r w:rsidRPr="0072177A">
              <w:rPr>
                <w:rFonts w:ascii="Times New Roman" w:hAnsi="Times New Roman" w:cs="Times New Roman"/>
                <w:b/>
                <w:bCs/>
                <w:lang w:val="en-AU"/>
              </w:rPr>
              <w:t xml:space="preserve"> </w:t>
            </w:r>
          </w:p>
          <w:p w14:paraId="3783A06D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>ACCC (2020)</w:t>
            </w:r>
          </w:p>
        </w:tc>
      </w:tr>
      <w:tr w:rsidR="00263734" w:rsidRPr="000725C3" w14:paraId="3936A256" w14:textId="77777777" w:rsidTr="00140C9E">
        <w:tc>
          <w:tcPr>
            <w:tcW w:w="1413" w:type="dxa"/>
          </w:tcPr>
          <w:p w14:paraId="6DABA78A" w14:textId="77777777" w:rsidR="00263734" w:rsidRPr="0072177A" w:rsidRDefault="00263734" w:rsidP="00140C9E">
            <w:pPr>
              <w:pStyle w:val="Heading2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17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GB"/>
              </w:rPr>
              <w:t>Cross-subsidies without Incentives for Risk Selection</w:t>
            </w:r>
          </w:p>
        </w:tc>
        <w:tc>
          <w:tcPr>
            <w:tcW w:w="992" w:type="dxa"/>
          </w:tcPr>
          <w:p w14:paraId="6D4738E4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</w:tcPr>
          <w:p w14:paraId="605E620F" w14:textId="77777777" w:rsidR="00263734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Grey literature:</w:t>
            </w:r>
          </w:p>
          <w:p w14:paraId="1FE4D48F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Henriquez et al. (2023)</w:t>
            </w:r>
          </w:p>
          <w:p w14:paraId="28BB3623" w14:textId="77777777" w:rsidR="00263734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31189B6E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 xml:space="preserve">Peer reviewed: </w:t>
            </w:r>
          </w:p>
          <w:p w14:paraId="180FA614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 xml:space="preserve">Paolucci, F. et al. </w:t>
            </w:r>
            <w:r w:rsidRPr="0003483D">
              <w:rPr>
                <w:rFonts w:ascii="Times New Roman" w:hAnsi="Times New Roman" w:cs="Times New Roman"/>
                <w:lang w:val="nl-NL"/>
              </w:rPr>
              <w:t xml:space="preserve">(2018) </w:t>
            </w:r>
          </w:p>
          <w:p w14:paraId="2B62FBF3" w14:textId="77777777" w:rsidR="00263734" w:rsidRDefault="00263734" w:rsidP="00140C9E">
            <w:pPr>
              <w:pStyle w:val="Default"/>
              <w:rPr>
                <w:rFonts w:ascii="Times New Roman" w:hAnsi="Times New Roman" w:cs="Times New Roman"/>
                <w:lang w:val="nl-NL"/>
              </w:rPr>
            </w:pPr>
            <w:r w:rsidRPr="0003483D">
              <w:rPr>
                <w:rFonts w:ascii="Times New Roman" w:hAnsi="Times New Roman" w:cs="Times New Roman"/>
                <w:lang w:val="nl-NL"/>
              </w:rPr>
              <w:t>van de Ven, W. et al.(2022)</w:t>
            </w:r>
          </w:p>
          <w:p w14:paraId="0F6852FA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  <w:p w14:paraId="3043EF0D" w14:textId="77777777" w:rsidR="00263734" w:rsidRPr="0003483D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</w:tr>
      <w:tr w:rsidR="00263734" w:rsidRPr="00E806D4" w14:paraId="1A360382" w14:textId="77777777" w:rsidTr="00140C9E">
        <w:tc>
          <w:tcPr>
            <w:tcW w:w="1413" w:type="dxa"/>
          </w:tcPr>
          <w:p w14:paraId="7FFE8432" w14:textId="77777777" w:rsidR="00263734" w:rsidRPr="0072177A" w:rsidRDefault="00263734" w:rsidP="00140C9E">
            <w:pPr>
              <w:pStyle w:val="Heading2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17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GB"/>
              </w:rPr>
              <w:t>Cross-subsidies without opportunities for free riding</w:t>
            </w:r>
          </w:p>
        </w:tc>
        <w:tc>
          <w:tcPr>
            <w:tcW w:w="992" w:type="dxa"/>
          </w:tcPr>
          <w:p w14:paraId="622272E4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n=1</w:t>
            </w:r>
          </w:p>
        </w:tc>
        <w:tc>
          <w:tcPr>
            <w:tcW w:w="6945" w:type="dxa"/>
          </w:tcPr>
          <w:p w14:paraId="5E9E7110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 xml:space="preserve">Peer reviewed: </w:t>
            </w:r>
          </w:p>
          <w:p w14:paraId="7F6463A7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Duckett, S. (2018)</w:t>
            </w:r>
          </w:p>
          <w:p w14:paraId="494FECA3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3734" w:rsidRPr="00E806D4" w14:paraId="1AE40953" w14:textId="77777777" w:rsidTr="00140C9E">
        <w:tc>
          <w:tcPr>
            <w:tcW w:w="1413" w:type="dxa"/>
          </w:tcPr>
          <w:p w14:paraId="253140FC" w14:textId="77777777" w:rsidR="00263734" w:rsidRPr="0072177A" w:rsidRDefault="00263734" w:rsidP="00140C9E">
            <w:pPr>
              <w:pStyle w:val="Heading2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17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Effective quality supervision</w:t>
            </w:r>
          </w:p>
        </w:tc>
        <w:tc>
          <w:tcPr>
            <w:tcW w:w="992" w:type="dxa"/>
          </w:tcPr>
          <w:p w14:paraId="6D96C435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n=2</w:t>
            </w:r>
          </w:p>
        </w:tc>
        <w:tc>
          <w:tcPr>
            <w:tcW w:w="6945" w:type="dxa"/>
          </w:tcPr>
          <w:p w14:paraId="4BF21C17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 xml:space="preserve">Grey literature: </w:t>
            </w:r>
          </w:p>
          <w:p w14:paraId="222C7B7E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 xml:space="preserve">APRA (2022c) </w:t>
            </w:r>
          </w:p>
          <w:p w14:paraId="1F8A6226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 xml:space="preserve">ACSQHC (2021) </w:t>
            </w:r>
          </w:p>
        </w:tc>
      </w:tr>
      <w:tr w:rsidR="00263734" w:rsidRPr="00E806D4" w14:paraId="15C59B24" w14:textId="77777777" w:rsidTr="00140C9E">
        <w:trPr>
          <w:trHeight w:val="1691"/>
        </w:trPr>
        <w:tc>
          <w:tcPr>
            <w:tcW w:w="1413" w:type="dxa"/>
          </w:tcPr>
          <w:p w14:paraId="39466D80" w14:textId="77777777" w:rsidR="00263734" w:rsidRPr="0072177A" w:rsidRDefault="00263734" w:rsidP="00140C9E">
            <w:pPr>
              <w:pStyle w:val="Heading2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17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GB"/>
              </w:rPr>
              <w:t>Guaranteed access to basic care</w:t>
            </w:r>
          </w:p>
        </w:tc>
        <w:tc>
          <w:tcPr>
            <w:tcW w:w="992" w:type="dxa"/>
          </w:tcPr>
          <w:p w14:paraId="5DE391C1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</w:rPr>
            </w:pPr>
            <w:r w:rsidRPr="0072177A">
              <w:rPr>
                <w:rFonts w:ascii="Times New Roman" w:hAnsi="Times New Roman" w:cs="Times New Roman"/>
              </w:rPr>
              <w:t>n=6</w:t>
            </w:r>
          </w:p>
        </w:tc>
        <w:tc>
          <w:tcPr>
            <w:tcW w:w="6945" w:type="dxa"/>
          </w:tcPr>
          <w:p w14:paraId="7E5B732C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2177A">
              <w:rPr>
                <w:rFonts w:ascii="Times New Roman" w:hAnsi="Times New Roman" w:cs="Times New Roman"/>
                <w:b/>
                <w:bCs/>
              </w:rPr>
              <w:t>Grey literature:</w:t>
            </w:r>
          </w:p>
          <w:p w14:paraId="155E6BED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>OECD (2021)</w:t>
            </w:r>
          </w:p>
          <w:p w14:paraId="625F3032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 xml:space="preserve">AIHW (2022c) </w:t>
            </w:r>
          </w:p>
          <w:p w14:paraId="78C8EAD7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 xml:space="preserve">AIHW (2017) </w:t>
            </w:r>
          </w:p>
          <w:p w14:paraId="4EE643E6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 xml:space="preserve">AIHW (2022d) </w:t>
            </w:r>
          </w:p>
          <w:p w14:paraId="72C7A9E4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 xml:space="preserve">AIHW (2021) </w:t>
            </w:r>
          </w:p>
          <w:p w14:paraId="70CD79C6" w14:textId="77777777" w:rsidR="00263734" w:rsidRPr="0072177A" w:rsidRDefault="00263734" w:rsidP="00140C9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72177A">
              <w:rPr>
                <w:rFonts w:ascii="Times New Roman" w:hAnsi="Times New Roman" w:cs="Times New Roman"/>
                <w:lang w:val="en-AU"/>
              </w:rPr>
              <w:t xml:space="preserve">AIHW (2018) </w:t>
            </w:r>
          </w:p>
        </w:tc>
      </w:tr>
    </w:tbl>
    <w:p w14:paraId="58DD7171" w14:textId="77777777" w:rsidR="00263734" w:rsidRPr="00E806D4" w:rsidRDefault="00263734" w:rsidP="00263734">
      <w:pPr>
        <w:pStyle w:val="Default"/>
        <w:rPr>
          <w:rFonts w:ascii="Times New Roman" w:hAnsi="Times New Roman" w:cs="Times New Roman"/>
        </w:rPr>
      </w:pPr>
      <w:r w:rsidRPr="00E806D4">
        <w:rPr>
          <w:rFonts w:ascii="Times New Roman" w:hAnsi="Times New Roman" w:cs="Times New Roman"/>
        </w:rPr>
        <w:br w:type="textWrapping" w:clear="all"/>
      </w:r>
    </w:p>
    <w:p w14:paraId="4255F330" w14:textId="77777777" w:rsidR="00263734" w:rsidRPr="00D25A16" w:rsidRDefault="00263734" w:rsidP="0026373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</w:pPr>
    </w:p>
    <w:p w14:paraId="10ACEB6D" w14:textId="77777777" w:rsidR="004D2874" w:rsidRDefault="004D2874"/>
    <w:sectPr w:rsidR="004D2874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4AEE" w14:textId="77777777" w:rsidR="00000000" w:rsidRDefault="00000000" w:rsidP="007217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40CA8C24" w14:textId="77777777" w:rsidR="00000000" w:rsidRDefault="00000000" w:rsidP="007217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9355255"/>
      <w:docPartObj>
        <w:docPartGallery w:val="Page Numbers (Bottom of Page)"/>
        <w:docPartUnique/>
      </w:docPartObj>
    </w:sdtPr>
    <w:sdtContent>
      <w:p w14:paraId="7F9F9B1D" w14:textId="77777777" w:rsidR="00000000" w:rsidRDefault="00000000" w:rsidP="003E71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0E9981" w14:textId="77777777" w:rsidR="00000000" w:rsidRDefault="00000000" w:rsidP="002854C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D8"/>
    <w:rsid w:val="00263734"/>
    <w:rsid w:val="004D2874"/>
    <w:rsid w:val="009852BD"/>
    <w:rsid w:val="00C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DF3F"/>
  <w15:chartTrackingRefBased/>
  <w15:docId w15:val="{EF4986F9-2E9F-44C8-86BF-1B643E80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734"/>
    <w:rPr>
      <w:kern w:val="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73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73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paragraph" w:customStyle="1" w:styleId="Default">
    <w:name w:val="Default"/>
    <w:rsid w:val="00263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26373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6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34"/>
    <w:rPr>
      <w:kern w:val="0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263734"/>
  </w:style>
  <w:style w:type="paragraph" w:customStyle="1" w:styleId="paragraph">
    <w:name w:val="paragraph"/>
    <w:basedOn w:val="Normal"/>
    <w:link w:val="paragraphCarattere"/>
    <w:rsid w:val="0026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aragraphCarattere">
    <w:name w:val="paragraph Carattere"/>
    <w:basedOn w:val="DefaultParagraphFont"/>
    <w:link w:val="paragraph"/>
    <w:rsid w:val="00263734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Berardi</dc:creator>
  <cp:keywords/>
  <dc:description/>
  <cp:lastModifiedBy>Chiara Berardi</cp:lastModifiedBy>
  <cp:revision>2</cp:revision>
  <dcterms:created xsi:type="dcterms:W3CDTF">2023-11-10T06:35:00Z</dcterms:created>
  <dcterms:modified xsi:type="dcterms:W3CDTF">2023-11-10T06:35:00Z</dcterms:modified>
</cp:coreProperties>
</file>