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AC6F" w14:textId="57D8679F" w:rsidR="00C95F12" w:rsidRPr="005309D4" w:rsidRDefault="00C95F12" w:rsidP="00C95F12">
      <w:pPr>
        <w:jc w:val="both"/>
        <w:rPr>
          <w:rFonts w:ascii="Arial" w:hAnsi="Arial" w:cs="Arial"/>
          <w:b/>
          <w:bCs/>
        </w:rPr>
      </w:pPr>
      <w:r>
        <w:rPr>
          <w:rFonts w:ascii="Arial" w:hAnsi="Arial" w:cs="Arial"/>
          <w:b/>
          <w:bCs/>
        </w:rPr>
        <w:t xml:space="preserve">Supplementary Information. </w:t>
      </w:r>
      <w:r w:rsidRPr="005309D4">
        <w:rPr>
          <w:rFonts w:ascii="Arial" w:hAnsi="Arial" w:cs="Arial"/>
          <w:b/>
          <w:bCs/>
        </w:rPr>
        <w:t xml:space="preserve">Recurrent Outbreaks in </w:t>
      </w:r>
      <w:r w:rsidR="00EB5625">
        <w:rPr>
          <w:rFonts w:ascii="Arial" w:hAnsi="Arial" w:cs="Arial"/>
          <w:b/>
          <w:bCs/>
        </w:rPr>
        <w:t>Ethiopia</w:t>
      </w:r>
      <w:r w:rsidRPr="005309D4">
        <w:rPr>
          <w:rFonts w:ascii="Arial" w:hAnsi="Arial" w:cs="Arial"/>
          <w:b/>
          <w:bCs/>
        </w:rPr>
        <w:t xml:space="preserve"> </w:t>
      </w:r>
      <w:r>
        <w:rPr>
          <w:rFonts w:ascii="Arial" w:hAnsi="Arial" w:cs="Arial"/>
          <w:b/>
          <w:bCs/>
        </w:rPr>
        <w:t xml:space="preserve">(c.1460-1634/1635) </w:t>
      </w:r>
      <w:r w:rsidRPr="005309D4">
        <w:rPr>
          <w:rFonts w:ascii="Arial" w:hAnsi="Arial" w:cs="Arial"/>
          <w:b/>
          <w:bCs/>
        </w:rPr>
        <w:t xml:space="preserve">and Yemen </w:t>
      </w:r>
      <w:r>
        <w:rPr>
          <w:rFonts w:ascii="Arial" w:hAnsi="Arial" w:cs="Arial"/>
          <w:b/>
          <w:bCs/>
        </w:rPr>
        <w:t>(</w:t>
      </w:r>
      <w:r w:rsidRPr="005309D4">
        <w:rPr>
          <w:rFonts w:ascii="Arial" w:hAnsi="Arial" w:cs="Arial"/>
          <w:b/>
          <w:bCs/>
        </w:rPr>
        <w:t>1445-1</w:t>
      </w:r>
      <w:r>
        <w:rPr>
          <w:rFonts w:ascii="Arial" w:hAnsi="Arial" w:cs="Arial"/>
          <w:b/>
          <w:bCs/>
        </w:rPr>
        <w:t>557/1558)</w:t>
      </w:r>
      <w:r w:rsidRPr="005309D4">
        <w:rPr>
          <w:rFonts w:ascii="Arial" w:hAnsi="Arial" w:cs="Arial"/>
          <w:b/>
          <w:bCs/>
        </w:rPr>
        <w:t xml:space="preserve">: Evidence of </w:t>
      </w:r>
      <w:r>
        <w:rPr>
          <w:rFonts w:ascii="Arial" w:hAnsi="Arial" w:cs="Arial"/>
          <w:b/>
          <w:bCs/>
        </w:rPr>
        <w:t xml:space="preserve">Medium-Term </w:t>
      </w:r>
      <w:r w:rsidRPr="005309D4">
        <w:rPr>
          <w:rFonts w:ascii="Arial" w:hAnsi="Arial" w:cs="Arial"/>
          <w:b/>
          <w:bCs/>
        </w:rPr>
        <w:t>Domestic Reservoirs</w:t>
      </w:r>
    </w:p>
    <w:p w14:paraId="4BC46E97" w14:textId="25BD395F" w:rsidR="009A7EB8" w:rsidRDefault="009A7EB8" w:rsidP="00C95F12">
      <w:pPr>
        <w:jc w:val="both"/>
        <w:rPr>
          <w:rFonts w:ascii="Arial" w:hAnsi="Arial" w:cs="Arial"/>
        </w:rPr>
      </w:pPr>
      <w:r w:rsidRPr="009A7EB8">
        <w:rPr>
          <w:rFonts w:ascii="Arial" w:hAnsi="Arial" w:cs="Arial"/>
        </w:rPr>
        <w:t>As discussed in the main paper, it remains uncertain whether the c.1431–1435 outbreak in Abyssinia represented the first occurrence of plague linked to the Second Plague Pandemic, or if earlier waves—possibly introduced from Egypt in the late fourteenth and early fifteenth centuries (c.1370, c.1403, and c.1420)—had already occurred.</w:t>
      </w:r>
      <w:r w:rsidRPr="005309D4">
        <w:rPr>
          <w:rStyle w:val="FootnoteReference"/>
          <w:rFonts w:ascii="Arial" w:hAnsi="Arial" w:cs="Arial"/>
        </w:rPr>
        <w:footnoteReference w:id="1"/>
      </w:r>
      <w:r w:rsidRPr="009A7EB8">
        <w:rPr>
          <w:rFonts w:ascii="Arial" w:hAnsi="Arial" w:cs="Arial"/>
        </w:rPr>
        <w:t xml:space="preserve"> Similarly, it is unclear whether the c.1431–1435 outbreak was imported from Egypt (perhaps in connection with the 1429–1430 outbreak there) or emerged from a local reservoir. What is almost certain, however, is that at some point a ‘native’ plague became established in Ethiopia—possibly during the c.1431–1435 outbreak—allowing successive waves to radiate across the country and potentially beyond.</w:t>
      </w:r>
    </w:p>
    <w:p w14:paraId="5548CB2A" w14:textId="6DA958F0" w:rsidR="000A0187" w:rsidRPr="000A0187" w:rsidRDefault="000A0187" w:rsidP="000A0187">
      <w:pPr>
        <w:jc w:val="both"/>
        <w:rPr>
          <w:rFonts w:ascii="Arial" w:hAnsi="Arial" w:cs="Arial"/>
        </w:rPr>
      </w:pPr>
      <w:r w:rsidRPr="000A0187">
        <w:rPr>
          <w:rFonts w:ascii="Arial" w:hAnsi="Arial" w:cs="Arial"/>
        </w:rPr>
        <w:t>The existence of a putative Abyssinian plague reservoir can be inferred using a methodology recently applied to the post-Black Death South German plague reservoir. Fundamentally, this approach traces the spatio-temporal progression of plague waves to identify their “ultimate” geographic origins.</w:t>
      </w:r>
      <w:r w:rsidRPr="005309D4">
        <w:rPr>
          <w:rStyle w:val="FootnoteReference"/>
          <w:rFonts w:ascii="Arial" w:hAnsi="Arial" w:cs="Arial"/>
        </w:rPr>
        <w:footnoteReference w:id="2"/>
      </w:r>
      <w:r w:rsidRPr="005309D4">
        <w:rPr>
          <w:rFonts w:ascii="Arial" w:hAnsi="Arial" w:cs="Arial"/>
        </w:rPr>
        <w:t xml:space="preserve"> </w:t>
      </w:r>
      <w:r w:rsidRPr="000A0187">
        <w:rPr>
          <w:rFonts w:ascii="Arial" w:hAnsi="Arial" w:cs="Arial"/>
        </w:rPr>
        <w:t xml:space="preserve"> While the limited sources prevent a precise localization of the Abyssinian reservoir, evidence suggests it may have been situated around Lake Tana, in the Gojjam or </w:t>
      </w:r>
      <w:r w:rsidR="00E13E05">
        <w:rPr>
          <w:rFonts w:ascii="Arial" w:hAnsi="Arial" w:cs="Arial"/>
        </w:rPr>
        <w:t>Dambeyā</w:t>
      </w:r>
      <w:r w:rsidRPr="000A0187">
        <w:rPr>
          <w:rFonts w:ascii="Arial" w:hAnsi="Arial" w:cs="Arial"/>
        </w:rPr>
        <w:t xml:space="preserve"> region. This inference derives from the patterns of the 1618–1619 and 1634–1635 outbreaks, which began in that area before spreading across the empire. For instance, in October 1618, at the onset of an outbreak, </w:t>
      </w:r>
      <w:r w:rsidRPr="000A0187">
        <w:rPr>
          <w:rFonts w:ascii="Arial" w:hAnsi="Arial" w:cs="Arial"/>
          <w:i/>
          <w:iCs/>
        </w:rPr>
        <w:t>negus</w:t>
      </w:r>
      <w:r w:rsidRPr="000A0187">
        <w:rPr>
          <w:rFonts w:ascii="Arial" w:hAnsi="Arial" w:cs="Arial"/>
        </w:rPr>
        <w:t xml:space="preserve"> Susenyos I (1607–1632) fled from his camp by Lake Tana to the mountains of the </w:t>
      </w:r>
      <w:r w:rsidR="00091042" w:rsidRPr="00091042">
        <w:rPr>
          <w:rFonts w:ascii="Arial" w:hAnsi="Arial" w:cs="Arial"/>
        </w:rPr>
        <w:t>Danqāz</w:t>
      </w:r>
      <w:r w:rsidRPr="000A0187">
        <w:rPr>
          <w:rFonts w:ascii="Arial" w:hAnsi="Arial" w:cs="Arial"/>
        </w:rPr>
        <w:t xml:space="preserve"> region (Amhara).</w:t>
      </w:r>
      <w:r w:rsidRPr="005309D4">
        <w:rPr>
          <w:rStyle w:val="FootnoteReference"/>
          <w:rFonts w:ascii="Arial" w:hAnsi="Arial" w:cs="Arial"/>
        </w:rPr>
        <w:footnoteReference w:id="3"/>
      </w:r>
      <w:r w:rsidRPr="000A0187">
        <w:rPr>
          <w:rFonts w:ascii="Arial" w:hAnsi="Arial" w:cs="Arial"/>
        </w:rPr>
        <w:t xml:space="preserve"> According to Portuguese Jesuit Manoel de Almeida, the 1634–1635 outbreak started in Gojjam and </w:t>
      </w:r>
      <w:r w:rsidR="00E13E05">
        <w:rPr>
          <w:rFonts w:ascii="Arial" w:hAnsi="Arial" w:cs="Arial"/>
        </w:rPr>
        <w:t>Dambeyā</w:t>
      </w:r>
      <w:r w:rsidRPr="000A0187">
        <w:rPr>
          <w:rFonts w:ascii="Arial" w:hAnsi="Arial" w:cs="Arial"/>
        </w:rPr>
        <w:t xml:space="preserve">, then spread to </w:t>
      </w:r>
      <w:r w:rsidR="00091042" w:rsidRPr="00091042">
        <w:rPr>
          <w:rFonts w:ascii="Arial" w:hAnsi="Arial" w:cs="Arial"/>
        </w:rPr>
        <w:t>Danqāz</w:t>
      </w:r>
      <w:r w:rsidRPr="000A0187">
        <w:rPr>
          <w:rFonts w:ascii="Arial" w:hAnsi="Arial" w:cs="Arial"/>
        </w:rPr>
        <w:t>, forcing the Emperor to move his court, before extending to Ogara province, the Simien mountains, Lamalmon, and eventually Tigray.</w:t>
      </w:r>
      <w:r w:rsidRPr="005309D4">
        <w:rPr>
          <w:rStyle w:val="FootnoteReference"/>
          <w:rFonts w:ascii="Arial" w:hAnsi="Arial" w:cs="Arial"/>
        </w:rPr>
        <w:footnoteReference w:id="4"/>
      </w:r>
    </w:p>
    <w:p w14:paraId="578FDA13" w14:textId="64A3EB42" w:rsidR="000A0187" w:rsidRDefault="000A0187" w:rsidP="000A0187">
      <w:pPr>
        <w:jc w:val="both"/>
        <w:rPr>
          <w:rFonts w:ascii="Arial" w:hAnsi="Arial" w:cs="Arial"/>
        </w:rPr>
      </w:pPr>
      <w:r w:rsidRPr="000A0187">
        <w:rPr>
          <w:rFonts w:ascii="Arial" w:hAnsi="Arial" w:cs="Arial"/>
        </w:rPr>
        <w:t>Comparable spatio-temporal details are lacking for other outbreaks, but records indicate recurrent epidemics following c.1431–1435, occurring around c.1454–1468, 1490, 1497, 1508, c.1520, 1535–1537, 1563–1564, 1567–1568, possibly 1579, 1603, possibly 1611, 1618–1619, 1626–1627, and 1634–1635.</w:t>
      </w:r>
      <w:r w:rsidR="00765D42" w:rsidRPr="005309D4">
        <w:rPr>
          <w:rStyle w:val="FootnoteReference"/>
          <w:rFonts w:ascii="Arial" w:hAnsi="Arial" w:cs="Arial"/>
        </w:rPr>
        <w:footnoteReference w:id="5"/>
      </w:r>
      <w:r w:rsidR="00765D42" w:rsidRPr="005309D4">
        <w:rPr>
          <w:rFonts w:ascii="Arial" w:hAnsi="Arial" w:cs="Arial"/>
        </w:rPr>
        <w:t xml:space="preserve"> </w:t>
      </w:r>
      <w:r w:rsidRPr="000A0187">
        <w:rPr>
          <w:rFonts w:ascii="Arial" w:hAnsi="Arial" w:cs="Arial"/>
        </w:rPr>
        <w:t xml:space="preserve"> Crucially, the outbreaks in 1490, 1497, c.1520, 1611, and 1634–1635 were not preceded by similar epidemics in Egypt or Yemen, ruling out external introductions. In 1567 and possibly 1579, concurrent outbreaks in Abyssinia and Egypt make it unclear whether they stemmed from the same wave and, if so, whether the origin was Egyptian or Abyssinian.</w:t>
      </w:r>
      <w:r w:rsidR="001260AF" w:rsidRPr="005309D4">
        <w:rPr>
          <w:rStyle w:val="FootnoteReference"/>
          <w:rFonts w:ascii="Arial" w:hAnsi="Arial" w:cs="Arial"/>
        </w:rPr>
        <w:footnoteReference w:id="6"/>
      </w:r>
      <w:r w:rsidRPr="000A0187">
        <w:rPr>
          <w:rFonts w:ascii="Arial" w:hAnsi="Arial" w:cs="Arial"/>
        </w:rPr>
        <w:t xml:space="preserve"> Other outbreaks may represent reintroductions from late </w:t>
      </w:r>
      <w:r w:rsidRPr="000A0187">
        <w:rPr>
          <w:rFonts w:ascii="Arial" w:hAnsi="Arial" w:cs="Arial"/>
        </w:rPr>
        <w:lastRenderedPageBreak/>
        <w:t>Mamluk or Ottoman Egypt or radiation from native reservoir(s). After 1634–1635, there are no known plague references, with subsequent epidemics likely caused by other diseases,</w:t>
      </w:r>
      <w:r w:rsidR="001260AF" w:rsidRPr="005309D4">
        <w:rPr>
          <w:rStyle w:val="FootnoteReference"/>
          <w:rFonts w:ascii="Arial" w:hAnsi="Arial" w:cs="Arial"/>
        </w:rPr>
        <w:footnoteReference w:id="7"/>
      </w:r>
      <w:r w:rsidR="001260AF" w:rsidRPr="005309D4">
        <w:rPr>
          <w:rFonts w:ascii="Arial" w:hAnsi="Arial" w:cs="Arial"/>
        </w:rPr>
        <w:t xml:space="preserve"> </w:t>
      </w:r>
      <w:r w:rsidRPr="000A0187">
        <w:rPr>
          <w:rFonts w:ascii="Arial" w:hAnsi="Arial" w:cs="Arial"/>
        </w:rPr>
        <w:t xml:space="preserve"> suggesting the demise of the native Abyssinian plague reservoir(s) after roughly 200 years of activity.</w:t>
      </w:r>
    </w:p>
    <w:p w14:paraId="266F41AA" w14:textId="0C3EDAC0" w:rsidR="007B604E" w:rsidRDefault="007B604E" w:rsidP="000A0187">
      <w:pPr>
        <w:jc w:val="both"/>
        <w:rPr>
          <w:rFonts w:ascii="Arial" w:hAnsi="Arial" w:cs="Arial"/>
        </w:rPr>
      </w:pPr>
      <w:r w:rsidRPr="007B604E">
        <w:rPr>
          <w:rFonts w:ascii="Arial" w:hAnsi="Arial" w:cs="Arial"/>
        </w:rPr>
        <w:t xml:space="preserve">The regions surrounding Lake Tana—potential sites of the putative plague reservoir—played a key role in interregional trade within Abyssinia. Gojjam was a major supplier of gold to Abyssinian trade hubs, while </w:t>
      </w:r>
      <w:r w:rsidR="00E13E05">
        <w:rPr>
          <w:rFonts w:ascii="Arial" w:hAnsi="Arial" w:cs="Arial"/>
        </w:rPr>
        <w:t>Dambeyā</w:t>
      </w:r>
      <w:r w:rsidRPr="007B604E">
        <w:rPr>
          <w:rFonts w:ascii="Arial" w:hAnsi="Arial" w:cs="Arial"/>
        </w:rPr>
        <w:t xml:space="preserve"> served as an important source of slaves, drawn from </w:t>
      </w:r>
      <w:r>
        <w:rPr>
          <w:rFonts w:ascii="Arial" w:hAnsi="Arial" w:cs="Arial"/>
        </w:rPr>
        <w:t xml:space="preserve">Nilotic </w:t>
      </w:r>
      <w:r w:rsidRPr="007B604E">
        <w:rPr>
          <w:rFonts w:ascii="Arial" w:hAnsi="Arial" w:cs="Arial"/>
        </w:rPr>
        <w:t>Shanqella communities</w:t>
      </w:r>
      <w:r>
        <w:rPr>
          <w:rFonts w:ascii="Arial" w:hAnsi="Arial" w:cs="Arial"/>
        </w:rPr>
        <w:t xml:space="preserve"> paying </w:t>
      </w:r>
      <w:r w:rsidRPr="007B604E">
        <w:rPr>
          <w:rFonts w:ascii="Arial" w:hAnsi="Arial" w:cs="Arial"/>
        </w:rPr>
        <w:t xml:space="preserve">annual tribute in goats </w:t>
      </w:r>
      <w:r>
        <w:rPr>
          <w:rFonts w:ascii="Arial" w:hAnsi="Arial" w:cs="Arial"/>
        </w:rPr>
        <w:t xml:space="preserve">since their subjugation by </w:t>
      </w:r>
      <w:r w:rsidRPr="007B604E">
        <w:rPr>
          <w:rFonts w:ascii="Arial" w:hAnsi="Arial" w:cs="Arial"/>
          <w:i/>
          <w:iCs/>
        </w:rPr>
        <w:t>negus</w:t>
      </w:r>
      <w:r w:rsidRPr="007B604E">
        <w:rPr>
          <w:rFonts w:ascii="Arial" w:hAnsi="Arial" w:cs="Arial"/>
        </w:rPr>
        <w:t xml:space="preserve"> Yeshaq I (1414–1429/30</w:t>
      </w:r>
      <w:r>
        <w:rPr>
          <w:rFonts w:ascii="Arial" w:hAnsi="Arial" w:cs="Arial"/>
        </w:rPr>
        <w:t>)</w:t>
      </w:r>
      <w:r w:rsidRPr="007B604E">
        <w:rPr>
          <w:rFonts w:ascii="Arial" w:hAnsi="Arial" w:cs="Arial"/>
        </w:rPr>
        <w:t>.</w:t>
      </w:r>
      <w:r w:rsidRPr="005309D4">
        <w:rPr>
          <w:rStyle w:val="FootnoteReference"/>
          <w:rFonts w:ascii="Arial" w:hAnsi="Arial" w:cs="Arial"/>
        </w:rPr>
        <w:footnoteReference w:id="8"/>
      </w:r>
      <w:r w:rsidRPr="007B604E">
        <w:rPr>
          <w:rFonts w:ascii="Arial" w:hAnsi="Arial" w:cs="Arial"/>
        </w:rPr>
        <w:t xml:space="preserve"> Both regions were linked via trade routes to towns such as </w:t>
      </w:r>
      <w:r w:rsidR="00E13E05" w:rsidRPr="00DC4E77">
        <w:rPr>
          <w:rFonts w:ascii="Arial" w:hAnsi="Arial" w:cs="Arial"/>
        </w:rPr>
        <w:t>ʾAksum</w:t>
      </w:r>
      <w:r w:rsidR="00E13E05" w:rsidRPr="005309D4">
        <w:rPr>
          <w:rFonts w:ascii="Arial" w:hAnsi="Arial" w:cs="Arial"/>
        </w:rPr>
        <w:t xml:space="preserve">, </w:t>
      </w:r>
      <w:r w:rsidR="00E13E05" w:rsidRPr="00DC4E77">
        <w:rPr>
          <w:rFonts w:ascii="Arial" w:hAnsi="Arial" w:cs="Arial"/>
        </w:rPr>
        <w:t>Lālibalā</w:t>
      </w:r>
      <w:r w:rsidR="00E13E05" w:rsidRPr="005309D4">
        <w:rPr>
          <w:rFonts w:ascii="Arial" w:hAnsi="Arial" w:cs="Arial"/>
        </w:rPr>
        <w:t xml:space="preserve">, Gendebelo, </w:t>
      </w:r>
      <w:r w:rsidR="00E13E05" w:rsidRPr="00DC4E77">
        <w:rPr>
          <w:rFonts w:ascii="Arial" w:hAnsi="Arial" w:cs="Arial"/>
        </w:rPr>
        <w:t>Dabra Bǝrhān</w:t>
      </w:r>
      <w:r w:rsidR="00E13E05" w:rsidRPr="005309D4">
        <w:rPr>
          <w:rFonts w:ascii="Arial" w:hAnsi="Arial" w:cs="Arial"/>
        </w:rPr>
        <w:t xml:space="preserve"> (founded most likely in 1456)</w:t>
      </w:r>
      <w:r w:rsidRPr="007B604E">
        <w:rPr>
          <w:rFonts w:ascii="Arial" w:hAnsi="Arial" w:cs="Arial"/>
        </w:rPr>
        <w:t>,</w:t>
      </w:r>
      <w:r w:rsidRPr="005309D4">
        <w:rPr>
          <w:rStyle w:val="FootnoteReference"/>
          <w:rFonts w:ascii="Arial" w:hAnsi="Arial" w:cs="Arial"/>
        </w:rPr>
        <w:footnoteReference w:id="9"/>
      </w:r>
      <w:r w:rsidRPr="005309D4">
        <w:rPr>
          <w:rFonts w:ascii="Arial" w:hAnsi="Arial" w:cs="Arial"/>
        </w:rPr>
        <w:t xml:space="preserve"> </w:t>
      </w:r>
      <w:r w:rsidRPr="007B604E">
        <w:rPr>
          <w:rFonts w:ascii="Arial" w:hAnsi="Arial" w:cs="Arial"/>
        </w:rPr>
        <w:t xml:space="preserve">Kalghur, and </w:t>
      </w:r>
      <w:r w:rsidR="00E13E05" w:rsidRPr="00DC4E77">
        <w:rPr>
          <w:rFonts w:ascii="Arial" w:hAnsi="Arial" w:cs="Arial"/>
        </w:rPr>
        <w:t>Barārā</w:t>
      </w:r>
      <w:r w:rsidRPr="007B604E">
        <w:rPr>
          <w:rFonts w:ascii="Arial" w:hAnsi="Arial" w:cs="Arial"/>
        </w:rPr>
        <w:t>, from where these commodities were exported eastward to the Somali Coast and Rasūlid Yemen, and northward to Mamluk Egypt.</w:t>
      </w:r>
      <w:r w:rsidRPr="005309D4">
        <w:rPr>
          <w:rStyle w:val="FootnoteReference"/>
          <w:rFonts w:ascii="Arial" w:hAnsi="Arial" w:cs="Arial"/>
        </w:rPr>
        <w:footnoteReference w:id="10"/>
      </w:r>
      <w:r w:rsidRPr="007B604E">
        <w:rPr>
          <w:rFonts w:ascii="Arial" w:hAnsi="Arial" w:cs="Arial"/>
        </w:rPr>
        <w:t xml:space="preserve"> The role of trade as a potential driver of plague spread has already been discussed in the main paper.</w:t>
      </w:r>
    </w:p>
    <w:p w14:paraId="0D984A3A" w14:textId="50D2D9B5" w:rsidR="007B604E" w:rsidRDefault="007B604E" w:rsidP="000A0187">
      <w:pPr>
        <w:jc w:val="both"/>
        <w:rPr>
          <w:rFonts w:ascii="Arial" w:hAnsi="Arial" w:cs="Arial"/>
        </w:rPr>
      </w:pPr>
      <w:r w:rsidRPr="007B604E">
        <w:rPr>
          <w:rFonts w:ascii="Arial" w:hAnsi="Arial" w:cs="Arial"/>
        </w:rPr>
        <w:t>Regarding Yemen, plague appears to have focalised in the Sarawat Mountains. Notably, the existence of a historical plague reservoir in the Yemeni highlands has been previously suggested by Ole Benedictow, who hypothesized that the so-called First Plague Pandemic, beginning with the Justinianic Plague in 541, may have originated in a focus stretching from Yanbu (in present-day Saudi Arabia) to northern Yemen.</w:t>
      </w:r>
      <w:r w:rsidRPr="005309D4">
        <w:rPr>
          <w:rStyle w:val="FootnoteReference"/>
          <w:rFonts w:ascii="Arial" w:hAnsi="Arial" w:cs="Arial"/>
        </w:rPr>
        <w:footnoteReference w:id="11"/>
      </w:r>
      <w:r w:rsidRPr="007B604E">
        <w:rPr>
          <w:rFonts w:ascii="Arial" w:hAnsi="Arial" w:cs="Arial"/>
        </w:rPr>
        <w:t xml:space="preserve"> A detailed analysis of textual evidence documenting recurrent plague outbreaks following the initial introduction </w:t>
      </w:r>
      <w:r>
        <w:rPr>
          <w:rFonts w:ascii="Arial" w:hAnsi="Arial" w:cs="Arial"/>
        </w:rPr>
        <w:t>during the</w:t>
      </w:r>
      <w:r w:rsidRPr="007B604E">
        <w:rPr>
          <w:rFonts w:ascii="Arial" w:hAnsi="Arial" w:cs="Arial"/>
        </w:rPr>
        <w:t xml:space="preserve"> 1433</w:t>
      </w:r>
      <w:r>
        <w:rPr>
          <w:rFonts w:ascii="Arial" w:hAnsi="Arial" w:cs="Arial"/>
        </w:rPr>
        <w:t>/1434</w:t>
      </w:r>
      <w:r w:rsidRPr="007B604E">
        <w:rPr>
          <w:rFonts w:ascii="Arial" w:hAnsi="Arial" w:cs="Arial"/>
        </w:rPr>
        <w:t>–1437</w:t>
      </w:r>
      <w:r>
        <w:rPr>
          <w:rFonts w:ascii="Arial" w:hAnsi="Arial" w:cs="Arial"/>
        </w:rPr>
        <w:t>/1438 wave</w:t>
      </w:r>
      <w:r w:rsidRPr="007B604E">
        <w:rPr>
          <w:rFonts w:ascii="Arial" w:hAnsi="Arial" w:cs="Arial"/>
        </w:rPr>
        <w:t xml:space="preserve"> suggests that the reservoir may indeed have been located in the highlands. For instance, the second outbreak, beginning in late 848 AH (February–March 1445), appears to have been confined to Ibb and its surrounding mountains.</w:t>
      </w:r>
      <w:r w:rsidRPr="005309D4">
        <w:rPr>
          <w:rStyle w:val="FootnoteReference"/>
          <w:rFonts w:ascii="Arial" w:hAnsi="Arial" w:cs="Arial"/>
        </w:rPr>
        <w:footnoteReference w:id="12"/>
      </w:r>
      <w:r w:rsidRPr="005309D4">
        <w:rPr>
          <w:rFonts w:ascii="Arial" w:hAnsi="Arial" w:cs="Arial"/>
        </w:rPr>
        <w:t xml:space="preserve"> </w:t>
      </w:r>
      <w:r w:rsidRPr="007B604E">
        <w:rPr>
          <w:rFonts w:ascii="Arial" w:hAnsi="Arial" w:cs="Arial"/>
        </w:rPr>
        <w:t>Similarly, the outbreak of 933–934 AH (1526/</w:t>
      </w:r>
      <w:r>
        <w:rPr>
          <w:rFonts w:ascii="Arial" w:hAnsi="Arial" w:cs="Arial"/>
        </w:rPr>
        <w:t>15</w:t>
      </w:r>
      <w:r w:rsidRPr="007B604E">
        <w:rPr>
          <w:rFonts w:ascii="Arial" w:hAnsi="Arial" w:cs="Arial"/>
        </w:rPr>
        <w:t>27–1527/</w:t>
      </w:r>
      <w:r>
        <w:rPr>
          <w:rFonts w:ascii="Arial" w:hAnsi="Arial" w:cs="Arial"/>
        </w:rPr>
        <w:t>15</w:t>
      </w:r>
      <w:r w:rsidRPr="007B604E">
        <w:rPr>
          <w:rFonts w:ascii="Arial" w:hAnsi="Arial" w:cs="Arial"/>
        </w:rPr>
        <w:t>28) began in Ibb in late 1526 or early 1527, spreading southwards to Jibla and Ta‘izz and northwards to Sanaa, reaching the city in early Sha‘ban (May 1527).</w:t>
      </w:r>
      <w:r w:rsidR="0084512F" w:rsidRPr="005309D4">
        <w:rPr>
          <w:rStyle w:val="FootnoteReference"/>
          <w:rFonts w:ascii="Arial" w:hAnsi="Arial" w:cs="Arial"/>
        </w:rPr>
        <w:footnoteReference w:id="13"/>
      </w:r>
      <w:r w:rsidR="0084512F" w:rsidRPr="005309D4">
        <w:rPr>
          <w:rFonts w:ascii="Arial" w:hAnsi="Arial" w:cs="Arial"/>
        </w:rPr>
        <w:t xml:space="preserve"> </w:t>
      </w:r>
      <w:r w:rsidRPr="007B604E">
        <w:rPr>
          <w:rFonts w:ascii="Arial" w:hAnsi="Arial" w:cs="Arial"/>
        </w:rPr>
        <w:t>These patterns suggest that the putative reservoir may have been specifically located in the Ibb region.</w:t>
      </w:r>
    </w:p>
    <w:p w14:paraId="1D4028BE" w14:textId="150DDED0" w:rsidR="00603DEB" w:rsidRDefault="00603DEB" w:rsidP="00C95F12">
      <w:pPr>
        <w:jc w:val="both"/>
        <w:rPr>
          <w:rFonts w:ascii="Arial" w:hAnsi="Arial" w:cs="Arial"/>
        </w:rPr>
      </w:pPr>
      <w:r w:rsidRPr="00603DEB">
        <w:rPr>
          <w:rFonts w:ascii="Arial" w:hAnsi="Arial" w:cs="Arial"/>
        </w:rPr>
        <w:t xml:space="preserve">Overall, textual sources record epidemic outbreaks in 1445, 1501, 1512–1513, 1523, 1526–1528, 1532–1533, 1545–1546, 1557–1558, 1575, 1615, 1620, 1628–1630, 1635, 1656, 1687, </w:t>
      </w:r>
      <w:r w:rsidRPr="00603DEB">
        <w:rPr>
          <w:rFonts w:ascii="Arial" w:hAnsi="Arial" w:cs="Arial"/>
        </w:rPr>
        <w:lastRenderedPageBreak/>
        <w:t>1762–1763, 1807–1808, followed by regular outbreaks from 1815 until 1969.</w:t>
      </w:r>
      <w:r w:rsidRPr="005309D4">
        <w:rPr>
          <w:rStyle w:val="FootnoteReference"/>
          <w:rFonts w:ascii="Arial" w:hAnsi="Arial" w:cs="Arial"/>
        </w:rPr>
        <w:footnoteReference w:id="14"/>
      </w:r>
      <w:r w:rsidRPr="00603DEB">
        <w:rPr>
          <w:rFonts w:ascii="Arial" w:hAnsi="Arial" w:cs="Arial"/>
        </w:rPr>
        <w:t xml:space="preserve"> Before the 19th century, only the outbreaks of 1445, 1523, 1526/1527–1528, 1532–1533, 1545–1546, and 1557–1558 were explicitly designated as </w:t>
      </w:r>
      <w:r w:rsidRPr="00603DEB">
        <w:rPr>
          <w:rFonts w:ascii="Arial" w:hAnsi="Arial" w:cs="Arial"/>
          <w:i/>
          <w:iCs/>
        </w:rPr>
        <w:t>ṭāʿūn</w:t>
      </w:r>
      <w:r w:rsidRPr="00603DEB">
        <w:rPr>
          <w:rFonts w:ascii="Arial" w:hAnsi="Arial" w:cs="Arial"/>
        </w:rPr>
        <w:t xml:space="preserve">. Several others, including those of 1575 and 1620, were referred to as </w:t>
      </w:r>
      <w:r w:rsidRPr="00603DEB">
        <w:rPr>
          <w:rFonts w:ascii="Arial" w:hAnsi="Arial" w:cs="Arial"/>
          <w:i/>
          <w:iCs/>
        </w:rPr>
        <w:t>wabāʾ</w:t>
      </w:r>
      <w:r w:rsidRPr="00603DEB">
        <w:rPr>
          <w:rFonts w:ascii="Arial" w:hAnsi="Arial" w:cs="Arial"/>
        </w:rPr>
        <w:t>, a term that could indicate plague but might also denote other infectious diseases. Notably, the 1620 outbreak originated in eastern Yemen (rather than Ibb) and coincided with famine,</w:t>
      </w:r>
      <w:r w:rsidRPr="005309D4">
        <w:rPr>
          <w:rStyle w:val="FootnoteReference"/>
          <w:rFonts w:ascii="Arial" w:hAnsi="Arial" w:cs="Arial"/>
        </w:rPr>
        <w:footnoteReference w:id="15"/>
      </w:r>
      <w:r w:rsidRPr="005309D4">
        <w:rPr>
          <w:rFonts w:ascii="Arial" w:hAnsi="Arial" w:cs="Arial"/>
        </w:rPr>
        <w:t xml:space="preserve"> </w:t>
      </w:r>
      <w:r w:rsidRPr="00603DEB">
        <w:rPr>
          <w:rFonts w:ascii="Arial" w:hAnsi="Arial" w:cs="Arial"/>
        </w:rPr>
        <w:t>while the 1575 outbreak also occurred during a famine.</w:t>
      </w:r>
      <w:r w:rsidRPr="005309D4">
        <w:rPr>
          <w:rStyle w:val="FootnoteReference"/>
          <w:rFonts w:ascii="Arial" w:hAnsi="Arial" w:cs="Arial"/>
        </w:rPr>
        <w:footnoteReference w:id="16"/>
      </w:r>
      <w:r w:rsidRPr="005309D4">
        <w:rPr>
          <w:rFonts w:ascii="Arial" w:hAnsi="Arial" w:cs="Arial"/>
        </w:rPr>
        <w:t xml:space="preserve"> </w:t>
      </w:r>
      <w:r w:rsidRPr="00603DEB">
        <w:rPr>
          <w:rFonts w:ascii="Arial" w:hAnsi="Arial" w:cs="Arial"/>
        </w:rPr>
        <w:t>This suggests that both the 1575 and 1620 events may have been famine-related diseases rather than plague.</w:t>
      </w:r>
    </w:p>
    <w:p w14:paraId="571F0C95" w14:textId="5FC1793B" w:rsidR="00913E29" w:rsidRDefault="00913E29" w:rsidP="00C95F12">
      <w:pPr>
        <w:jc w:val="both"/>
        <w:rPr>
          <w:rFonts w:ascii="Arial" w:hAnsi="Arial" w:cs="Arial"/>
        </w:rPr>
      </w:pPr>
      <w:r w:rsidRPr="00913E29">
        <w:rPr>
          <w:rFonts w:ascii="Arial" w:hAnsi="Arial" w:cs="Arial"/>
        </w:rPr>
        <w:t xml:space="preserve">Some seventeenth- and eighteenth-century outbreaks were described using terms not typically associated with plague, such as </w:t>
      </w:r>
      <w:r w:rsidRPr="00913E29">
        <w:rPr>
          <w:rFonts w:ascii="Arial" w:hAnsi="Arial" w:cs="Arial"/>
          <w:i/>
          <w:iCs/>
        </w:rPr>
        <w:t>al-asqām</w:t>
      </w:r>
      <w:r w:rsidRPr="00913E29">
        <w:rPr>
          <w:rFonts w:ascii="Arial" w:hAnsi="Arial" w:cs="Arial"/>
        </w:rPr>
        <w:t xml:space="preserve"> and </w:t>
      </w:r>
      <w:r w:rsidRPr="00913E29">
        <w:rPr>
          <w:rFonts w:ascii="Arial" w:hAnsi="Arial" w:cs="Arial"/>
          <w:i/>
          <w:iCs/>
        </w:rPr>
        <w:t>maraḍ ʿām</w:t>
      </w:r>
      <w:r w:rsidRPr="00913E29">
        <w:rPr>
          <w:rFonts w:ascii="Arial" w:hAnsi="Arial" w:cs="Arial"/>
        </w:rPr>
        <w:t xml:space="preserve"> (“disease” and “widespread illness”), as in the case of the 1615 outbreak. This outbreak reportedly began in al-Jawf (rather than Ibb) and manifested primarily as fever.</w:t>
      </w:r>
      <w:r w:rsidRPr="005309D4">
        <w:rPr>
          <w:rStyle w:val="FootnoteReference"/>
          <w:rFonts w:ascii="Arial" w:hAnsi="Arial" w:cs="Arial"/>
        </w:rPr>
        <w:footnoteReference w:id="17"/>
      </w:r>
      <w:r w:rsidRPr="00913E29">
        <w:rPr>
          <w:rFonts w:ascii="Arial" w:hAnsi="Arial" w:cs="Arial"/>
        </w:rPr>
        <w:t xml:space="preserve"> While fever is a symptom of plague, the absence of other clinical signs and the use of unusual terminology cast doubt on its identification as plague. Consequently, it is possible that post-1557/1558 outbreaks were caused by other epidemic diseases, with geographic origins elsewhere in Yemen—as with the 1615 and 1620 outbreaks, originating in al-Jawf and eastern Yemen, respectively. In other words, the putative Ibb reservoir may have ceased to exist after 1557–1558, with subsequent epidemics resulting from different infectious diseases. If so, the Yemeni reservoir likely persisted for approximately 120–125 years.</w:t>
      </w:r>
    </w:p>
    <w:p w14:paraId="020DE639" w14:textId="6106B065" w:rsidR="00642255" w:rsidRPr="00CD7A6F" w:rsidRDefault="00642255" w:rsidP="00C95F12">
      <w:pPr>
        <w:jc w:val="both"/>
        <w:rPr>
          <w:rFonts w:ascii="Arial" w:hAnsi="Arial" w:cs="Arial"/>
        </w:rPr>
      </w:pPr>
      <w:r w:rsidRPr="00642255">
        <w:rPr>
          <w:rFonts w:ascii="Arial" w:hAnsi="Arial" w:cs="Arial"/>
        </w:rPr>
        <w:t xml:space="preserve">In all cases, chronicles and biographies report epidemic outbreaks in inland regions of western Yemen rather than at the ports, suggesting these waves were linked to local reservoirs rather than external introductions. The only exceptions are the 1501, 1628–1630, and 1635 outbreaks, which were reported solely in Zabīd. However, it is uncertain whether these outbreaks were caused by plague. If they were, one possibility is that they originated in Abyssinia, where plague had been recorded in 1497 at </w:t>
      </w:r>
      <w:r w:rsidR="00641890" w:rsidRPr="00E22728">
        <w:rPr>
          <w:rFonts w:ascii="Arial" w:hAnsi="Arial" w:cs="Arial"/>
        </w:rPr>
        <w:t xml:space="preserve">Dabra Libānos </w:t>
      </w:r>
      <w:r w:rsidRPr="00642255">
        <w:rPr>
          <w:rFonts w:ascii="Arial" w:hAnsi="Arial" w:cs="Arial"/>
        </w:rPr>
        <w:t>monastery and more broadly in 1626–1627 and 1634–1635.</w:t>
      </w:r>
      <w:r w:rsidRPr="005309D4">
        <w:rPr>
          <w:rStyle w:val="FootnoteReference"/>
          <w:rFonts w:ascii="Arial" w:hAnsi="Arial" w:cs="Arial"/>
        </w:rPr>
        <w:footnoteReference w:id="18"/>
      </w:r>
      <w:r>
        <w:rPr>
          <w:rFonts w:ascii="Arial" w:hAnsi="Arial" w:cs="Arial"/>
        </w:rPr>
        <w:t xml:space="preserve"> </w:t>
      </w:r>
      <w:r w:rsidRPr="00642255">
        <w:rPr>
          <w:rFonts w:ascii="Arial" w:hAnsi="Arial" w:cs="Arial"/>
        </w:rPr>
        <w:t xml:space="preserve">Aside from two epidemics—the one in 853 AH/1449CE, described as </w:t>
      </w:r>
      <w:r w:rsidRPr="00642255">
        <w:rPr>
          <w:rFonts w:ascii="Arial" w:hAnsi="Arial" w:cs="Arial"/>
          <w:i/>
          <w:iCs/>
        </w:rPr>
        <w:t>mawt</w:t>
      </w:r>
      <w:r w:rsidRPr="00642255">
        <w:rPr>
          <w:rFonts w:ascii="Arial" w:hAnsi="Arial" w:cs="Arial"/>
        </w:rPr>
        <w:t xml:space="preserve"> (“mortality” or “death”), and the other in 918 AH/1512–1513CE, described as </w:t>
      </w:r>
      <w:r w:rsidRPr="00642255">
        <w:rPr>
          <w:rFonts w:ascii="Arial" w:hAnsi="Arial" w:cs="Arial"/>
          <w:i/>
          <w:iCs/>
        </w:rPr>
        <w:t>waʿk</w:t>
      </w:r>
      <w:r w:rsidRPr="00642255">
        <w:rPr>
          <w:rFonts w:ascii="Arial" w:hAnsi="Arial" w:cs="Arial"/>
        </w:rPr>
        <w:t xml:space="preserve"> (“disease”)—no further references to outbreaks were found in Hadhramaut.</w:t>
      </w:r>
      <w:r w:rsidRPr="005309D4">
        <w:rPr>
          <w:rStyle w:val="FootnoteReference"/>
          <w:rFonts w:ascii="Arial" w:hAnsi="Arial" w:cs="Arial"/>
        </w:rPr>
        <w:footnoteReference w:id="19"/>
      </w:r>
      <w:r w:rsidRPr="00642255">
        <w:rPr>
          <w:rFonts w:ascii="Arial" w:hAnsi="Arial" w:cs="Arial"/>
        </w:rPr>
        <w:t xml:space="preserve"> There is no evidence that either of these was linked to the recurrent waves in western Yemen or that they were caused by plague.</w:t>
      </w:r>
    </w:p>
    <w:p w14:paraId="78E09C9E" w14:textId="068EC6FF" w:rsidR="004D113A" w:rsidRDefault="004D113A" w:rsidP="00C95F12">
      <w:pPr>
        <w:jc w:val="both"/>
        <w:rPr>
          <w:rFonts w:ascii="Arial" w:hAnsi="Arial" w:cs="Arial"/>
        </w:rPr>
      </w:pPr>
      <w:r w:rsidRPr="004D113A">
        <w:rPr>
          <w:rFonts w:ascii="Arial" w:hAnsi="Arial" w:cs="Arial"/>
        </w:rPr>
        <w:t xml:space="preserve">In other words, the fifteenth- and sixteenth-century plague outbreaks appear to have originated in the highlands—possibly in the Ibb region—whereas the seventeenth- and eighteenth-century epidemic outbreaks, often arising in different parts of Yemen, may not have been caused by plague at all. Determining the nature of these later outbreaks falls outside the scope of this paper. If the putative Yemeni highlands reservoir(s) were indeed located near Ibb, then these foci were distinct from the reservoirs responsible for plague outbreaks in southwestern Arabia and Yemen during the nineteenth and twentieth centuries. Those later outbreaks appear to have originated in the ʿAsīr province (southwestern Saudi Arabia, near the Yemeni border, roughly 550 km northwest of Ibb), suggesting that the ʿAsīr reservoir was seeded at a </w:t>
      </w:r>
      <w:r w:rsidRPr="004D113A">
        <w:rPr>
          <w:rFonts w:ascii="Arial" w:hAnsi="Arial" w:cs="Arial"/>
        </w:rPr>
        <w:lastRenderedPageBreak/>
        <w:t>later time, but prior to the first known outbreak in 1815</w:t>
      </w:r>
      <w:r w:rsidRPr="005309D4">
        <w:rPr>
          <w:rFonts w:ascii="Arial" w:hAnsi="Arial" w:cs="Arial"/>
        </w:rPr>
        <w:t>.</w:t>
      </w:r>
      <w:r w:rsidRPr="005309D4">
        <w:rPr>
          <w:rStyle w:val="FootnoteReference"/>
          <w:rFonts w:ascii="Arial" w:hAnsi="Arial" w:cs="Arial"/>
        </w:rPr>
        <w:footnoteReference w:id="20"/>
      </w:r>
      <w:r w:rsidRPr="004D113A">
        <w:rPr>
          <w:rFonts w:ascii="Arial" w:hAnsi="Arial" w:cs="Arial"/>
        </w:rPr>
        <w:t xml:space="preserve"> Two possibilities exist: one is that the ʿAsīr reservoir resulted from the northward migration of the Ibb reservoir along with local plague-carrying rodent populations; however, this interpretation is problematic, as the 1815–1816 outbreak, which initiated the series of waves from ʿAsīr, has been argued to have been introduced by the Egyptian army rather than arising locally.</w:t>
      </w:r>
      <w:r w:rsidRPr="004D113A">
        <w:rPr>
          <w:rStyle w:val="FootnoteReference"/>
          <w:rFonts w:ascii="Arial" w:hAnsi="Arial" w:cs="Arial"/>
        </w:rPr>
        <w:t xml:space="preserve"> </w:t>
      </w:r>
      <w:r w:rsidRPr="005309D4">
        <w:rPr>
          <w:rStyle w:val="FootnoteReference"/>
          <w:rFonts w:ascii="Arial" w:hAnsi="Arial" w:cs="Arial"/>
        </w:rPr>
        <w:footnoteReference w:id="21"/>
      </w:r>
      <w:r w:rsidRPr="005309D4">
        <w:rPr>
          <w:rFonts w:ascii="Arial" w:hAnsi="Arial" w:cs="Arial"/>
        </w:rPr>
        <w:t xml:space="preserve"> </w:t>
      </w:r>
      <w:r w:rsidRPr="004D113A">
        <w:rPr>
          <w:rFonts w:ascii="Arial" w:hAnsi="Arial" w:cs="Arial"/>
        </w:rPr>
        <w:t>A more plausible explanation is that the ʿAsīr reservoir was seeded independently after the Ibb reservoir had burned out.</w:t>
      </w:r>
    </w:p>
    <w:p w14:paraId="6D6E45F4" w14:textId="26B9B158" w:rsidR="007B7E5C" w:rsidRPr="005309D4" w:rsidRDefault="007B7E5C" w:rsidP="007B7E5C">
      <w:pPr>
        <w:jc w:val="both"/>
        <w:rPr>
          <w:rFonts w:ascii="Arial" w:hAnsi="Arial" w:cs="Arial"/>
        </w:rPr>
      </w:pPr>
      <w:r w:rsidRPr="007B7E5C">
        <w:rPr>
          <w:rFonts w:ascii="Arial" w:hAnsi="Arial" w:cs="Arial"/>
        </w:rPr>
        <w:t xml:space="preserve">Unfortunately, there is no aDNA of </w:t>
      </w:r>
      <w:r w:rsidRPr="007B7E5C">
        <w:rPr>
          <w:rFonts w:ascii="Arial" w:hAnsi="Arial" w:cs="Arial"/>
          <w:i/>
          <w:iCs/>
        </w:rPr>
        <w:t>Yersinia pestis</w:t>
      </w:r>
      <w:r w:rsidRPr="007B7E5C">
        <w:rPr>
          <w:rFonts w:ascii="Arial" w:hAnsi="Arial" w:cs="Arial"/>
        </w:rPr>
        <w:t xml:space="preserve"> from either Yemen or Ethiopia. In fact, the only sequenced genome from Yemen is associated with the 1969 outbreak in Al-Maddah in the Khawlan region, most likely originating from the ʿAsīr reservoir.</w:t>
      </w:r>
      <w:r w:rsidRPr="005309D4">
        <w:rPr>
          <w:rStyle w:val="FootnoteReference"/>
          <w:rFonts w:ascii="Arial" w:hAnsi="Arial" w:cs="Arial"/>
        </w:rPr>
        <w:footnoteReference w:id="22"/>
      </w:r>
      <w:r w:rsidRPr="007B7E5C">
        <w:rPr>
          <w:rFonts w:ascii="Arial" w:hAnsi="Arial" w:cs="Arial"/>
        </w:rPr>
        <w:t xml:space="preserve"> This isolate belongs to the so-called Branch 1.ANT2, itself a descendant of Branch 1B responsible for the pestis secunda of 1356–1366, which disappeared from Europe after that wave. Branch </w:t>
      </w:r>
      <w:proofErr w:type="gramStart"/>
      <w:r w:rsidRPr="007B7E5C">
        <w:rPr>
          <w:rFonts w:ascii="Arial" w:hAnsi="Arial" w:cs="Arial"/>
        </w:rPr>
        <w:t>1.ANT</w:t>
      </w:r>
      <w:proofErr w:type="gramEnd"/>
      <w:r w:rsidRPr="007B7E5C">
        <w:rPr>
          <w:rFonts w:ascii="Arial" w:hAnsi="Arial" w:cs="Arial"/>
        </w:rPr>
        <w:t xml:space="preserve">2 emerged in the Great Lakes region of East Africa at some point between 1772 and 1920 (median date: 1851), well after our period of interest. Moreover, the 1.ANT2 strains appear to have crossed the Red Sea into Yemen via Oman only around 1900, </w:t>
      </w:r>
      <w:r w:rsidR="000F1EE3">
        <w:rPr>
          <w:rFonts w:ascii="Arial" w:hAnsi="Arial" w:cs="Arial"/>
        </w:rPr>
        <w:t>eighty-five</w:t>
      </w:r>
      <w:r w:rsidRPr="007B7E5C">
        <w:rPr>
          <w:rFonts w:ascii="Arial" w:hAnsi="Arial" w:cs="Arial"/>
        </w:rPr>
        <w:t xml:space="preserve"> years after the 1815 introduction associated with the Egyptian army.</w:t>
      </w:r>
      <w:r w:rsidRPr="007B7E5C">
        <w:rPr>
          <w:rStyle w:val="FootnoteReference"/>
          <w:rFonts w:ascii="Arial" w:hAnsi="Arial" w:cs="Arial"/>
        </w:rPr>
        <w:t xml:space="preserve"> </w:t>
      </w:r>
      <w:r w:rsidRPr="005309D4">
        <w:rPr>
          <w:rStyle w:val="FootnoteReference"/>
          <w:rFonts w:ascii="Arial" w:hAnsi="Arial" w:cs="Arial"/>
        </w:rPr>
        <w:footnoteReference w:id="23"/>
      </w:r>
      <w:r w:rsidRPr="005309D4">
        <w:rPr>
          <w:rFonts w:ascii="Arial" w:hAnsi="Arial" w:cs="Arial"/>
        </w:rPr>
        <w:t xml:space="preserve"> </w:t>
      </w:r>
      <w:r>
        <w:rPr>
          <w:rFonts w:ascii="Arial" w:hAnsi="Arial" w:cs="Arial"/>
        </w:rPr>
        <w:t xml:space="preserve"> </w:t>
      </w:r>
      <w:r w:rsidRPr="007B7E5C">
        <w:rPr>
          <w:rFonts w:ascii="Arial" w:hAnsi="Arial" w:cs="Arial"/>
        </w:rPr>
        <w:t>It is therefore clear that the putative Yemeni and Abyssinian reservoirs—and their associated outbreaks—were linked to different, more ancient Y. pestis branches and strains than those circulating in the ʿAsīr focus during the nineteenth and twentieth centuries. Without aDNA evidence, the phylogenies of the fifteenth-, sixteenth-, and seventeenth-century strains cannot, of course, be established.</w:t>
      </w:r>
    </w:p>
    <w:p w14:paraId="5040495B" w14:textId="67143742" w:rsidR="002D0D5A" w:rsidRPr="003C6907" w:rsidRDefault="002D0D5A" w:rsidP="00C95F12">
      <w:pPr>
        <w:rPr>
          <w:rFonts w:ascii="Arial" w:hAnsi="Arial" w:cs="Arial"/>
        </w:rPr>
      </w:pPr>
    </w:p>
    <w:sectPr w:rsidR="002D0D5A" w:rsidRPr="003C69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1B590" w14:textId="77777777" w:rsidR="00C74BC7" w:rsidRDefault="00C74BC7" w:rsidP="00C95F12">
      <w:pPr>
        <w:spacing w:after="0" w:line="240" w:lineRule="auto"/>
      </w:pPr>
      <w:r>
        <w:separator/>
      </w:r>
    </w:p>
  </w:endnote>
  <w:endnote w:type="continuationSeparator" w:id="0">
    <w:p w14:paraId="4BC7ED77" w14:textId="77777777" w:rsidR="00C74BC7" w:rsidRDefault="00C74BC7" w:rsidP="00C9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F530D" w14:textId="77777777" w:rsidR="00C74BC7" w:rsidRDefault="00C74BC7" w:rsidP="00C95F12">
      <w:pPr>
        <w:spacing w:after="0" w:line="240" w:lineRule="auto"/>
      </w:pPr>
      <w:r>
        <w:separator/>
      </w:r>
    </w:p>
  </w:footnote>
  <w:footnote w:type="continuationSeparator" w:id="0">
    <w:p w14:paraId="28E95C1E" w14:textId="77777777" w:rsidR="00C74BC7" w:rsidRDefault="00C74BC7" w:rsidP="00C95F12">
      <w:pPr>
        <w:spacing w:after="0" w:line="240" w:lineRule="auto"/>
      </w:pPr>
      <w:r>
        <w:continuationSeparator/>
      </w:r>
    </w:p>
  </w:footnote>
  <w:footnote w:id="1">
    <w:p w14:paraId="5E8ED013" w14:textId="28A1794A" w:rsidR="009A7EB8" w:rsidRPr="000F1EE3" w:rsidRDefault="009A7EB8" w:rsidP="009A7EB8">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510562" w:rsidRPr="00510562">
        <w:rPr>
          <w:rFonts w:ascii="Arial" w:hAnsi="Arial" w:cs="Arial"/>
        </w:rPr>
        <w:t xml:space="preserve"> </w:t>
      </w:r>
      <w:r w:rsidR="00510562" w:rsidRPr="00AB5E41">
        <w:rPr>
          <w:rFonts w:ascii="Arial" w:hAnsi="Arial" w:cs="Arial"/>
        </w:rPr>
        <w:t xml:space="preserve">Marie-Laure Derat, ‘Du Lexique aux talismans: occurrences de la peste dans la corne de l’Afrique du XIIIe au XVe siècle’, </w:t>
      </w:r>
      <w:r w:rsidR="00510562" w:rsidRPr="00AB5E41">
        <w:rPr>
          <w:rFonts w:ascii="Arial" w:hAnsi="Arial" w:cs="Arial"/>
          <w:i/>
          <w:iCs/>
        </w:rPr>
        <w:t xml:space="preserve">Afriques </w:t>
      </w:r>
      <w:r w:rsidR="00510562" w:rsidRPr="00AB5E41">
        <w:rPr>
          <w:rFonts w:ascii="Arial" w:hAnsi="Arial" w:cs="Arial"/>
        </w:rPr>
        <w:t xml:space="preserve">9 (2018). </w:t>
      </w:r>
      <w:hyperlink r:id="rId1" w:history="1">
        <w:r w:rsidR="00510562" w:rsidRPr="00AB5E41">
          <w:rPr>
            <w:rFonts w:ascii="Arial" w:hAnsi="Arial" w:cs="Arial"/>
          </w:rPr>
          <w:t>https://doi.org/10.4000/afriques.2090</w:t>
        </w:r>
      </w:hyperlink>
      <w:r w:rsidR="00510562" w:rsidRPr="00AB5E41">
        <w:rPr>
          <w:rFonts w:ascii="Arial" w:hAnsi="Arial" w:cs="Arial"/>
        </w:rPr>
        <w:t>.</w:t>
      </w:r>
    </w:p>
  </w:footnote>
  <w:footnote w:id="2">
    <w:p w14:paraId="575247FD" w14:textId="6494DC02" w:rsidR="000A0187" w:rsidRPr="000F1EE3" w:rsidRDefault="000A0187" w:rsidP="000A0187">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510562" w:rsidRPr="00AB5E41">
        <w:rPr>
          <w:rFonts w:ascii="Arial" w:hAnsi="Arial" w:cs="Arial"/>
        </w:rPr>
        <w:t xml:space="preserve">Philip Slavin, ‘Out of the West: Formation of a Permanent Plague Reservoir in South-Central Germany (1349–1356) and Its Implications’, </w:t>
      </w:r>
      <w:r w:rsidR="00510562" w:rsidRPr="00AB5E41">
        <w:rPr>
          <w:rFonts w:ascii="Arial" w:hAnsi="Arial" w:cs="Arial"/>
          <w:i/>
          <w:iCs/>
        </w:rPr>
        <w:t xml:space="preserve">Past &amp; Present </w:t>
      </w:r>
      <w:r w:rsidR="00510562" w:rsidRPr="00AB5E41">
        <w:rPr>
          <w:rFonts w:ascii="Arial" w:hAnsi="Arial" w:cs="Arial"/>
        </w:rPr>
        <w:t>252, no. 1 (2021)</w:t>
      </w:r>
      <w:r w:rsidR="00510562">
        <w:rPr>
          <w:rFonts w:ascii="Arial" w:hAnsi="Arial" w:cs="Arial"/>
        </w:rPr>
        <w:t>,</w:t>
      </w:r>
      <w:r w:rsidR="00510562" w:rsidRPr="00AB5E41">
        <w:rPr>
          <w:rFonts w:ascii="Arial" w:hAnsi="Arial" w:cs="Arial"/>
        </w:rPr>
        <w:t xml:space="preserve"> </w:t>
      </w:r>
      <w:r w:rsidR="00510562">
        <w:rPr>
          <w:rFonts w:ascii="Arial" w:hAnsi="Arial" w:cs="Arial"/>
        </w:rPr>
        <w:t>7</w:t>
      </w:r>
      <w:r w:rsidR="00510562" w:rsidRPr="00AB5E41">
        <w:rPr>
          <w:rFonts w:ascii="Arial" w:hAnsi="Arial" w:cs="Arial"/>
        </w:rPr>
        <w:t>-</w:t>
      </w:r>
      <w:proofErr w:type="gramStart"/>
      <w:r w:rsidR="00510562" w:rsidRPr="00AB5E41">
        <w:rPr>
          <w:rFonts w:ascii="Arial" w:hAnsi="Arial" w:cs="Arial"/>
        </w:rPr>
        <w:t>1</w:t>
      </w:r>
      <w:r w:rsidR="00510562">
        <w:rPr>
          <w:rFonts w:ascii="Arial" w:hAnsi="Arial" w:cs="Arial"/>
        </w:rPr>
        <w:t>5</w:t>
      </w:r>
      <w:r w:rsidR="00A64DC4">
        <w:rPr>
          <w:rFonts w:ascii="Arial" w:hAnsi="Arial" w:cs="Arial"/>
        </w:rPr>
        <w:t>.</w:t>
      </w:r>
      <w:r w:rsidRPr="000F1EE3">
        <w:rPr>
          <w:rFonts w:ascii="Arial" w:hAnsi="Arial" w:cs="Arial"/>
        </w:rPr>
        <w:t>.</w:t>
      </w:r>
      <w:proofErr w:type="gramEnd"/>
    </w:p>
  </w:footnote>
  <w:footnote w:id="3">
    <w:p w14:paraId="44E8FDA1" w14:textId="05456FAA" w:rsidR="000A0187" w:rsidRPr="000F1EE3" w:rsidRDefault="000A0187" w:rsidP="000A0187">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F. M.  Esteves Pereira, trans., </w:t>
      </w:r>
      <w:r w:rsidRPr="000F1EE3">
        <w:rPr>
          <w:rFonts w:ascii="Arial" w:hAnsi="Arial" w:cs="Arial"/>
          <w:i/>
          <w:iCs/>
        </w:rPr>
        <w:t>Chronica de Susenyos, Rei de Ethiopia, Vol. 1</w:t>
      </w:r>
      <w:r w:rsidRPr="000F1EE3">
        <w:rPr>
          <w:rFonts w:ascii="Arial" w:hAnsi="Arial" w:cs="Arial"/>
        </w:rPr>
        <w:t xml:space="preserve"> (Impensa Nacional, 1892), 202-3; F. M.  Esteves Pereira, trans., </w:t>
      </w:r>
      <w:r w:rsidRPr="000F1EE3">
        <w:rPr>
          <w:rFonts w:ascii="Arial" w:hAnsi="Arial" w:cs="Arial"/>
          <w:i/>
          <w:iCs/>
        </w:rPr>
        <w:t>Chronica de Susenyos, Rei de Ethiopia, Vol. 2</w:t>
      </w:r>
      <w:r w:rsidRPr="000F1EE3">
        <w:rPr>
          <w:rFonts w:ascii="Arial" w:hAnsi="Arial" w:cs="Arial"/>
        </w:rPr>
        <w:t xml:space="preserve"> (Impensa Nacional, 1900), p. 156; Camillo Beccari, ed., </w:t>
      </w:r>
      <w:r w:rsidRPr="000F1EE3">
        <w:rPr>
          <w:rFonts w:ascii="Arial" w:hAnsi="Arial" w:cs="Arial"/>
          <w:i/>
          <w:iCs/>
        </w:rPr>
        <w:t>Rerum Aethiopicarum Scriptores Occidentales Inediti a Saeculo XVI ad XIX, Vol. 11</w:t>
      </w:r>
      <w:r w:rsidRPr="000F1EE3">
        <w:rPr>
          <w:rFonts w:ascii="Arial" w:hAnsi="Arial" w:cs="Arial"/>
        </w:rPr>
        <w:t xml:space="preserve"> (C. de Luigi, 1911), 416-7; </w:t>
      </w:r>
      <w:r w:rsidR="00C9546D" w:rsidRPr="00AB5E41">
        <w:rPr>
          <w:rFonts w:ascii="Arial" w:hAnsi="Arial" w:cs="Arial"/>
        </w:rPr>
        <w:t xml:space="preserve">Richard Pankhurst, ‘The History of Famine and Pestilence in Ethiopia Prior to the Founding of Gondär’, </w:t>
      </w:r>
      <w:r w:rsidR="00C9546D" w:rsidRPr="00AB5E41">
        <w:rPr>
          <w:rFonts w:ascii="Arial" w:hAnsi="Arial" w:cs="Arial"/>
          <w:i/>
          <w:iCs/>
        </w:rPr>
        <w:t xml:space="preserve">Journal of Ethiopian Studies </w:t>
      </w:r>
      <w:r w:rsidR="00C9546D" w:rsidRPr="00AB5E41">
        <w:rPr>
          <w:rFonts w:ascii="Arial" w:hAnsi="Arial" w:cs="Arial"/>
        </w:rPr>
        <w:t>10, no. 2 (1972)</w:t>
      </w:r>
      <w:r w:rsidR="00C9546D">
        <w:rPr>
          <w:rFonts w:ascii="Arial" w:hAnsi="Arial" w:cs="Arial"/>
        </w:rPr>
        <w:t xml:space="preserve">, </w:t>
      </w:r>
      <w:r w:rsidRPr="000F1EE3">
        <w:rPr>
          <w:rFonts w:ascii="Arial" w:hAnsi="Arial" w:cs="Arial"/>
        </w:rPr>
        <w:t>53-4</w:t>
      </w:r>
      <w:r w:rsidR="00C9546D">
        <w:rPr>
          <w:rFonts w:ascii="Arial" w:hAnsi="Arial" w:cs="Arial"/>
        </w:rPr>
        <w:t>.</w:t>
      </w:r>
    </w:p>
  </w:footnote>
  <w:footnote w:id="4">
    <w:p w14:paraId="561DF7AE" w14:textId="788125D3" w:rsidR="000A0187" w:rsidRPr="000F1EE3" w:rsidRDefault="000A0187" w:rsidP="000A0187">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Camillo Beccari, ed., </w:t>
      </w:r>
      <w:r w:rsidRPr="000F1EE3">
        <w:rPr>
          <w:rFonts w:ascii="Arial" w:hAnsi="Arial" w:cs="Arial"/>
          <w:i/>
          <w:iCs/>
        </w:rPr>
        <w:t>Rerum Aethiopicarum Scriptores Occidentales Inediti a Saeculo XVI ad XIX, Vol. 7</w:t>
      </w:r>
      <w:r w:rsidRPr="000F1EE3">
        <w:rPr>
          <w:rFonts w:ascii="Arial" w:hAnsi="Arial" w:cs="Arial"/>
        </w:rPr>
        <w:t xml:space="preserve"> (C. de Luigi, 1908), 313, 341-2; Camillo Beccari, ed., </w:t>
      </w:r>
      <w:r w:rsidRPr="000F1EE3">
        <w:rPr>
          <w:rFonts w:ascii="Arial" w:hAnsi="Arial" w:cs="Arial"/>
          <w:i/>
          <w:iCs/>
        </w:rPr>
        <w:t>Rerum Aethiopicarum Scriptores Occidentales Inediti a Saeculo XVI ad XIX, Vol. 1</w:t>
      </w:r>
      <w:r w:rsidRPr="000F1EE3">
        <w:rPr>
          <w:rFonts w:ascii="Arial" w:hAnsi="Arial" w:cs="Arial"/>
        </w:rPr>
        <w:t xml:space="preserve"> (C. de Luigi, 1903), 158; </w:t>
      </w:r>
      <w:r w:rsidR="0023544C" w:rsidRPr="0023544C">
        <w:rPr>
          <w:rFonts w:ascii="Arial" w:hAnsi="Arial" w:cs="Arial"/>
        </w:rPr>
        <w:t>René</w:t>
      </w:r>
      <w:r w:rsidR="0023544C">
        <w:rPr>
          <w:rFonts w:ascii="Arial" w:hAnsi="Arial" w:cs="Arial"/>
        </w:rPr>
        <w:t xml:space="preserve"> </w:t>
      </w:r>
      <w:r w:rsidR="0023544C" w:rsidRPr="0023544C">
        <w:rPr>
          <w:rFonts w:ascii="Arial" w:hAnsi="Arial" w:cs="Arial"/>
        </w:rPr>
        <w:t xml:space="preserve">Basset, </w:t>
      </w:r>
      <w:r w:rsidR="0023544C" w:rsidRPr="0023544C">
        <w:rPr>
          <w:rFonts w:ascii="Arial" w:hAnsi="Arial" w:cs="Arial"/>
          <w:i/>
          <w:iCs/>
        </w:rPr>
        <w:t>Études Sur L'histoire D'éthiopie</w:t>
      </w:r>
      <w:r w:rsidR="0023544C">
        <w:rPr>
          <w:rFonts w:ascii="Arial" w:hAnsi="Arial" w:cs="Arial"/>
          <w:i/>
          <w:iCs/>
        </w:rPr>
        <w:t xml:space="preserve"> </w:t>
      </w:r>
      <w:r w:rsidR="0023544C">
        <w:rPr>
          <w:rFonts w:ascii="Arial" w:hAnsi="Arial" w:cs="Arial"/>
        </w:rPr>
        <w:t>(</w:t>
      </w:r>
      <w:r w:rsidR="0023544C" w:rsidRPr="0023544C">
        <w:rPr>
          <w:rFonts w:ascii="Arial" w:hAnsi="Arial" w:cs="Arial"/>
        </w:rPr>
        <w:t>Imprimerie Nationale, 1882</w:t>
      </w:r>
      <w:r w:rsidR="0023544C">
        <w:rPr>
          <w:rFonts w:ascii="Arial" w:hAnsi="Arial" w:cs="Arial"/>
        </w:rPr>
        <w:t>)</w:t>
      </w:r>
      <w:r w:rsidRPr="000F1EE3">
        <w:rPr>
          <w:rFonts w:ascii="Arial" w:hAnsi="Arial" w:cs="Arial"/>
        </w:rPr>
        <w:t xml:space="preserve">, 133; </w:t>
      </w:r>
      <w:r w:rsidR="002C4260" w:rsidRPr="002C4260">
        <w:rPr>
          <w:rFonts w:ascii="Arial" w:hAnsi="Arial" w:cs="Arial"/>
        </w:rPr>
        <w:t>Jules</w:t>
      </w:r>
      <w:r w:rsidR="002C4260">
        <w:rPr>
          <w:rFonts w:ascii="Arial" w:hAnsi="Arial" w:cs="Arial"/>
        </w:rPr>
        <w:t xml:space="preserve"> </w:t>
      </w:r>
      <w:r w:rsidR="002C4260" w:rsidRPr="002C4260">
        <w:rPr>
          <w:rFonts w:ascii="Arial" w:hAnsi="Arial" w:cs="Arial"/>
        </w:rPr>
        <w:t xml:space="preserve">Perruchon, </w:t>
      </w:r>
      <w:r w:rsidR="002C4260">
        <w:rPr>
          <w:rFonts w:ascii="Arial" w:hAnsi="Arial" w:cs="Arial"/>
        </w:rPr>
        <w:t>‘</w:t>
      </w:r>
      <w:r w:rsidR="002C4260" w:rsidRPr="002C4260">
        <w:rPr>
          <w:rFonts w:ascii="Arial" w:hAnsi="Arial" w:cs="Arial"/>
        </w:rPr>
        <w:t xml:space="preserve">Notes </w:t>
      </w:r>
      <w:r w:rsidR="002C4260">
        <w:rPr>
          <w:rFonts w:ascii="Arial" w:hAnsi="Arial" w:cs="Arial"/>
        </w:rPr>
        <w:t>p</w:t>
      </w:r>
      <w:r w:rsidR="002C4260" w:rsidRPr="002C4260">
        <w:rPr>
          <w:rFonts w:ascii="Arial" w:hAnsi="Arial" w:cs="Arial"/>
        </w:rPr>
        <w:t xml:space="preserve">our </w:t>
      </w:r>
      <w:r w:rsidR="002C4260">
        <w:rPr>
          <w:rFonts w:ascii="Arial" w:hAnsi="Arial" w:cs="Arial"/>
        </w:rPr>
        <w:t>l</w:t>
      </w:r>
      <w:r w:rsidR="002C4260" w:rsidRPr="002C4260">
        <w:rPr>
          <w:rFonts w:ascii="Arial" w:hAnsi="Arial" w:cs="Arial"/>
        </w:rPr>
        <w:t xml:space="preserve">'historie </w:t>
      </w:r>
      <w:r w:rsidR="002C4260">
        <w:rPr>
          <w:rFonts w:ascii="Arial" w:hAnsi="Arial" w:cs="Arial"/>
        </w:rPr>
        <w:t>d</w:t>
      </w:r>
      <w:r w:rsidR="002C4260" w:rsidRPr="002C4260">
        <w:rPr>
          <w:rFonts w:ascii="Arial" w:hAnsi="Arial" w:cs="Arial"/>
        </w:rPr>
        <w:t>'</w:t>
      </w:r>
      <w:r w:rsidR="002C4260">
        <w:rPr>
          <w:rFonts w:ascii="Arial" w:hAnsi="Arial" w:cs="Arial"/>
        </w:rPr>
        <w:t>E</w:t>
      </w:r>
      <w:r w:rsidR="002C4260" w:rsidRPr="002C4260">
        <w:rPr>
          <w:rFonts w:ascii="Arial" w:hAnsi="Arial" w:cs="Arial"/>
        </w:rPr>
        <w:t xml:space="preserve">thiopie. Le </w:t>
      </w:r>
      <w:r w:rsidR="002C4260">
        <w:rPr>
          <w:rFonts w:ascii="Arial" w:hAnsi="Arial" w:cs="Arial"/>
        </w:rPr>
        <w:t>r</w:t>
      </w:r>
      <w:r w:rsidR="002C4260" w:rsidRPr="002C4260">
        <w:rPr>
          <w:rFonts w:ascii="Arial" w:hAnsi="Arial" w:cs="Arial"/>
        </w:rPr>
        <w:t xml:space="preserve">ègne </w:t>
      </w:r>
      <w:r w:rsidR="002C4260">
        <w:rPr>
          <w:rFonts w:ascii="Arial" w:hAnsi="Arial" w:cs="Arial"/>
        </w:rPr>
        <w:t>d</w:t>
      </w:r>
      <w:r w:rsidR="002C4260" w:rsidRPr="002C4260">
        <w:rPr>
          <w:rFonts w:ascii="Arial" w:hAnsi="Arial" w:cs="Arial"/>
        </w:rPr>
        <w:t xml:space="preserve">e Fasiladas (Alam Sagad), </w:t>
      </w:r>
      <w:r w:rsidR="002C4260">
        <w:rPr>
          <w:rFonts w:ascii="Arial" w:hAnsi="Arial" w:cs="Arial"/>
        </w:rPr>
        <w:t>d</w:t>
      </w:r>
      <w:r w:rsidR="002C4260" w:rsidRPr="002C4260">
        <w:rPr>
          <w:rFonts w:ascii="Arial" w:hAnsi="Arial" w:cs="Arial"/>
        </w:rPr>
        <w:t xml:space="preserve">e 1632 </w:t>
      </w:r>
      <w:r w:rsidR="002C4260">
        <w:rPr>
          <w:rFonts w:ascii="Arial" w:hAnsi="Arial" w:cs="Arial"/>
        </w:rPr>
        <w:t>à</w:t>
      </w:r>
      <w:r w:rsidR="002C4260" w:rsidRPr="002C4260">
        <w:rPr>
          <w:rFonts w:ascii="Arial" w:hAnsi="Arial" w:cs="Arial"/>
        </w:rPr>
        <w:t xml:space="preserve"> 1667 (I</w:t>
      </w:r>
      <w:r w:rsidR="002C4260">
        <w:rPr>
          <w:rFonts w:ascii="Arial" w:hAnsi="Arial" w:cs="Arial"/>
        </w:rPr>
        <w:t>I</w:t>
      </w:r>
      <w:r w:rsidR="002C4260" w:rsidRPr="002C4260">
        <w:rPr>
          <w:rFonts w:ascii="Arial" w:hAnsi="Arial" w:cs="Arial"/>
        </w:rPr>
        <w:t>)</w:t>
      </w:r>
      <w:r w:rsidR="002C4260">
        <w:rPr>
          <w:rFonts w:ascii="Arial" w:hAnsi="Arial" w:cs="Arial"/>
        </w:rPr>
        <w:t xml:space="preserve">’, </w:t>
      </w:r>
      <w:r w:rsidR="002C4260" w:rsidRPr="002C4260">
        <w:rPr>
          <w:rFonts w:ascii="Arial" w:hAnsi="Arial" w:cs="Arial"/>
          <w:i/>
          <w:iCs/>
        </w:rPr>
        <w:t xml:space="preserve">Revue </w:t>
      </w:r>
      <w:r w:rsidR="002C4260">
        <w:rPr>
          <w:rFonts w:ascii="Arial" w:hAnsi="Arial" w:cs="Arial"/>
          <w:i/>
          <w:iCs/>
        </w:rPr>
        <w:t>s</w:t>
      </w:r>
      <w:r w:rsidR="002C4260" w:rsidRPr="002C4260">
        <w:rPr>
          <w:rFonts w:ascii="Arial" w:hAnsi="Arial" w:cs="Arial"/>
          <w:i/>
          <w:iCs/>
        </w:rPr>
        <w:t xml:space="preserve">émitique </w:t>
      </w:r>
      <w:r w:rsidR="002C4260">
        <w:rPr>
          <w:rFonts w:ascii="Arial" w:hAnsi="Arial" w:cs="Arial"/>
        </w:rPr>
        <w:t>6</w:t>
      </w:r>
      <w:r w:rsidR="002C4260" w:rsidRPr="002C4260">
        <w:rPr>
          <w:rFonts w:ascii="Arial" w:hAnsi="Arial" w:cs="Arial"/>
        </w:rPr>
        <w:t xml:space="preserve"> (189</w:t>
      </w:r>
      <w:r w:rsidR="002C4260">
        <w:rPr>
          <w:rFonts w:ascii="Arial" w:hAnsi="Arial" w:cs="Arial"/>
        </w:rPr>
        <w:t>8</w:t>
      </w:r>
      <w:r w:rsidR="002C4260" w:rsidRPr="002C4260">
        <w:rPr>
          <w:rFonts w:ascii="Arial" w:hAnsi="Arial" w:cs="Arial"/>
        </w:rPr>
        <w:t>)</w:t>
      </w:r>
      <w:r w:rsidR="002C4260">
        <w:rPr>
          <w:rFonts w:ascii="Arial" w:hAnsi="Arial" w:cs="Arial"/>
        </w:rPr>
        <w:t>, 85</w:t>
      </w:r>
      <w:r w:rsidRPr="000F1EE3">
        <w:rPr>
          <w:rFonts w:ascii="Arial" w:hAnsi="Arial" w:cs="Arial"/>
        </w:rPr>
        <w:t xml:space="preserve">. While native sources referred to this epidemic as </w:t>
      </w:r>
      <w:r w:rsidRPr="000F1EE3">
        <w:rPr>
          <w:rFonts w:ascii="Arial" w:hAnsi="Arial" w:cs="Arial"/>
          <w:i/>
          <w:iCs/>
        </w:rPr>
        <w:t>f</w:t>
      </w:r>
      <w:r w:rsidR="00EE02E6">
        <w:rPr>
          <w:rFonts w:ascii="Arial" w:hAnsi="Arial" w:cs="Arial"/>
          <w:i/>
          <w:iCs/>
        </w:rPr>
        <w:t>a</w:t>
      </w:r>
      <w:r w:rsidRPr="000F1EE3">
        <w:rPr>
          <w:rFonts w:ascii="Arial" w:hAnsi="Arial" w:cs="Arial"/>
          <w:i/>
          <w:iCs/>
        </w:rPr>
        <w:t>ng</w:t>
      </w:r>
      <w:r w:rsidR="00EE02E6">
        <w:rPr>
          <w:rFonts w:ascii="Arial" w:hAnsi="Arial" w:cs="Arial"/>
          <w:i/>
          <w:iCs/>
        </w:rPr>
        <w:t>a</w:t>
      </w:r>
      <w:r w:rsidRPr="000F1EE3">
        <w:rPr>
          <w:rFonts w:ascii="Arial" w:hAnsi="Arial" w:cs="Arial"/>
          <w:i/>
          <w:iCs/>
        </w:rPr>
        <w:t>l</w:t>
      </w:r>
      <w:r w:rsidRPr="000F1EE3">
        <w:rPr>
          <w:rFonts w:ascii="Arial" w:hAnsi="Arial" w:cs="Arial"/>
        </w:rPr>
        <w:t xml:space="preserve">, </w:t>
      </w:r>
      <w:r w:rsidR="00D1133B">
        <w:rPr>
          <w:rFonts w:ascii="Arial" w:hAnsi="Arial" w:cs="Arial"/>
        </w:rPr>
        <w:t>an</w:t>
      </w:r>
      <w:r w:rsidRPr="000F1EE3">
        <w:rPr>
          <w:rFonts w:ascii="Arial" w:hAnsi="Arial" w:cs="Arial"/>
        </w:rPr>
        <w:t xml:space="preserve"> Italian account called it ‘</w:t>
      </w:r>
      <w:r w:rsidR="004C7F28">
        <w:rPr>
          <w:rFonts w:ascii="Arial" w:hAnsi="Arial" w:cs="Arial"/>
        </w:rPr>
        <w:t>pestilenza</w:t>
      </w:r>
      <w:r w:rsidRPr="000F1EE3">
        <w:rPr>
          <w:rFonts w:ascii="Arial" w:hAnsi="Arial" w:cs="Arial"/>
        </w:rPr>
        <w:t>’ – a generic term usually denoting plague</w:t>
      </w:r>
      <w:r w:rsidR="005C02D6">
        <w:rPr>
          <w:rFonts w:ascii="Arial" w:hAnsi="Arial" w:cs="Arial"/>
        </w:rPr>
        <w:t>, in the context of the 17</w:t>
      </w:r>
      <w:r w:rsidR="005C02D6" w:rsidRPr="007F0209">
        <w:rPr>
          <w:rFonts w:ascii="Arial" w:hAnsi="Arial" w:cs="Arial"/>
          <w:vertAlign w:val="superscript"/>
        </w:rPr>
        <w:t>th</w:t>
      </w:r>
      <w:r w:rsidR="005C02D6">
        <w:rPr>
          <w:rFonts w:ascii="Arial" w:hAnsi="Arial" w:cs="Arial"/>
        </w:rPr>
        <w:t xml:space="preserve"> century</w:t>
      </w:r>
      <w:r w:rsidRPr="000F1EE3">
        <w:rPr>
          <w:rFonts w:ascii="Arial" w:hAnsi="Arial" w:cs="Arial"/>
        </w:rPr>
        <w:t>.</w:t>
      </w:r>
      <w:r w:rsidRPr="000F1EE3">
        <w:rPr>
          <w:rFonts w:ascii="Arial" w:hAnsi="Arial" w:cs="Arial"/>
          <w:i/>
          <w:iCs/>
        </w:rPr>
        <w:t xml:space="preserve"> </w:t>
      </w:r>
      <w:r w:rsidRPr="000F1EE3">
        <w:rPr>
          <w:rFonts w:ascii="Arial" w:hAnsi="Arial" w:cs="Arial"/>
        </w:rPr>
        <w:t xml:space="preserve">  </w:t>
      </w:r>
    </w:p>
  </w:footnote>
  <w:footnote w:id="5">
    <w:p w14:paraId="45A58F30" w14:textId="7F749A7A" w:rsidR="00765D42" w:rsidRPr="000F1EE3" w:rsidRDefault="00765D42" w:rsidP="00765D42">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See SI Table 1 for details and references.</w:t>
      </w:r>
    </w:p>
  </w:footnote>
  <w:footnote w:id="6">
    <w:p w14:paraId="6433117C" w14:textId="16BE3433" w:rsidR="001260AF" w:rsidRPr="000F1EE3" w:rsidRDefault="001260AF" w:rsidP="001260AF">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For the outbreaks in Egypt, see Venice, Archivio di Stato, Provveditori e sopraprovveditori alla sanità della, Vol. 12, fol. 76 and Chava Turniansky, </w:t>
      </w:r>
      <w:r w:rsidR="0067072E">
        <w:rPr>
          <w:rFonts w:ascii="Arial" w:hAnsi="Arial" w:cs="Arial"/>
        </w:rPr>
        <w:t>‘</w:t>
      </w:r>
      <w:r w:rsidRPr="000F1EE3">
        <w:rPr>
          <w:rFonts w:ascii="Arial" w:hAnsi="Arial" w:cs="Arial"/>
        </w:rPr>
        <w:t>Tsror Igrot be-Yiddish mi-Yerushalayim mi-Shnot ha-Shishim Shel ha-Meah ha-Shesh 'Esreh</w:t>
      </w:r>
      <w:r w:rsidR="0067072E">
        <w:rPr>
          <w:rFonts w:ascii="Arial" w:hAnsi="Arial" w:cs="Arial"/>
        </w:rPr>
        <w:t>’</w:t>
      </w:r>
      <w:r w:rsidRPr="000F1EE3">
        <w:rPr>
          <w:rFonts w:ascii="Arial" w:hAnsi="Arial" w:cs="Arial"/>
        </w:rPr>
        <w:t xml:space="preserve">. </w:t>
      </w:r>
      <w:r w:rsidRPr="000F1EE3">
        <w:rPr>
          <w:rFonts w:ascii="Arial" w:hAnsi="Arial" w:cs="Arial"/>
          <w:i/>
          <w:iCs/>
        </w:rPr>
        <w:t xml:space="preserve">Shalem </w:t>
      </w:r>
      <w:r w:rsidRPr="000F1EE3">
        <w:rPr>
          <w:rFonts w:ascii="Arial" w:hAnsi="Arial" w:cs="Arial"/>
        </w:rPr>
        <w:t>4 (1984)</w:t>
      </w:r>
      <w:r w:rsidR="0067072E">
        <w:rPr>
          <w:rFonts w:ascii="Arial" w:hAnsi="Arial" w:cs="Arial"/>
        </w:rPr>
        <w:t>: 149-210</w:t>
      </w:r>
      <w:r w:rsidRPr="000F1EE3">
        <w:rPr>
          <w:rFonts w:ascii="Arial" w:hAnsi="Arial" w:cs="Arial"/>
        </w:rPr>
        <w:t xml:space="preserve">; Nükhet Varlık, </w:t>
      </w:r>
      <w:r w:rsidRPr="000F1EE3">
        <w:rPr>
          <w:rFonts w:ascii="Arial" w:hAnsi="Arial" w:cs="Arial"/>
          <w:i/>
          <w:iCs/>
        </w:rPr>
        <w:t>Plague and Empire in the Early Modern Mediterranean World. The Ottoman Experience, 1347–1600</w:t>
      </w:r>
      <w:r w:rsidRPr="000F1EE3">
        <w:rPr>
          <w:rFonts w:ascii="Arial" w:hAnsi="Arial" w:cs="Arial"/>
        </w:rPr>
        <w:t xml:space="preserve"> (Cambridge University Press, 2015), 198; Yaron Ayalon, </w:t>
      </w:r>
      <w:r w:rsidRPr="000F1EE3">
        <w:rPr>
          <w:rFonts w:ascii="Arial" w:hAnsi="Arial" w:cs="Arial"/>
          <w:i/>
          <w:iCs/>
        </w:rPr>
        <w:t>Natural Disasters in the Ottoman Empire. Plague, Famine, and Other Misfortunes</w:t>
      </w:r>
      <w:r w:rsidRPr="000F1EE3">
        <w:rPr>
          <w:rFonts w:ascii="Arial" w:hAnsi="Arial" w:cs="Arial"/>
        </w:rPr>
        <w:t xml:space="preserve"> (Cambridge University Press, 2014), 84</w:t>
      </w:r>
      <w:r w:rsidR="004E55FF">
        <w:rPr>
          <w:rFonts w:ascii="Arial" w:hAnsi="Arial" w:cs="Arial"/>
        </w:rPr>
        <w:t>.</w:t>
      </w:r>
    </w:p>
  </w:footnote>
  <w:footnote w:id="7">
    <w:p w14:paraId="0FEACEF6" w14:textId="19E54107" w:rsidR="001260AF" w:rsidRPr="000F1EE3" w:rsidRDefault="001260AF" w:rsidP="001260AF">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See Pankhurst, </w:t>
      </w:r>
      <w:r w:rsidRPr="000F1EE3">
        <w:rPr>
          <w:rFonts w:ascii="Arial" w:hAnsi="Arial" w:cs="Arial"/>
          <w:i/>
          <w:iCs/>
        </w:rPr>
        <w:t>History of Famine and Epidemics</w:t>
      </w:r>
      <w:r w:rsidRPr="000F1EE3">
        <w:rPr>
          <w:rFonts w:ascii="Arial" w:hAnsi="Arial" w:cs="Arial"/>
        </w:rPr>
        <w:t>, 30 on</w:t>
      </w:r>
      <w:r w:rsidR="004656B0">
        <w:rPr>
          <w:rFonts w:ascii="Arial" w:hAnsi="Arial" w:cs="Arial"/>
        </w:rPr>
        <w:t>.</w:t>
      </w:r>
    </w:p>
  </w:footnote>
  <w:footnote w:id="8">
    <w:p w14:paraId="726FB007" w14:textId="22E9FEB2" w:rsidR="007B604E" w:rsidRPr="000F1EE3" w:rsidRDefault="007B604E" w:rsidP="007B604E">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Richard Pankhurst, </w:t>
      </w:r>
      <w:r w:rsidR="00EE02E6">
        <w:rPr>
          <w:rFonts w:ascii="Arial" w:hAnsi="Arial" w:cs="Arial"/>
        </w:rPr>
        <w:t>‘</w:t>
      </w:r>
      <w:r w:rsidRPr="000F1EE3">
        <w:rPr>
          <w:rFonts w:ascii="Arial" w:hAnsi="Arial" w:cs="Arial"/>
        </w:rPr>
        <w:t>The History of Bareya, S̆anqella and Other Ethiopian Slaves from the Borderlands of the Sudan</w:t>
      </w:r>
      <w:r w:rsidR="00EE02E6">
        <w:rPr>
          <w:rFonts w:ascii="Arial" w:hAnsi="Arial" w:cs="Arial"/>
        </w:rPr>
        <w:t>’</w:t>
      </w:r>
      <w:r w:rsidRPr="000F1EE3">
        <w:rPr>
          <w:rFonts w:ascii="Arial" w:hAnsi="Arial" w:cs="Arial"/>
        </w:rPr>
        <w:t xml:space="preserve">. </w:t>
      </w:r>
      <w:r w:rsidRPr="000F1EE3">
        <w:rPr>
          <w:rFonts w:ascii="Arial" w:hAnsi="Arial" w:cs="Arial"/>
          <w:i/>
          <w:iCs/>
        </w:rPr>
        <w:t xml:space="preserve">Sudan Notes and Records </w:t>
      </w:r>
      <w:r w:rsidRPr="000F1EE3">
        <w:rPr>
          <w:rFonts w:ascii="Arial" w:hAnsi="Arial" w:cs="Arial"/>
        </w:rPr>
        <w:t>58 (1977): 1-43; Ayda</w:t>
      </w:r>
      <w:r w:rsidR="003242F9">
        <w:rPr>
          <w:rFonts w:ascii="Arial" w:hAnsi="Arial" w:cs="Arial"/>
        </w:rPr>
        <w:t xml:space="preserve"> </w:t>
      </w:r>
      <w:r w:rsidR="003242F9" w:rsidRPr="000F1EE3">
        <w:rPr>
          <w:rFonts w:ascii="Arial" w:hAnsi="Arial" w:cs="Arial"/>
        </w:rPr>
        <w:t>Bouanga,</w:t>
      </w:r>
      <w:r w:rsidRPr="000F1EE3">
        <w:rPr>
          <w:rFonts w:ascii="Arial" w:hAnsi="Arial" w:cs="Arial"/>
        </w:rPr>
        <w:t xml:space="preserve"> </w:t>
      </w:r>
      <w:r w:rsidR="003242F9">
        <w:rPr>
          <w:rFonts w:ascii="Arial" w:hAnsi="Arial" w:cs="Arial"/>
        </w:rPr>
        <w:t>‘</w:t>
      </w:r>
      <w:r w:rsidRPr="000F1EE3">
        <w:rPr>
          <w:rFonts w:ascii="Arial" w:hAnsi="Arial" w:cs="Arial"/>
        </w:rPr>
        <w:t>Gold, Slaves, and Trading Routes in Southern Blue Nile (Abbay) Societies, Ethiopia, 13th–16</w:t>
      </w:r>
      <w:r w:rsidRPr="000F1EE3">
        <w:rPr>
          <w:rFonts w:ascii="Arial" w:hAnsi="Arial" w:cs="Arial"/>
          <w:vertAlign w:val="superscript"/>
        </w:rPr>
        <w:t>th</w:t>
      </w:r>
      <w:r w:rsidRPr="000F1EE3">
        <w:rPr>
          <w:rFonts w:ascii="Arial" w:hAnsi="Arial" w:cs="Arial"/>
        </w:rPr>
        <w:t xml:space="preserve"> centuries</w:t>
      </w:r>
      <w:r w:rsidR="003242F9">
        <w:rPr>
          <w:rFonts w:ascii="Arial" w:hAnsi="Arial" w:cs="Arial"/>
        </w:rPr>
        <w:t>’,</w:t>
      </w:r>
      <w:r w:rsidRPr="000F1EE3">
        <w:rPr>
          <w:rFonts w:ascii="Arial" w:hAnsi="Arial" w:cs="Arial"/>
        </w:rPr>
        <w:t xml:space="preserve"> </w:t>
      </w:r>
      <w:r w:rsidRPr="000F1EE3">
        <w:rPr>
          <w:rFonts w:ascii="Arial" w:hAnsi="Arial" w:cs="Arial"/>
          <w:i/>
          <w:iCs/>
        </w:rPr>
        <w:t xml:space="preserve">Northeast African Studies </w:t>
      </w:r>
      <w:r w:rsidRPr="000F1EE3">
        <w:rPr>
          <w:rFonts w:ascii="Arial" w:hAnsi="Arial" w:cs="Arial"/>
        </w:rPr>
        <w:t>17, no. 2 (2017): 31-60</w:t>
      </w:r>
      <w:r w:rsidR="00FE5BA6">
        <w:rPr>
          <w:rFonts w:ascii="Arial" w:hAnsi="Arial" w:cs="Arial"/>
        </w:rPr>
        <w:t>.</w:t>
      </w:r>
    </w:p>
  </w:footnote>
  <w:footnote w:id="9">
    <w:p w14:paraId="3AD0FA0F" w14:textId="1EFEBD05" w:rsidR="007B604E" w:rsidRPr="000F1EE3" w:rsidRDefault="007B604E" w:rsidP="007B604E">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1E2987" w:rsidRPr="001E2987">
        <w:rPr>
          <w:rFonts w:ascii="Arial" w:hAnsi="Arial" w:cs="Arial"/>
        </w:rPr>
        <w:t>Richard</w:t>
      </w:r>
      <w:r w:rsidR="001E2987">
        <w:rPr>
          <w:rFonts w:ascii="Arial" w:hAnsi="Arial" w:cs="Arial"/>
        </w:rPr>
        <w:t xml:space="preserve"> </w:t>
      </w:r>
      <w:r w:rsidR="001E2987" w:rsidRPr="001E2987">
        <w:rPr>
          <w:rFonts w:ascii="Arial" w:hAnsi="Arial" w:cs="Arial"/>
        </w:rPr>
        <w:t xml:space="preserve">Pankhurst, </w:t>
      </w:r>
      <w:r w:rsidR="001E2987" w:rsidRPr="001E2987">
        <w:rPr>
          <w:rFonts w:ascii="Arial" w:hAnsi="Arial" w:cs="Arial"/>
          <w:i/>
          <w:iCs/>
        </w:rPr>
        <w:t>History of Ethiopian Towns</w:t>
      </w:r>
      <w:r w:rsidR="001E2987">
        <w:rPr>
          <w:rFonts w:ascii="Arial" w:hAnsi="Arial" w:cs="Arial"/>
          <w:i/>
          <w:iCs/>
        </w:rPr>
        <w:t xml:space="preserve"> (</w:t>
      </w:r>
      <w:r w:rsidR="001E2987" w:rsidRPr="001E2987">
        <w:rPr>
          <w:rFonts w:ascii="Arial" w:hAnsi="Arial" w:cs="Arial"/>
        </w:rPr>
        <w:t>Franz Steiner Verlag, 1982</w:t>
      </w:r>
      <w:r w:rsidR="001E2987">
        <w:rPr>
          <w:rFonts w:ascii="Arial" w:hAnsi="Arial" w:cs="Arial"/>
        </w:rPr>
        <w:t>)</w:t>
      </w:r>
      <w:r w:rsidR="009E7E2C">
        <w:rPr>
          <w:rFonts w:ascii="Arial" w:hAnsi="Arial" w:cs="Arial"/>
        </w:rPr>
        <w:t xml:space="preserve">, </w:t>
      </w:r>
      <w:r w:rsidRPr="000F1EE3">
        <w:rPr>
          <w:rFonts w:ascii="Arial" w:hAnsi="Arial" w:cs="Arial"/>
        </w:rPr>
        <w:t>37</w:t>
      </w:r>
      <w:r w:rsidR="00BD0DAC">
        <w:rPr>
          <w:rFonts w:ascii="Arial" w:hAnsi="Arial" w:cs="Arial"/>
        </w:rPr>
        <w:t>.</w:t>
      </w:r>
    </w:p>
  </w:footnote>
  <w:footnote w:id="10">
    <w:p w14:paraId="48185951" w14:textId="5A026A9F" w:rsidR="007B604E" w:rsidRPr="000F1EE3" w:rsidRDefault="007B604E" w:rsidP="007B604E">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Taddesse Tamrat, </w:t>
      </w:r>
      <w:r w:rsidRPr="000F1EE3">
        <w:rPr>
          <w:rFonts w:ascii="Arial" w:hAnsi="Arial" w:cs="Arial"/>
          <w:i/>
          <w:iCs/>
        </w:rPr>
        <w:t>Church and State in Ethiopia, 1270-1527</w:t>
      </w:r>
      <w:r w:rsidRPr="000F1EE3">
        <w:rPr>
          <w:rFonts w:ascii="Arial" w:hAnsi="Arial" w:cs="Arial"/>
        </w:rPr>
        <w:t xml:space="preserve"> (At the Clarendon Press, 1972</w:t>
      </w:r>
      <w:proofErr w:type="gramStart"/>
      <w:r w:rsidRPr="000F1EE3">
        <w:rPr>
          <w:rFonts w:ascii="Arial" w:hAnsi="Arial" w:cs="Arial"/>
        </w:rPr>
        <w:t>),  81</w:t>
      </w:r>
      <w:proofErr w:type="gramEnd"/>
      <w:r w:rsidRPr="000F1EE3">
        <w:rPr>
          <w:rFonts w:ascii="Arial" w:hAnsi="Arial" w:cs="Arial"/>
        </w:rPr>
        <w:t xml:space="preserve"> (Map 3)</w:t>
      </w:r>
      <w:r w:rsidR="00BD0DAC">
        <w:rPr>
          <w:rFonts w:ascii="Arial" w:hAnsi="Arial" w:cs="Arial"/>
        </w:rPr>
        <w:t>.</w:t>
      </w:r>
    </w:p>
  </w:footnote>
  <w:footnote w:id="11">
    <w:p w14:paraId="3A9BC119" w14:textId="75E6DA9C" w:rsidR="007B604E" w:rsidRPr="000F1EE3" w:rsidRDefault="007B604E" w:rsidP="007B604E">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Ole J. Benedictow, </w:t>
      </w:r>
      <w:r w:rsidRPr="000F1EE3">
        <w:rPr>
          <w:rFonts w:ascii="Arial" w:hAnsi="Arial" w:cs="Arial"/>
          <w:i/>
          <w:iCs/>
        </w:rPr>
        <w:t>The Complete History of the Black Death</w:t>
      </w:r>
      <w:r w:rsidRPr="000F1EE3">
        <w:rPr>
          <w:rFonts w:ascii="Arial" w:hAnsi="Arial" w:cs="Arial"/>
        </w:rPr>
        <w:t xml:space="preserve"> (Boydell Press, 2021</w:t>
      </w:r>
      <w:proofErr w:type="gramStart"/>
      <w:r w:rsidRPr="000F1EE3">
        <w:rPr>
          <w:rFonts w:ascii="Arial" w:hAnsi="Arial" w:cs="Arial"/>
        </w:rPr>
        <w:t>),  114</w:t>
      </w:r>
      <w:proofErr w:type="gramEnd"/>
      <w:r w:rsidR="00FF6CEC">
        <w:rPr>
          <w:rFonts w:ascii="Arial" w:hAnsi="Arial" w:cs="Arial"/>
        </w:rPr>
        <w:t>.</w:t>
      </w:r>
    </w:p>
  </w:footnote>
  <w:footnote w:id="12">
    <w:p w14:paraId="21ECDE6A" w14:textId="377A4253" w:rsidR="007B604E" w:rsidRPr="000F1EE3" w:rsidRDefault="007B604E" w:rsidP="007B604E">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2D4A97" w:rsidRPr="00AB5E41">
        <w:rPr>
          <w:rFonts w:ascii="Arial" w:hAnsi="Arial" w:cs="Arial"/>
        </w:rPr>
        <w:t>ʿAlī al-Akwāʾ</w:t>
      </w:r>
      <w:r w:rsidR="002D4A97">
        <w:rPr>
          <w:rFonts w:ascii="Arial" w:hAnsi="Arial" w:cs="Arial"/>
        </w:rPr>
        <w:t>, ed.,</w:t>
      </w:r>
      <w:r w:rsidR="002D4A97" w:rsidRPr="00AB5E41">
        <w:rPr>
          <w:rFonts w:ascii="Arial" w:hAnsi="Arial" w:cs="Arial"/>
        </w:rPr>
        <w:t xml:space="preserve"> </w:t>
      </w:r>
      <w:r w:rsidR="002D4A97" w:rsidRPr="00AB5E41">
        <w:rPr>
          <w:rFonts w:ascii="Arial" w:hAnsi="Arial" w:cs="Arial"/>
          <w:i/>
          <w:iCs/>
        </w:rPr>
        <w:t>Ibn Al-Daybaʻ, Kitāb qurrat al-ʻuyūn bi-akhbār al-Yaman al-maymūn</w:t>
      </w:r>
      <w:r w:rsidR="002D4A97" w:rsidRPr="00AB5E41">
        <w:rPr>
          <w:rFonts w:ascii="Arial" w:hAnsi="Arial" w:cs="Arial"/>
        </w:rPr>
        <w:t>, Vol. 2</w:t>
      </w:r>
      <w:r w:rsidR="002D4A97">
        <w:rPr>
          <w:rFonts w:ascii="Arial" w:hAnsi="Arial" w:cs="Arial"/>
        </w:rPr>
        <w:t xml:space="preserve"> </w:t>
      </w:r>
      <w:r w:rsidR="002D4A97" w:rsidRPr="00AB5E41">
        <w:rPr>
          <w:rFonts w:ascii="Arial" w:hAnsi="Arial" w:cs="Arial"/>
        </w:rPr>
        <w:t>(Al-Maṭbaʻah al-Yamanīyah, 1977),</w:t>
      </w:r>
      <w:r w:rsidR="002D4A97">
        <w:rPr>
          <w:rFonts w:ascii="Arial" w:hAnsi="Arial" w:cs="Arial"/>
        </w:rPr>
        <w:t xml:space="preserve"> </w:t>
      </w:r>
      <w:r w:rsidRPr="000F1EE3">
        <w:rPr>
          <w:rFonts w:ascii="Arial" w:hAnsi="Arial" w:cs="Arial"/>
        </w:rPr>
        <w:t xml:space="preserve">141; </w:t>
      </w:r>
      <w:r w:rsidR="00E138D6" w:rsidRPr="00AB5E41">
        <w:rPr>
          <w:rFonts w:ascii="Arial" w:hAnsi="Arial" w:cs="Arial"/>
        </w:rPr>
        <w:t xml:space="preserve">Barbara Eileen Croken, </w:t>
      </w:r>
      <w:r w:rsidR="00E138D6">
        <w:rPr>
          <w:rFonts w:ascii="Arial" w:hAnsi="Arial" w:cs="Arial"/>
        </w:rPr>
        <w:t>‘</w:t>
      </w:r>
      <w:r w:rsidR="00E138D6" w:rsidRPr="009B2FC8">
        <w:rPr>
          <w:rFonts w:ascii="Arial" w:hAnsi="Arial" w:cs="Arial"/>
        </w:rPr>
        <w:t>Zabîd under the Rasûlids of Yemen, 626–858AH/1229–1454AD</w:t>
      </w:r>
      <w:r w:rsidR="00E138D6">
        <w:rPr>
          <w:rFonts w:ascii="Arial" w:hAnsi="Arial" w:cs="Arial"/>
        </w:rPr>
        <w:t>’</w:t>
      </w:r>
      <w:r w:rsidR="00E138D6" w:rsidRPr="00AB5E41">
        <w:rPr>
          <w:rFonts w:ascii="Arial" w:hAnsi="Arial" w:cs="Arial"/>
        </w:rPr>
        <w:t xml:space="preserve"> </w:t>
      </w:r>
      <w:r w:rsidR="00E138D6">
        <w:rPr>
          <w:rFonts w:ascii="Arial" w:hAnsi="Arial" w:cs="Arial"/>
        </w:rPr>
        <w:t>(</w:t>
      </w:r>
      <w:r w:rsidR="00E138D6" w:rsidRPr="00AB5E41">
        <w:rPr>
          <w:rFonts w:ascii="Arial" w:hAnsi="Arial" w:cs="Arial"/>
        </w:rPr>
        <w:t xml:space="preserve">PhD </w:t>
      </w:r>
      <w:r w:rsidR="00E138D6">
        <w:rPr>
          <w:rFonts w:ascii="Arial" w:hAnsi="Arial" w:cs="Arial"/>
        </w:rPr>
        <w:t xml:space="preserve">diss., </w:t>
      </w:r>
      <w:r w:rsidR="00E138D6" w:rsidRPr="00AB5E41">
        <w:rPr>
          <w:rFonts w:ascii="Arial" w:hAnsi="Arial" w:cs="Arial"/>
        </w:rPr>
        <w:t>Harvard University,1990</w:t>
      </w:r>
      <w:r w:rsidR="00E138D6">
        <w:rPr>
          <w:rFonts w:ascii="Arial" w:hAnsi="Arial" w:cs="Arial"/>
        </w:rPr>
        <w:t>)</w:t>
      </w:r>
      <w:r w:rsidR="00E138D6" w:rsidRPr="00AB5E41">
        <w:rPr>
          <w:rFonts w:ascii="Arial" w:hAnsi="Arial" w:cs="Arial"/>
        </w:rPr>
        <w:t xml:space="preserve">, </w:t>
      </w:r>
      <w:r w:rsidRPr="000F1EE3">
        <w:rPr>
          <w:rFonts w:ascii="Arial" w:hAnsi="Arial" w:cs="Arial"/>
        </w:rPr>
        <w:t>200</w:t>
      </w:r>
      <w:r w:rsidR="00FF6CEC">
        <w:rPr>
          <w:rFonts w:ascii="Arial" w:hAnsi="Arial" w:cs="Arial"/>
        </w:rPr>
        <w:t>.</w:t>
      </w:r>
    </w:p>
  </w:footnote>
  <w:footnote w:id="13">
    <w:p w14:paraId="3F52B2F0" w14:textId="560B4368" w:rsidR="0084512F" w:rsidRPr="000F1EE3" w:rsidRDefault="0084512F" w:rsidP="0084512F">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Ibrāhīm ibn Aḥmad al-Maqḥafī, ed., </w:t>
      </w:r>
      <w:r w:rsidRPr="000F1EE3">
        <w:rPr>
          <w:rFonts w:ascii="Arial" w:hAnsi="Arial" w:cs="Arial"/>
          <w:i/>
          <w:iCs/>
        </w:rPr>
        <w:t>ʿĪsā Ibn Luṭfallāh, Rawḥ al-Rūḥ fī Mā Ḥadatha Baʿd al-Miʾa al-Tāsiʿa min al-Fitan wa-l-Futūḥ</w:t>
      </w:r>
      <w:r w:rsidRPr="000F1EE3">
        <w:rPr>
          <w:rFonts w:ascii="Arial" w:hAnsi="Arial" w:cs="Arial"/>
        </w:rPr>
        <w:t xml:space="preserve"> (Markaz ʿAbbādī li-l-Dirāsāt wa-l-Nashr, 2003), 217; ‘Abd Allāh Muḥammad al-Ḥibshī, ed., </w:t>
      </w:r>
      <w:r w:rsidRPr="000F1EE3">
        <w:rPr>
          <w:rFonts w:ascii="Arial" w:hAnsi="Arial" w:cs="Arial"/>
          <w:i/>
          <w:iCs/>
        </w:rPr>
        <w:t>Bā Faqīh, Muḥammad B. ‘Umar al-Ṭayyib. Tārīkh al-Shiḥr wa-Akhbār al-Qarn al-‘Āshir</w:t>
      </w:r>
      <w:r w:rsidRPr="000F1EE3">
        <w:rPr>
          <w:rFonts w:ascii="Arial" w:hAnsi="Arial" w:cs="Arial"/>
        </w:rPr>
        <w:t xml:space="preserve"> (Maktabat al-Irshād, 1999), 183-4; R.B. Serjeant, </w:t>
      </w:r>
      <w:r w:rsidR="00DE07D4">
        <w:rPr>
          <w:rFonts w:ascii="Arial" w:hAnsi="Arial" w:cs="Arial"/>
        </w:rPr>
        <w:t>‘</w:t>
      </w:r>
      <w:r w:rsidRPr="000F1EE3">
        <w:rPr>
          <w:rFonts w:ascii="Arial" w:hAnsi="Arial" w:cs="Arial"/>
        </w:rPr>
        <w:t>The Post-Medieval and Modern History of Ṣanʻāʼ and the Yemen, ca. 953-1382/1515-1962</w:t>
      </w:r>
      <w:r w:rsidR="00DE07D4">
        <w:rPr>
          <w:rFonts w:ascii="Arial" w:hAnsi="Arial" w:cs="Arial"/>
        </w:rPr>
        <w:t>’,</w:t>
      </w:r>
      <w:r w:rsidRPr="000F1EE3">
        <w:rPr>
          <w:rFonts w:ascii="Arial" w:hAnsi="Arial" w:cs="Arial"/>
        </w:rPr>
        <w:t xml:space="preserve"> In R.B Serjeant and Ronald Lewcock, eds., </w:t>
      </w:r>
      <w:r w:rsidRPr="000F1EE3">
        <w:rPr>
          <w:rFonts w:ascii="Arial" w:hAnsi="Arial" w:cs="Arial"/>
          <w:i/>
          <w:iCs/>
        </w:rPr>
        <w:t>Ṣanʻāʼ: An Arabian Islamic City</w:t>
      </w:r>
      <w:r w:rsidRPr="000F1EE3">
        <w:rPr>
          <w:rFonts w:ascii="Arial" w:hAnsi="Arial" w:cs="Arial"/>
        </w:rPr>
        <w:t xml:space="preserve"> (Penhurst Press, 1983), p. 69; </w:t>
      </w:r>
      <w:r w:rsidR="00DE07D4" w:rsidRPr="000F1EE3">
        <w:rPr>
          <w:rFonts w:ascii="Arial" w:hAnsi="Arial" w:cs="Arial"/>
        </w:rPr>
        <w:t>Sayyid ‘Abd al-Fattāḥ ‘Ashūr</w:t>
      </w:r>
      <w:r w:rsidR="00DE07D4">
        <w:rPr>
          <w:rFonts w:ascii="Arial" w:hAnsi="Arial" w:cs="Arial"/>
        </w:rPr>
        <w:t>, ed.,</w:t>
      </w:r>
      <w:r w:rsidR="00DE07D4" w:rsidRPr="000F1EE3">
        <w:rPr>
          <w:rFonts w:ascii="Arial" w:hAnsi="Arial" w:cs="Arial"/>
          <w:i/>
          <w:iCs/>
        </w:rPr>
        <w:t xml:space="preserve"> </w:t>
      </w:r>
      <w:r w:rsidRPr="000F1EE3">
        <w:rPr>
          <w:rFonts w:ascii="Arial" w:hAnsi="Arial" w:cs="Arial"/>
          <w:i/>
          <w:iCs/>
        </w:rPr>
        <w:t>Yaḥyā ibn al-Ḥusayn, Ghāyat al-Amānī fī Akhbār al-Qutr al-Yamanī</w:t>
      </w:r>
      <w:r w:rsidRPr="000F1EE3">
        <w:rPr>
          <w:rFonts w:ascii="Arial" w:hAnsi="Arial" w:cs="Arial"/>
        </w:rPr>
        <w:t>Vol. 2 (Dār al-Kātib al</w:t>
      </w:r>
      <w:proofErr w:type="gramStart"/>
      <w:r w:rsidRPr="000F1EE3">
        <w:rPr>
          <w:rFonts w:ascii="Arial" w:hAnsi="Arial" w:cs="Arial"/>
        </w:rPr>
        <w:t>-‘</w:t>
      </w:r>
      <w:proofErr w:type="gramEnd"/>
      <w:r w:rsidRPr="000F1EE3">
        <w:rPr>
          <w:rFonts w:ascii="Arial" w:hAnsi="Arial" w:cs="Arial"/>
        </w:rPr>
        <w:t>Arabī, 1968),</w:t>
      </w:r>
      <w:r w:rsidRPr="000F1EE3">
        <w:rPr>
          <w:rFonts w:ascii="Arial" w:hAnsi="Arial" w:cs="Arial"/>
          <w:i/>
          <w:iCs/>
        </w:rPr>
        <w:t xml:space="preserve"> </w:t>
      </w:r>
      <w:r w:rsidRPr="000F1EE3">
        <w:rPr>
          <w:rFonts w:ascii="Arial" w:hAnsi="Arial" w:cs="Arial"/>
        </w:rPr>
        <w:t>669-70</w:t>
      </w:r>
      <w:r w:rsidR="002C4801">
        <w:rPr>
          <w:rFonts w:ascii="Arial" w:hAnsi="Arial" w:cs="Arial"/>
        </w:rPr>
        <w:t>.</w:t>
      </w:r>
    </w:p>
  </w:footnote>
  <w:footnote w:id="14">
    <w:p w14:paraId="4299F827" w14:textId="66BBC8DF" w:rsidR="00603DEB" w:rsidRPr="000F1EE3" w:rsidRDefault="00603DEB" w:rsidP="00603DEB">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For references, see SI Table 1.</w:t>
      </w:r>
    </w:p>
  </w:footnote>
  <w:footnote w:id="15">
    <w:p w14:paraId="6B269F52" w14:textId="7B1F17B9" w:rsidR="00603DEB" w:rsidRPr="000F1EE3" w:rsidRDefault="00603DEB" w:rsidP="00603DEB">
      <w:pPr>
        <w:pStyle w:val="FootnoteText"/>
        <w:rPr>
          <w:rFonts w:ascii="Arial" w:hAnsi="Arial" w:cs="Arial"/>
        </w:rPr>
      </w:pPr>
      <w:r w:rsidRPr="000F1EE3">
        <w:rPr>
          <w:rStyle w:val="FootnoteReference"/>
          <w:rFonts w:ascii="Arial" w:hAnsi="Arial" w:cs="Arial"/>
        </w:rPr>
        <w:footnoteRef/>
      </w:r>
      <w:r w:rsidR="007167BC">
        <w:rPr>
          <w:rFonts w:ascii="Arial" w:hAnsi="Arial" w:cs="Arial"/>
        </w:rPr>
        <w:t xml:space="preserve"> </w:t>
      </w:r>
      <w:r w:rsidR="007167BC" w:rsidRPr="000F1EE3">
        <w:rPr>
          <w:rFonts w:ascii="Arial" w:hAnsi="Arial" w:cs="Arial"/>
          <w:i/>
          <w:iCs/>
        </w:rPr>
        <w:t>ʿĪsā ibn Luṭfallāh, Rawḥ al-Rūḥ</w:t>
      </w:r>
      <w:r w:rsidR="007167BC" w:rsidRPr="000F1EE3">
        <w:rPr>
          <w:rFonts w:ascii="Arial" w:hAnsi="Arial" w:cs="Arial"/>
        </w:rPr>
        <w:t>,</w:t>
      </w:r>
      <w:r w:rsidRPr="000F1EE3">
        <w:rPr>
          <w:rFonts w:ascii="Arial" w:hAnsi="Arial" w:cs="Arial"/>
        </w:rPr>
        <w:t xml:space="preserve"> 500</w:t>
      </w:r>
      <w:r w:rsidR="007167BC">
        <w:rPr>
          <w:rFonts w:ascii="Arial" w:hAnsi="Arial" w:cs="Arial"/>
        </w:rPr>
        <w:t>.</w:t>
      </w:r>
    </w:p>
  </w:footnote>
  <w:footnote w:id="16">
    <w:p w14:paraId="42BA770F" w14:textId="72DE1EF9" w:rsidR="00603DEB" w:rsidRPr="000F1EE3" w:rsidRDefault="00603DEB" w:rsidP="00603DEB">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Pr="000F1EE3">
        <w:rPr>
          <w:rFonts w:ascii="Arial" w:hAnsi="Arial" w:cs="Arial"/>
          <w:i/>
          <w:iCs/>
        </w:rPr>
        <w:t>ʿĪsā ibn Luṭfallāh, Rawḥ al-Rūḥ</w:t>
      </w:r>
      <w:r w:rsidRPr="000F1EE3">
        <w:rPr>
          <w:rFonts w:ascii="Arial" w:hAnsi="Arial" w:cs="Arial"/>
        </w:rPr>
        <w:t>, 242</w:t>
      </w:r>
      <w:r w:rsidR="007167BC">
        <w:rPr>
          <w:rFonts w:ascii="Arial" w:hAnsi="Arial" w:cs="Arial"/>
        </w:rPr>
        <w:t>.</w:t>
      </w:r>
    </w:p>
  </w:footnote>
  <w:footnote w:id="17">
    <w:p w14:paraId="7B0F5628" w14:textId="27844F7C" w:rsidR="00913E29" w:rsidRPr="000F1EE3" w:rsidRDefault="00913E29" w:rsidP="00913E29">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Pr="000F1EE3">
        <w:rPr>
          <w:rFonts w:ascii="Arial" w:hAnsi="Arial" w:cs="Arial"/>
          <w:i/>
          <w:iCs/>
        </w:rPr>
        <w:t>ʿĪsā ibn Luṭfallāh, Rawḥ al-Rūḥ</w:t>
      </w:r>
      <w:r w:rsidRPr="000F1EE3">
        <w:rPr>
          <w:rFonts w:ascii="Arial" w:hAnsi="Arial" w:cs="Arial"/>
        </w:rPr>
        <w:t xml:space="preserve">, 482; </w:t>
      </w:r>
      <w:r w:rsidR="00DB5025" w:rsidRPr="007F0209">
        <w:rPr>
          <w:rFonts w:ascii="Arial" w:hAnsi="Arial" w:cs="Arial"/>
        </w:rPr>
        <w:t>Sayyid ‘Abd al-Fattāḥ ‘Ashūr</w:t>
      </w:r>
      <w:r w:rsidR="00DB5025">
        <w:rPr>
          <w:rFonts w:ascii="Arial" w:hAnsi="Arial" w:cs="Arial"/>
        </w:rPr>
        <w:t>. ed.,</w:t>
      </w:r>
      <w:r w:rsidR="00DB5025" w:rsidRPr="00DB5025">
        <w:rPr>
          <w:rFonts w:ascii="Arial" w:hAnsi="Arial" w:cs="Arial"/>
          <w:i/>
          <w:iCs/>
        </w:rPr>
        <w:t xml:space="preserve"> Yaḥyā </w:t>
      </w:r>
      <w:r w:rsidR="00DB5025">
        <w:rPr>
          <w:rFonts w:ascii="Arial" w:hAnsi="Arial" w:cs="Arial"/>
          <w:i/>
          <w:iCs/>
        </w:rPr>
        <w:t>I</w:t>
      </w:r>
      <w:r w:rsidR="00DB5025" w:rsidRPr="00DB5025">
        <w:rPr>
          <w:rFonts w:ascii="Arial" w:hAnsi="Arial" w:cs="Arial"/>
          <w:i/>
          <w:iCs/>
        </w:rPr>
        <w:t xml:space="preserve">bn </w:t>
      </w:r>
      <w:r w:rsidR="00DB5025">
        <w:rPr>
          <w:rFonts w:ascii="Arial" w:hAnsi="Arial" w:cs="Arial"/>
          <w:i/>
          <w:iCs/>
        </w:rPr>
        <w:t>a</w:t>
      </w:r>
      <w:r w:rsidR="00DB5025" w:rsidRPr="00DB5025">
        <w:rPr>
          <w:rFonts w:ascii="Arial" w:hAnsi="Arial" w:cs="Arial"/>
          <w:i/>
          <w:iCs/>
        </w:rPr>
        <w:t xml:space="preserve">l-Ḥusayn: Ghāyat </w:t>
      </w:r>
      <w:r w:rsidR="00DB5025">
        <w:rPr>
          <w:rFonts w:ascii="Arial" w:hAnsi="Arial" w:cs="Arial"/>
          <w:i/>
          <w:iCs/>
        </w:rPr>
        <w:t>a</w:t>
      </w:r>
      <w:r w:rsidR="00DB5025" w:rsidRPr="00DB5025">
        <w:rPr>
          <w:rFonts w:ascii="Arial" w:hAnsi="Arial" w:cs="Arial"/>
          <w:i/>
          <w:iCs/>
        </w:rPr>
        <w:t xml:space="preserve">l-Amānī </w:t>
      </w:r>
      <w:r w:rsidR="00DB5025">
        <w:rPr>
          <w:rFonts w:ascii="Arial" w:hAnsi="Arial" w:cs="Arial"/>
          <w:i/>
          <w:iCs/>
        </w:rPr>
        <w:t>f</w:t>
      </w:r>
      <w:r w:rsidR="00DB5025" w:rsidRPr="00DB5025">
        <w:rPr>
          <w:rFonts w:ascii="Arial" w:hAnsi="Arial" w:cs="Arial"/>
          <w:i/>
          <w:iCs/>
        </w:rPr>
        <w:t xml:space="preserve">ī Akhbār </w:t>
      </w:r>
      <w:r w:rsidR="00DB5025">
        <w:rPr>
          <w:rFonts w:ascii="Arial" w:hAnsi="Arial" w:cs="Arial"/>
          <w:i/>
          <w:iCs/>
        </w:rPr>
        <w:t>a</w:t>
      </w:r>
      <w:r w:rsidR="00DB5025" w:rsidRPr="00DB5025">
        <w:rPr>
          <w:rFonts w:ascii="Arial" w:hAnsi="Arial" w:cs="Arial"/>
          <w:i/>
          <w:iCs/>
        </w:rPr>
        <w:t xml:space="preserve">l-Qutr </w:t>
      </w:r>
      <w:r w:rsidR="00DB5025">
        <w:rPr>
          <w:rFonts w:ascii="Arial" w:hAnsi="Arial" w:cs="Arial"/>
          <w:i/>
          <w:iCs/>
        </w:rPr>
        <w:t>a</w:t>
      </w:r>
      <w:r w:rsidR="00DB5025" w:rsidRPr="00DB5025">
        <w:rPr>
          <w:rFonts w:ascii="Arial" w:hAnsi="Arial" w:cs="Arial"/>
          <w:i/>
          <w:iCs/>
        </w:rPr>
        <w:t>l-Yamanī</w:t>
      </w:r>
      <w:r w:rsidR="00611162">
        <w:rPr>
          <w:rFonts w:ascii="Arial" w:hAnsi="Arial" w:cs="Arial"/>
        </w:rPr>
        <w:t>, Vol. 2</w:t>
      </w:r>
      <w:r w:rsidR="00DB5025">
        <w:rPr>
          <w:rFonts w:ascii="Arial" w:hAnsi="Arial" w:cs="Arial"/>
          <w:i/>
          <w:iCs/>
        </w:rPr>
        <w:t xml:space="preserve"> </w:t>
      </w:r>
      <w:r w:rsidR="00611162">
        <w:rPr>
          <w:rFonts w:ascii="Arial" w:hAnsi="Arial" w:cs="Arial"/>
        </w:rPr>
        <w:t>(</w:t>
      </w:r>
      <w:r w:rsidR="00DB5025" w:rsidRPr="007F0209">
        <w:rPr>
          <w:rFonts w:ascii="Arial" w:hAnsi="Arial" w:cs="Arial"/>
        </w:rPr>
        <w:t>Dār al-Kātib al</w:t>
      </w:r>
      <w:proofErr w:type="gramStart"/>
      <w:r w:rsidR="00DB5025" w:rsidRPr="007F0209">
        <w:rPr>
          <w:rFonts w:ascii="Arial" w:hAnsi="Arial" w:cs="Arial"/>
        </w:rPr>
        <w:t>-‘</w:t>
      </w:r>
      <w:proofErr w:type="gramEnd"/>
      <w:r w:rsidR="00DB5025" w:rsidRPr="007F0209">
        <w:rPr>
          <w:rFonts w:ascii="Arial" w:hAnsi="Arial" w:cs="Arial"/>
        </w:rPr>
        <w:t>Arabī, 1968</w:t>
      </w:r>
      <w:proofErr w:type="gramStart"/>
      <w:r w:rsidR="00611162">
        <w:rPr>
          <w:rFonts w:ascii="Arial" w:hAnsi="Arial" w:cs="Arial"/>
        </w:rPr>
        <w:t>)</w:t>
      </w:r>
      <w:r w:rsidR="00DB5025" w:rsidRPr="007F0209" w:rsidDel="00DB5025">
        <w:rPr>
          <w:rFonts w:ascii="Arial" w:hAnsi="Arial" w:cs="Arial"/>
        </w:rPr>
        <w:t xml:space="preserve"> </w:t>
      </w:r>
      <w:r w:rsidRPr="000F1EE3">
        <w:rPr>
          <w:rFonts w:ascii="Arial" w:hAnsi="Arial" w:cs="Arial"/>
        </w:rPr>
        <w:t xml:space="preserve"> 805</w:t>
      </w:r>
      <w:proofErr w:type="gramEnd"/>
      <w:r w:rsidRPr="000F1EE3">
        <w:rPr>
          <w:rFonts w:ascii="Arial" w:hAnsi="Arial" w:cs="Arial"/>
        </w:rPr>
        <w:t>-6</w:t>
      </w:r>
      <w:r w:rsidR="00611162">
        <w:rPr>
          <w:rFonts w:ascii="Arial" w:hAnsi="Arial" w:cs="Arial"/>
        </w:rPr>
        <w:t>.</w:t>
      </w:r>
    </w:p>
  </w:footnote>
  <w:footnote w:id="18">
    <w:p w14:paraId="240C38B0" w14:textId="29BD9805" w:rsidR="00642255" w:rsidRPr="000F1EE3" w:rsidRDefault="00642255" w:rsidP="00642255">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For references, see SI to this paper</w:t>
      </w:r>
      <w:r w:rsidR="003C0DCA">
        <w:rPr>
          <w:rFonts w:ascii="Arial" w:hAnsi="Arial" w:cs="Arial"/>
        </w:rPr>
        <w:t>.</w:t>
      </w:r>
      <w:r w:rsidRPr="000F1EE3">
        <w:rPr>
          <w:rFonts w:ascii="Arial" w:hAnsi="Arial" w:cs="Arial"/>
        </w:rPr>
        <w:t xml:space="preserve"> </w:t>
      </w:r>
    </w:p>
  </w:footnote>
  <w:footnote w:id="19">
    <w:p w14:paraId="45CF320E" w14:textId="2E9C9AA5" w:rsidR="00642255" w:rsidRPr="000F1EE3" w:rsidRDefault="00642255" w:rsidP="00642255">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F46361" w:rsidRPr="00AB5E41">
        <w:rPr>
          <w:rFonts w:ascii="Arial" w:hAnsi="Arial" w:cs="Arial"/>
        </w:rPr>
        <w:t>ʿAbd Allah Muḥammad al-Ḥabshī</w:t>
      </w:r>
      <w:r w:rsidR="00F46361">
        <w:rPr>
          <w:rFonts w:ascii="Arial" w:hAnsi="Arial" w:cs="Arial"/>
        </w:rPr>
        <w:t>, ed.,</w:t>
      </w:r>
      <w:r w:rsidR="00F46361" w:rsidRPr="00AB5E41">
        <w:rPr>
          <w:rFonts w:ascii="Arial" w:hAnsi="Arial" w:cs="Arial"/>
        </w:rPr>
        <w:t xml:space="preserve"> </w:t>
      </w:r>
      <w:r w:rsidR="00F46361" w:rsidRPr="00AB5E41">
        <w:rPr>
          <w:rFonts w:ascii="Arial" w:hAnsi="Arial" w:cs="Arial"/>
          <w:i/>
          <w:iCs/>
        </w:rPr>
        <w:t>Aḥmad b. ‘Abdullā Shanbal, Tārīkh Ḥaḍramawt</w:t>
      </w:r>
      <w:r w:rsidR="00F46361" w:rsidRPr="00AB5E41">
        <w:rPr>
          <w:rFonts w:ascii="Arial" w:hAnsi="Arial" w:cs="Arial"/>
        </w:rPr>
        <w:t>, (Maktabat Ṣanʿāʾ al-Athariyya, 1994</w:t>
      </w:r>
      <w:r w:rsidR="00F46361">
        <w:rPr>
          <w:rFonts w:ascii="Arial" w:hAnsi="Arial" w:cs="Arial"/>
        </w:rPr>
        <w:t xml:space="preserve">), </w:t>
      </w:r>
      <w:r w:rsidRPr="000F1EE3">
        <w:rPr>
          <w:rFonts w:ascii="Arial" w:hAnsi="Arial" w:cs="Arial"/>
        </w:rPr>
        <w:t>181 and 253</w:t>
      </w:r>
      <w:r w:rsidR="009E330C">
        <w:rPr>
          <w:rFonts w:ascii="Arial" w:hAnsi="Arial" w:cs="Arial"/>
        </w:rPr>
        <w:t>.</w:t>
      </w:r>
    </w:p>
  </w:footnote>
  <w:footnote w:id="20">
    <w:p w14:paraId="0549C552" w14:textId="107CC8E7" w:rsidR="004D113A" w:rsidRPr="000F1EE3" w:rsidRDefault="004D113A" w:rsidP="004D113A">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Radcliffe suggested the plague was introduced to ʿAsīr by the Egyptian army (in 1816, rather than 1815): Netten Radcliffe, </w:t>
      </w:r>
      <w:r w:rsidRPr="000F1EE3">
        <w:rPr>
          <w:rFonts w:ascii="Arial" w:hAnsi="Arial" w:cs="Arial"/>
          <w:i/>
          <w:iCs/>
        </w:rPr>
        <w:t>Papers Relating to the Modern History and Recent Progress of Levantine Plague.</w:t>
      </w:r>
      <w:r w:rsidRPr="000F1EE3">
        <w:rPr>
          <w:rFonts w:ascii="Arial" w:hAnsi="Arial" w:cs="Arial"/>
        </w:rPr>
        <w:t xml:space="preserve"> (George Edward Eyre and William Spottiswoode, 1879), 3 and 17. See also M. Bahmanyar, </w:t>
      </w:r>
      <w:r w:rsidR="00C94C74">
        <w:rPr>
          <w:rFonts w:ascii="Arial" w:hAnsi="Arial" w:cs="Arial"/>
        </w:rPr>
        <w:t>‘</w:t>
      </w:r>
      <w:r w:rsidRPr="000F1EE3">
        <w:rPr>
          <w:rFonts w:ascii="Arial" w:hAnsi="Arial" w:cs="Arial"/>
        </w:rPr>
        <w:t>Human Plague Episode in the Distict of Khawlan, Yemen</w:t>
      </w:r>
      <w:r w:rsidR="00C94C74">
        <w:rPr>
          <w:rFonts w:ascii="Arial" w:hAnsi="Arial" w:cs="Arial"/>
        </w:rPr>
        <w:t>’,</w:t>
      </w:r>
      <w:r w:rsidRPr="000F1EE3">
        <w:rPr>
          <w:rFonts w:ascii="Arial" w:hAnsi="Arial" w:cs="Arial"/>
        </w:rPr>
        <w:t xml:space="preserve"> </w:t>
      </w:r>
      <w:r w:rsidRPr="000F1EE3">
        <w:rPr>
          <w:rFonts w:ascii="Arial" w:hAnsi="Arial" w:cs="Arial"/>
          <w:i/>
          <w:iCs/>
        </w:rPr>
        <w:t>American Journal of Tropical Medicine and Hygiene</w:t>
      </w:r>
      <w:r w:rsidRPr="000F1EE3">
        <w:rPr>
          <w:rFonts w:ascii="Arial" w:hAnsi="Arial" w:cs="Arial"/>
        </w:rPr>
        <w:t xml:space="preserve"> 20, no. 5 (1972), 123</w:t>
      </w:r>
      <w:r w:rsidR="00C94C74">
        <w:rPr>
          <w:rFonts w:ascii="Arial" w:hAnsi="Arial" w:cs="Arial"/>
        </w:rPr>
        <w:t>.</w:t>
      </w:r>
    </w:p>
  </w:footnote>
  <w:footnote w:id="21">
    <w:p w14:paraId="2BDDE9E2" w14:textId="5877CF33" w:rsidR="004D113A" w:rsidRPr="000F1EE3" w:rsidRDefault="004D113A" w:rsidP="004D113A">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 J. Simpson, </w:t>
      </w:r>
      <w:r w:rsidRPr="000F1EE3">
        <w:rPr>
          <w:rFonts w:ascii="Arial" w:hAnsi="Arial" w:cs="Arial"/>
          <w:i/>
          <w:iCs/>
        </w:rPr>
        <w:t xml:space="preserve">A Treatise on Plague, </w:t>
      </w:r>
      <w:proofErr w:type="gramStart"/>
      <w:r w:rsidRPr="000F1EE3">
        <w:rPr>
          <w:rFonts w:ascii="Arial" w:hAnsi="Arial" w:cs="Arial"/>
          <w:i/>
          <w:iCs/>
        </w:rPr>
        <w:t>Dealing</w:t>
      </w:r>
      <w:proofErr w:type="gramEnd"/>
      <w:r w:rsidRPr="000F1EE3">
        <w:rPr>
          <w:rFonts w:ascii="Arial" w:hAnsi="Arial" w:cs="Arial"/>
          <w:i/>
          <w:iCs/>
        </w:rPr>
        <w:t xml:space="preserve"> with the Historical, Epidemiological, Clinical, Therapeutic and Preventive Aspects of the Disease</w:t>
      </w:r>
      <w:r w:rsidRPr="000F1EE3">
        <w:rPr>
          <w:rFonts w:ascii="Arial" w:hAnsi="Arial" w:cs="Arial"/>
        </w:rPr>
        <w:t xml:space="preserve"> (Cambridge University Press, 1905</w:t>
      </w:r>
      <w:proofErr w:type="gramStart"/>
      <w:r w:rsidRPr="000F1EE3">
        <w:rPr>
          <w:rFonts w:ascii="Arial" w:hAnsi="Arial" w:cs="Arial"/>
        </w:rPr>
        <w:t>),  38</w:t>
      </w:r>
      <w:proofErr w:type="gramEnd"/>
      <w:r w:rsidRPr="000F1EE3">
        <w:rPr>
          <w:rFonts w:ascii="Arial" w:hAnsi="Arial" w:cs="Arial"/>
        </w:rPr>
        <w:t xml:space="preserve">; Radcliffe, </w:t>
      </w:r>
      <w:r w:rsidRPr="000F1EE3">
        <w:rPr>
          <w:rFonts w:ascii="Arial" w:hAnsi="Arial" w:cs="Arial"/>
          <w:i/>
          <w:iCs/>
        </w:rPr>
        <w:t>Papers Relating to the Modern History</w:t>
      </w:r>
      <w:r w:rsidR="002B5685">
        <w:rPr>
          <w:rFonts w:ascii="Arial" w:hAnsi="Arial" w:cs="Arial"/>
        </w:rPr>
        <w:t>,</w:t>
      </w:r>
      <w:r w:rsidRPr="000F1EE3">
        <w:rPr>
          <w:rFonts w:ascii="Arial" w:hAnsi="Arial" w:cs="Arial"/>
          <w:i/>
          <w:iCs/>
        </w:rPr>
        <w:t xml:space="preserve"> </w:t>
      </w:r>
      <w:r w:rsidRPr="000F1EE3">
        <w:rPr>
          <w:rFonts w:ascii="Arial" w:hAnsi="Arial" w:cs="Arial"/>
        </w:rPr>
        <w:t>3 and 17</w:t>
      </w:r>
      <w:r w:rsidR="002B5685">
        <w:rPr>
          <w:rFonts w:ascii="Arial" w:hAnsi="Arial" w:cs="Arial"/>
        </w:rPr>
        <w:t>.</w:t>
      </w:r>
    </w:p>
  </w:footnote>
  <w:footnote w:id="22">
    <w:p w14:paraId="79554D06" w14:textId="60792406" w:rsidR="007B7E5C" w:rsidRPr="000F1EE3" w:rsidRDefault="007B7E5C" w:rsidP="007B7E5C">
      <w:pPr>
        <w:pStyle w:val="FootnoteText"/>
        <w:rPr>
          <w:rFonts w:ascii="Arial" w:hAnsi="Arial" w:cs="Arial"/>
        </w:rPr>
      </w:pPr>
      <w:r w:rsidRPr="000F1EE3">
        <w:rPr>
          <w:rStyle w:val="FootnoteReference"/>
          <w:rFonts w:ascii="Arial" w:hAnsi="Arial" w:cs="Arial"/>
        </w:rPr>
        <w:footnoteRef/>
      </w:r>
      <w:r w:rsidRPr="000F1EE3">
        <w:rPr>
          <w:rFonts w:ascii="Arial" w:hAnsi="Arial" w:cs="Arial"/>
        </w:rPr>
        <w:t xml:space="preserve"> </w:t>
      </w:r>
      <w:r w:rsidR="005171AD" w:rsidRPr="00AB5E41">
        <w:rPr>
          <w:rFonts w:ascii="Arial" w:hAnsi="Arial" w:cs="Arial"/>
        </w:rPr>
        <w:t xml:space="preserve">Guillem Mas Fiol et al., ‘Global Evolutionary Patterns of </w:t>
      </w:r>
      <w:r w:rsidR="005171AD" w:rsidRPr="00AB5E41">
        <w:rPr>
          <w:rFonts w:ascii="Arial" w:hAnsi="Arial" w:cs="Arial"/>
          <w:i/>
          <w:iCs/>
        </w:rPr>
        <w:t>Yersinia pestis</w:t>
      </w:r>
      <w:r w:rsidR="005171AD" w:rsidRPr="00AB5E41">
        <w:rPr>
          <w:rFonts w:ascii="Arial" w:hAnsi="Arial" w:cs="Arial"/>
        </w:rPr>
        <w:t xml:space="preserve"> and Its Spread into Africa</w:t>
      </w:r>
      <w:r w:rsidR="005171AD">
        <w:rPr>
          <w:rFonts w:ascii="Arial" w:hAnsi="Arial" w:cs="Arial"/>
        </w:rPr>
        <w:t>’</w:t>
      </w:r>
      <w:r w:rsidR="005171AD" w:rsidRPr="00AB5E41">
        <w:rPr>
          <w:rFonts w:ascii="Arial" w:hAnsi="Arial" w:cs="Arial"/>
        </w:rPr>
        <w:t xml:space="preserve">, </w:t>
      </w:r>
      <w:r w:rsidR="005171AD" w:rsidRPr="00AB5E41">
        <w:rPr>
          <w:rFonts w:ascii="Arial" w:hAnsi="Arial" w:cs="Arial"/>
          <w:i/>
          <w:iCs/>
        </w:rPr>
        <w:t>bioRxiv</w:t>
      </w:r>
      <w:r w:rsidR="005171AD" w:rsidRPr="00AB5E41">
        <w:rPr>
          <w:rFonts w:ascii="Arial" w:hAnsi="Arial" w:cs="Arial"/>
        </w:rPr>
        <w:t xml:space="preserve"> (preprint, 2024), https://doi.org/10.1101/2024.11.26.62544</w:t>
      </w:r>
      <w:r w:rsidR="005171AD" w:rsidRPr="000F1EE3" w:rsidDel="005171AD">
        <w:rPr>
          <w:rFonts w:ascii="Arial" w:hAnsi="Arial" w:cs="Arial"/>
        </w:rPr>
        <w:t xml:space="preserve"> </w:t>
      </w:r>
      <w:r w:rsidRPr="000F1EE3">
        <w:rPr>
          <w:rFonts w:ascii="Arial" w:hAnsi="Arial" w:cs="Arial"/>
        </w:rPr>
        <w:t xml:space="preserve">(isolate IP1865H); Bahmanyar, </w:t>
      </w:r>
      <w:r w:rsidR="005171AD">
        <w:rPr>
          <w:rFonts w:ascii="Arial" w:hAnsi="Arial" w:cs="Arial"/>
        </w:rPr>
        <w:t>‘</w:t>
      </w:r>
      <w:r w:rsidRPr="000F1EE3">
        <w:rPr>
          <w:rFonts w:ascii="Arial" w:hAnsi="Arial" w:cs="Arial"/>
        </w:rPr>
        <w:t>Human Plague Episode</w:t>
      </w:r>
      <w:r w:rsidR="005171AD">
        <w:rPr>
          <w:rFonts w:ascii="Arial" w:hAnsi="Arial" w:cs="Arial"/>
        </w:rPr>
        <w:t>’</w:t>
      </w:r>
      <w:r w:rsidRPr="000F1EE3">
        <w:rPr>
          <w:rFonts w:ascii="Arial" w:hAnsi="Arial" w:cs="Arial"/>
        </w:rPr>
        <w:t>, 126-7</w:t>
      </w:r>
    </w:p>
  </w:footnote>
  <w:footnote w:id="23">
    <w:p w14:paraId="56FF186A" w14:textId="06C45865" w:rsidR="007B7E5C" w:rsidRPr="00E84685" w:rsidRDefault="007B7E5C" w:rsidP="007B7E5C">
      <w:pPr>
        <w:pStyle w:val="FootnoteText"/>
      </w:pPr>
      <w:r w:rsidRPr="000F1EE3">
        <w:rPr>
          <w:rStyle w:val="FootnoteReference"/>
          <w:rFonts w:ascii="Arial" w:hAnsi="Arial" w:cs="Arial"/>
        </w:rPr>
        <w:footnoteRef/>
      </w:r>
      <w:r w:rsidRPr="000F1EE3">
        <w:rPr>
          <w:rFonts w:ascii="Arial" w:hAnsi="Arial" w:cs="Arial"/>
        </w:rPr>
        <w:t xml:space="preserve"> Mas Fiol, </w:t>
      </w:r>
      <w:r w:rsidRPr="000F1EE3">
        <w:rPr>
          <w:rFonts w:ascii="Arial" w:hAnsi="Arial" w:cs="Arial"/>
          <w:i/>
          <w:iCs/>
        </w:rPr>
        <w:t>et al.</w:t>
      </w:r>
      <w:r w:rsidRPr="000F1EE3">
        <w:rPr>
          <w:rFonts w:ascii="Arial" w:hAnsi="Arial" w:cs="Arial"/>
        </w:rPr>
        <w:t xml:space="preserve"> </w:t>
      </w:r>
      <w:r w:rsidR="005171AD">
        <w:rPr>
          <w:rFonts w:ascii="Arial" w:hAnsi="Arial" w:cs="Arial"/>
        </w:rPr>
        <w:t>‘</w:t>
      </w:r>
      <w:r w:rsidRPr="000F1EE3">
        <w:rPr>
          <w:rFonts w:ascii="Arial" w:hAnsi="Arial" w:cs="Arial"/>
        </w:rPr>
        <w:t>Global Evolutionary Patterns</w:t>
      </w:r>
      <w:r w:rsidR="005171AD">
        <w:rPr>
          <w:rFonts w:ascii="Arial" w:hAnsi="Arial" w:cs="Arial"/>
        </w:rPr>
        <w:t>’.</w:t>
      </w:r>
      <w:r w:rsidRPr="00E84685">
        <w:rPr>
          <w:rFonts w:ascii="Segoe UI" w:hAnsi="Segoe UI" w:cs="Segoe UI"/>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12"/>
    <w:rsid w:val="00052B00"/>
    <w:rsid w:val="00073A2C"/>
    <w:rsid w:val="00091042"/>
    <w:rsid w:val="0009132B"/>
    <w:rsid w:val="000A0187"/>
    <w:rsid w:val="000C6E22"/>
    <w:rsid w:val="000F1EE3"/>
    <w:rsid w:val="001260AF"/>
    <w:rsid w:val="001E2987"/>
    <w:rsid w:val="001F2B68"/>
    <w:rsid w:val="0022157E"/>
    <w:rsid w:val="0023544C"/>
    <w:rsid w:val="002432C2"/>
    <w:rsid w:val="002B5685"/>
    <w:rsid w:val="002C4260"/>
    <w:rsid w:val="002C4801"/>
    <w:rsid w:val="002D0D5A"/>
    <w:rsid w:val="002D4A97"/>
    <w:rsid w:val="002F6DD9"/>
    <w:rsid w:val="00323556"/>
    <w:rsid w:val="003242F9"/>
    <w:rsid w:val="00380726"/>
    <w:rsid w:val="003C0DCA"/>
    <w:rsid w:val="003C6907"/>
    <w:rsid w:val="003C6FFC"/>
    <w:rsid w:val="003F68A6"/>
    <w:rsid w:val="00405479"/>
    <w:rsid w:val="004656B0"/>
    <w:rsid w:val="004704AD"/>
    <w:rsid w:val="004C7F28"/>
    <w:rsid w:val="004D113A"/>
    <w:rsid w:val="004D6DD6"/>
    <w:rsid w:val="004E55FF"/>
    <w:rsid w:val="00510562"/>
    <w:rsid w:val="005171AD"/>
    <w:rsid w:val="00531FF3"/>
    <w:rsid w:val="00562177"/>
    <w:rsid w:val="005758D6"/>
    <w:rsid w:val="00584411"/>
    <w:rsid w:val="005C02D6"/>
    <w:rsid w:val="00603DEB"/>
    <w:rsid w:val="00611162"/>
    <w:rsid w:val="0062740A"/>
    <w:rsid w:val="00641890"/>
    <w:rsid w:val="00642255"/>
    <w:rsid w:val="006573D5"/>
    <w:rsid w:val="0067072E"/>
    <w:rsid w:val="00694B88"/>
    <w:rsid w:val="006D109F"/>
    <w:rsid w:val="007167BC"/>
    <w:rsid w:val="0072140D"/>
    <w:rsid w:val="00755EE8"/>
    <w:rsid w:val="00765D42"/>
    <w:rsid w:val="00774B27"/>
    <w:rsid w:val="007757EC"/>
    <w:rsid w:val="007B604E"/>
    <w:rsid w:val="007B7E5C"/>
    <w:rsid w:val="007E3710"/>
    <w:rsid w:val="007F0209"/>
    <w:rsid w:val="008011DA"/>
    <w:rsid w:val="0084512F"/>
    <w:rsid w:val="00895E0C"/>
    <w:rsid w:val="008B43F0"/>
    <w:rsid w:val="008E479E"/>
    <w:rsid w:val="008F5CF0"/>
    <w:rsid w:val="00907A2B"/>
    <w:rsid w:val="00913E29"/>
    <w:rsid w:val="009419C7"/>
    <w:rsid w:val="00962DF3"/>
    <w:rsid w:val="009A7EB8"/>
    <w:rsid w:val="009C414C"/>
    <w:rsid w:val="009E330C"/>
    <w:rsid w:val="009E7E2C"/>
    <w:rsid w:val="00A50E51"/>
    <w:rsid w:val="00A64DC4"/>
    <w:rsid w:val="00AB5EF6"/>
    <w:rsid w:val="00AC3ED8"/>
    <w:rsid w:val="00AD03E7"/>
    <w:rsid w:val="00AD67CA"/>
    <w:rsid w:val="00B973F1"/>
    <w:rsid w:val="00BC059F"/>
    <w:rsid w:val="00BD0DAC"/>
    <w:rsid w:val="00BF2092"/>
    <w:rsid w:val="00C114E4"/>
    <w:rsid w:val="00C135CD"/>
    <w:rsid w:val="00C74BC7"/>
    <w:rsid w:val="00C94C74"/>
    <w:rsid w:val="00C9546D"/>
    <w:rsid w:val="00C95F12"/>
    <w:rsid w:val="00CA5C13"/>
    <w:rsid w:val="00CD6C8E"/>
    <w:rsid w:val="00CD7A6F"/>
    <w:rsid w:val="00CE197B"/>
    <w:rsid w:val="00D1133B"/>
    <w:rsid w:val="00D1195F"/>
    <w:rsid w:val="00D427CD"/>
    <w:rsid w:val="00D557EA"/>
    <w:rsid w:val="00DB5025"/>
    <w:rsid w:val="00DE07D4"/>
    <w:rsid w:val="00E138D6"/>
    <w:rsid w:val="00E13E05"/>
    <w:rsid w:val="00E422EF"/>
    <w:rsid w:val="00E67A43"/>
    <w:rsid w:val="00EB5625"/>
    <w:rsid w:val="00EE02E6"/>
    <w:rsid w:val="00F233E3"/>
    <w:rsid w:val="00F46361"/>
    <w:rsid w:val="00F51144"/>
    <w:rsid w:val="00F66FF7"/>
    <w:rsid w:val="00F92D6F"/>
    <w:rsid w:val="00FA2852"/>
    <w:rsid w:val="00FB4A64"/>
    <w:rsid w:val="00FC7DB8"/>
    <w:rsid w:val="00FE5BA6"/>
    <w:rsid w:val="00FE75D7"/>
    <w:rsid w:val="00FF5EC2"/>
    <w:rsid w:val="00FF61E5"/>
    <w:rsid w:val="00FF6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1C4B"/>
  <w15:chartTrackingRefBased/>
  <w15:docId w15:val="{FAF6B7FA-8C7A-43F0-955D-9CDF9C32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F12"/>
    <w:rPr>
      <w:kern w:val="0"/>
      <w14:ligatures w14:val="none"/>
    </w:rPr>
  </w:style>
  <w:style w:type="paragraph" w:styleId="Heading1">
    <w:name w:val="heading 1"/>
    <w:basedOn w:val="Normal"/>
    <w:next w:val="Normal"/>
    <w:link w:val="Heading1Char"/>
    <w:uiPriority w:val="9"/>
    <w:qFormat/>
    <w:rsid w:val="00C95F1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5F1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5F1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5F1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5F1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5F1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5F1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5F1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5F1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F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F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F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F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F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F12"/>
    <w:rPr>
      <w:rFonts w:eastAsiaTheme="majorEastAsia" w:cstheme="majorBidi"/>
      <w:color w:val="272727" w:themeColor="text1" w:themeTint="D8"/>
    </w:rPr>
  </w:style>
  <w:style w:type="paragraph" w:styleId="Title">
    <w:name w:val="Title"/>
    <w:basedOn w:val="Normal"/>
    <w:next w:val="Normal"/>
    <w:link w:val="TitleChar"/>
    <w:uiPriority w:val="10"/>
    <w:qFormat/>
    <w:rsid w:val="00C95F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5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F1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5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F1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95F12"/>
    <w:rPr>
      <w:i/>
      <w:iCs/>
      <w:color w:val="404040" w:themeColor="text1" w:themeTint="BF"/>
    </w:rPr>
  </w:style>
  <w:style w:type="paragraph" w:styleId="ListParagraph">
    <w:name w:val="List Paragraph"/>
    <w:basedOn w:val="Normal"/>
    <w:uiPriority w:val="34"/>
    <w:qFormat/>
    <w:rsid w:val="00C95F12"/>
    <w:pPr>
      <w:ind w:left="720"/>
      <w:contextualSpacing/>
    </w:pPr>
    <w:rPr>
      <w:kern w:val="2"/>
      <w14:ligatures w14:val="standardContextual"/>
    </w:rPr>
  </w:style>
  <w:style w:type="character" w:styleId="IntenseEmphasis">
    <w:name w:val="Intense Emphasis"/>
    <w:basedOn w:val="DefaultParagraphFont"/>
    <w:uiPriority w:val="21"/>
    <w:qFormat/>
    <w:rsid w:val="00C95F12"/>
    <w:rPr>
      <w:i/>
      <w:iCs/>
      <w:color w:val="0F4761" w:themeColor="accent1" w:themeShade="BF"/>
    </w:rPr>
  </w:style>
  <w:style w:type="paragraph" w:styleId="IntenseQuote">
    <w:name w:val="Intense Quote"/>
    <w:basedOn w:val="Normal"/>
    <w:next w:val="Normal"/>
    <w:link w:val="IntenseQuoteChar"/>
    <w:uiPriority w:val="30"/>
    <w:qFormat/>
    <w:rsid w:val="00C95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5F12"/>
    <w:rPr>
      <w:i/>
      <w:iCs/>
      <w:color w:val="0F4761" w:themeColor="accent1" w:themeShade="BF"/>
    </w:rPr>
  </w:style>
  <w:style w:type="character" w:styleId="IntenseReference">
    <w:name w:val="Intense Reference"/>
    <w:basedOn w:val="DefaultParagraphFont"/>
    <w:uiPriority w:val="32"/>
    <w:qFormat/>
    <w:rsid w:val="00C95F12"/>
    <w:rPr>
      <w:b/>
      <w:bCs/>
      <w:smallCaps/>
      <w:color w:val="0F4761" w:themeColor="accent1" w:themeShade="BF"/>
      <w:spacing w:val="5"/>
    </w:rPr>
  </w:style>
  <w:style w:type="paragraph" w:styleId="FootnoteText">
    <w:name w:val="footnote text"/>
    <w:aliases w:val="Texto nota pie2"/>
    <w:basedOn w:val="Normal"/>
    <w:link w:val="FootnoteTextChar"/>
    <w:uiPriority w:val="99"/>
    <w:unhideWhenUsed/>
    <w:rsid w:val="00C95F12"/>
    <w:pPr>
      <w:spacing w:after="0" w:line="240" w:lineRule="auto"/>
    </w:pPr>
    <w:rPr>
      <w:sz w:val="20"/>
      <w:szCs w:val="20"/>
    </w:rPr>
  </w:style>
  <w:style w:type="character" w:customStyle="1" w:styleId="FootnoteTextChar">
    <w:name w:val="Footnote Text Char"/>
    <w:aliases w:val="Texto nota pie2 Char"/>
    <w:basedOn w:val="DefaultParagraphFont"/>
    <w:link w:val="FootnoteText"/>
    <w:uiPriority w:val="99"/>
    <w:rsid w:val="00C95F12"/>
    <w:rPr>
      <w:kern w:val="0"/>
      <w:sz w:val="20"/>
      <w:szCs w:val="20"/>
      <w14:ligatures w14:val="none"/>
    </w:rPr>
  </w:style>
  <w:style w:type="character" w:styleId="FootnoteReference">
    <w:name w:val="footnote reference"/>
    <w:basedOn w:val="DefaultParagraphFont"/>
    <w:uiPriority w:val="99"/>
    <w:semiHidden/>
    <w:unhideWhenUsed/>
    <w:rsid w:val="00C95F12"/>
    <w:rPr>
      <w:vertAlign w:val="superscript"/>
    </w:rPr>
  </w:style>
  <w:style w:type="character" w:styleId="CommentReference">
    <w:name w:val="annotation reference"/>
    <w:basedOn w:val="DefaultParagraphFont"/>
    <w:uiPriority w:val="99"/>
    <w:semiHidden/>
    <w:unhideWhenUsed/>
    <w:rsid w:val="000F1EE3"/>
    <w:rPr>
      <w:sz w:val="16"/>
      <w:szCs w:val="16"/>
    </w:rPr>
  </w:style>
  <w:style w:type="paragraph" w:styleId="CommentText">
    <w:name w:val="annotation text"/>
    <w:basedOn w:val="Normal"/>
    <w:link w:val="CommentTextChar"/>
    <w:uiPriority w:val="99"/>
    <w:unhideWhenUsed/>
    <w:rsid w:val="000F1EE3"/>
    <w:pPr>
      <w:spacing w:line="240" w:lineRule="auto"/>
    </w:pPr>
    <w:rPr>
      <w:sz w:val="20"/>
      <w:szCs w:val="20"/>
    </w:rPr>
  </w:style>
  <w:style w:type="character" w:customStyle="1" w:styleId="CommentTextChar">
    <w:name w:val="Comment Text Char"/>
    <w:basedOn w:val="DefaultParagraphFont"/>
    <w:link w:val="CommentText"/>
    <w:uiPriority w:val="99"/>
    <w:rsid w:val="000F1EE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1EE3"/>
    <w:rPr>
      <w:b/>
      <w:bCs/>
    </w:rPr>
  </w:style>
  <w:style w:type="character" w:customStyle="1" w:styleId="CommentSubjectChar">
    <w:name w:val="Comment Subject Char"/>
    <w:basedOn w:val="CommentTextChar"/>
    <w:link w:val="CommentSubject"/>
    <w:uiPriority w:val="99"/>
    <w:semiHidden/>
    <w:rsid w:val="000F1EE3"/>
    <w:rPr>
      <w:b/>
      <w:bCs/>
      <w:kern w:val="0"/>
      <w:sz w:val="20"/>
      <w:szCs w:val="20"/>
      <w14:ligatures w14:val="none"/>
    </w:rPr>
  </w:style>
  <w:style w:type="paragraph" w:styleId="Revision">
    <w:name w:val="Revision"/>
    <w:hidden/>
    <w:uiPriority w:val="99"/>
    <w:semiHidden/>
    <w:rsid w:val="0051056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4000/afriques.2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CCF2C-3ACA-4A3E-B87A-0E5ADDC9CCE1}">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Slavin</dc:creator>
  <cp:keywords/>
  <dc:description/>
  <cp:lastModifiedBy>Philip Slavin</cp:lastModifiedBy>
  <cp:revision>7</cp:revision>
  <dcterms:created xsi:type="dcterms:W3CDTF">2026-04-05T10:41:00Z</dcterms:created>
  <dcterms:modified xsi:type="dcterms:W3CDTF">2026-05-21T15:28:00Z</dcterms:modified>
</cp:coreProperties>
</file>