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91740" w14:textId="1647B8D2" w:rsidR="00A553ED" w:rsidRDefault="005D2A69">
      <w:r w:rsidRPr="002D63F8">
        <w:rPr>
          <w:noProof/>
        </w:rPr>
        <w:drawing>
          <wp:inline distT="0" distB="0" distL="0" distR="0" wp14:anchorId="5889FAB3" wp14:editId="40637786">
            <wp:extent cx="4935855" cy="7011845"/>
            <wp:effectExtent l="0" t="0" r="0" b="0"/>
            <wp:docPr id="212915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b="2055"/>
                    <a:stretch>
                      <a:fillRect/>
                    </a:stretch>
                  </pic:blipFill>
                  <pic:spPr bwMode="auto">
                    <a:xfrm>
                      <a:off x="0" y="0"/>
                      <a:ext cx="4935855" cy="7011845"/>
                    </a:xfrm>
                    <a:prstGeom prst="rect">
                      <a:avLst/>
                    </a:prstGeom>
                    <a:noFill/>
                    <a:ln>
                      <a:noFill/>
                    </a:ln>
                    <a:extLst>
                      <a:ext uri="{53640926-AAD7-44D8-BBD7-CCE9431645EC}">
                        <a14:shadowObscured xmlns:a14="http://schemas.microsoft.com/office/drawing/2010/main"/>
                      </a:ext>
                    </a:extLst>
                  </pic:spPr>
                </pic:pic>
              </a:graphicData>
            </a:graphic>
          </wp:inline>
        </w:drawing>
      </w:r>
    </w:p>
    <w:p w14:paraId="2A08C0A8" w14:textId="77777777" w:rsidR="005D2A69" w:rsidRPr="00D74ADD" w:rsidRDefault="005D2A69" w:rsidP="005D2A69">
      <w:pPr>
        <w:spacing w:after="0" w:line="360" w:lineRule="auto"/>
        <w:jc w:val="both"/>
      </w:pPr>
      <w:r w:rsidRPr="00D74ADD">
        <w:rPr>
          <w:b/>
          <w:bCs/>
          <w:lang w:val="en-GB"/>
        </w:rPr>
        <w:t xml:space="preserve">Supplementary Figure S1. </w:t>
      </w:r>
      <w:r w:rsidRPr="00D74ADD">
        <w:rPr>
          <w:lang w:val="en-GB"/>
        </w:rPr>
        <w:t xml:space="preserve">Multiple protein alignment of plant VRS1 homologues. The positions of the predicted protein sequence variants identified are highlighted, as are the positions of the three alpha (α) helixes within the homeobox-leucine zipper domain (Panther ID PTHR24326). </w:t>
      </w:r>
      <w:r>
        <w:rPr>
          <w:lang w:val="en-GB"/>
        </w:rPr>
        <w:t xml:space="preserve">The causative mutations underlying the six-row </w:t>
      </w:r>
      <w:r>
        <w:rPr>
          <w:i/>
          <w:iCs/>
          <w:lang w:val="en-GB"/>
        </w:rPr>
        <w:t xml:space="preserve">vrs1.a1 </w:t>
      </w:r>
      <w:r>
        <w:rPr>
          <w:lang w:val="en-GB"/>
        </w:rPr>
        <w:t>(E152/</w:t>
      </w:r>
      <w:proofErr w:type="spellStart"/>
      <w:r>
        <w:rPr>
          <w:lang w:val="en-GB"/>
        </w:rPr>
        <w:t>f.s</w:t>
      </w:r>
      <w:proofErr w:type="spellEnd"/>
      <w:r>
        <w:rPr>
          <w:lang w:val="en-GB"/>
        </w:rPr>
        <w:t xml:space="preserve">. stop), </w:t>
      </w:r>
      <w:r>
        <w:rPr>
          <w:i/>
          <w:iCs/>
          <w:lang w:val="en-GB"/>
        </w:rPr>
        <w:lastRenderedPageBreak/>
        <w:t xml:space="preserve">vrs1.a2 </w:t>
      </w:r>
      <w:r>
        <w:rPr>
          <w:lang w:val="en-GB"/>
        </w:rPr>
        <w:t>(A40/</w:t>
      </w:r>
      <w:proofErr w:type="spellStart"/>
      <w:r>
        <w:rPr>
          <w:lang w:val="en-GB"/>
        </w:rPr>
        <w:t>f.s</w:t>
      </w:r>
      <w:proofErr w:type="spellEnd"/>
      <w:r>
        <w:rPr>
          <w:lang w:val="en-GB"/>
        </w:rPr>
        <w:t xml:space="preserve">. stop) and </w:t>
      </w:r>
      <w:r>
        <w:rPr>
          <w:i/>
          <w:iCs/>
          <w:lang w:val="en-GB"/>
        </w:rPr>
        <w:t xml:space="preserve">vrs1.a3 </w:t>
      </w:r>
      <w:r>
        <w:rPr>
          <w:lang w:val="en-GB"/>
        </w:rPr>
        <w:t xml:space="preserve">(F75/L) are highlighted in red. The mutation underlying the two-row </w:t>
      </w:r>
      <w:r>
        <w:rPr>
          <w:i/>
          <w:iCs/>
          <w:lang w:val="en-GB"/>
        </w:rPr>
        <w:t xml:space="preserve">deficiens </w:t>
      </w:r>
      <w:r>
        <w:rPr>
          <w:lang w:val="en-GB"/>
        </w:rPr>
        <w:t xml:space="preserve">allele is highlighted in purple. Non-conservative amino acid substitutions are underlined. </w:t>
      </w:r>
      <w:proofErr w:type="spellStart"/>
      <w:r>
        <w:t>f.s</w:t>
      </w:r>
      <w:proofErr w:type="spellEnd"/>
      <w:r>
        <w:t xml:space="preserve">. = frame shift. Stop = premature stop codon. </w:t>
      </w:r>
      <w:r w:rsidRPr="00D74ADD">
        <w:rPr>
          <w:lang w:val="en-GB"/>
        </w:rPr>
        <w:t>Species abbreviations and protein accession numbers: HvVRS1 (</w:t>
      </w:r>
      <w:r w:rsidRPr="00D74ADD">
        <w:rPr>
          <w:i/>
          <w:iCs/>
          <w:lang w:val="en-GB"/>
        </w:rPr>
        <w:t>Hordeum</w:t>
      </w:r>
      <w:r w:rsidRPr="00D74ADD">
        <w:rPr>
          <w:lang w:val="en-GB"/>
        </w:rPr>
        <w:t xml:space="preserve"> </w:t>
      </w:r>
      <w:r w:rsidRPr="00D74ADD">
        <w:rPr>
          <w:i/>
          <w:iCs/>
          <w:lang w:val="en-GB"/>
        </w:rPr>
        <w:t>vulgare</w:t>
      </w:r>
      <w:r w:rsidRPr="00D74ADD">
        <w:rPr>
          <w:lang w:val="en-GB"/>
        </w:rPr>
        <w:t xml:space="preserve">; </w:t>
      </w:r>
      <w:r w:rsidRPr="00D74ADD">
        <w:rPr>
          <w:rFonts w:cs="Courier New"/>
        </w:rPr>
        <w:t>BAH24152.1), AtaHOX1 (</w:t>
      </w:r>
      <w:r w:rsidRPr="00D74ADD">
        <w:rPr>
          <w:i/>
          <w:iCs/>
        </w:rPr>
        <w:t>Aegilops tauschii</w:t>
      </w:r>
      <w:r w:rsidRPr="00D74ADD">
        <w:t>; AET2Gv20863900.1), SceHOX1 (</w:t>
      </w:r>
      <w:r w:rsidRPr="00D74ADD">
        <w:rPr>
          <w:i/>
          <w:iCs/>
        </w:rPr>
        <w:t>Secale cereale</w:t>
      </w:r>
      <w:r w:rsidRPr="00D74ADD">
        <w:t>; SECCE2Rv1G0113870.1), TaeHOX1-B (</w:t>
      </w:r>
      <w:r w:rsidRPr="00D74ADD">
        <w:rPr>
          <w:i/>
          <w:iCs/>
        </w:rPr>
        <w:t>Triticum aestivum</w:t>
      </w:r>
      <w:r w:rsidRPr="00D74ADD">
        <w:t>; TraesCS2B02G405700.1), TaeHOX1-D (</w:t>
      </w:r>
      <w:r w:rsidRPr="00D74ADD">
        <w:rPr>
          <w:i/>
          <w:iCs/>
        </w:rPr>
        <w:t>Triticum aestivum</w:t>
      </w:r>
      <w:r w:rsidRPr="00D74ADD">
        <w:t>; TraesCS2D02G385500.2), TaeHOX1-A (</w:t>
      </w:r>
      <w:r w:rsidRPr="00D74ADD">
        <w:rPr>
          <w:i/>
          <w:iCs/>
        </w:rPr>
        <w:t>Triticum aestivum</w:t>
      </w:r>
      <w:r w:rsidRPr="00D74ADD">
        <w:t>; TraesCSU02G009800.2), TurHOX1 (</w:t>
      </w:r>
      <w:r w:rsidRPr="00D74ADD">
        <w:rPr>
          <w:i/>
          <w:iCs/>
        </w:rPr>
        <w:t xml:space="preserve">Triticum </w:t>
      </w:r>
      <w:proofErr w:type="spellStart"/>
      <w:r w:rsidRPr="00D74ADD">
        <w:rPr>
          <w:i/>
          <w:iCs/>
        </w:rPr>
        <w:t>urartu</w:t>
      </w:r>
      <w:proofErr w:type="spellEnd"/>
      <w:r w:rsidRPr="00D74ADD">
        <w:t>; TuG1812G0200004383.01.T01), OsaHOX1 (</w:t>
      </w:r>
      <w:r w:rsidRPr="00D74ADD">
        <w:rPr>
          <w:i/>
          <w:iCs/>
        </w:rPr>
        <w:t>Oryza sativa</w:t>
      </w:r>
      <w:r w:rsidRPr="00D74ADD">
        <w:t>; BGIOSGA026014-PA), SitHOX1 (</w:t>
      </w:r>
      <w:proofErr w:type="spellStart"/>
      <w:r w:rsidRPr="00D74ADD">
        <w:rPr>
          <w:i/>
          <w:iCs/>
        </w:rPr>
        <w:t>Setaria</w:t>
      </w:r>
      <w:proofErr w:type="spellEnd"/>
      <w:r w:rsidRPr="00D74ADD">
        <w:rPr>
          <w:i/>
          <w:iCs/>
        </w:rPr>
        <w:t xml:space="preserve"> italica</w:t>
      </w:r>
      <w:r w:rsidRPr="00D74ADD">
        <w:t>; KQL26425), ZmaHOX1-1 (</w:t>
      </w:r>
      <w:r w:rsidRPr="00D74ADD">
        <w:rPr>
          <w:i/>
          <w:iCs/>
        </w:rPr>
        <w:t>Zea mays</w:t>
      </w:r>
      <w:r w:rsidRPr="00D74ADD">
        <w:t>; Zm00001eb107800_P001), SbiHOX1 (</w:t>
      </w:r>
      <w:r w:rsidRPr="00D74ADD">
        <w:rPr>
          <w:i/>
          <w:iCs/>
        </w:rPr>
        <w:t>Sorghum bicolor</w:t>
      </w:r>
      <w:r w:rsidRPr="00D74ADD">
        <w:t>;  EER97443), ZmaHOX1-2 (</w:t>
      </w:r>
      <w:r w:rsidRPr="00D74ADD">
        <w:rPr>
          <w:i/>
          <w:iCs/>
        </w:rPr>
        <w:t>Zea mays</w:t>
      </w:r>
      <w:r w:rsidRPr="00D74ADD">
        <w:t>; Zm00001eb325630_P003), AthHB53 (</w:t>
      </w:r>
      <w:r w:rsidRPr="00D74ADD">
        <w:rPr>
          <w:i/>
          <w:iCs/>
        </w:rPr>
        <w:t>Arabidopsis thaliana</w:t>
      </w:r>
      <w:r w:rsidRPr="00D74ADD">
        <w:t>; AT5G66700.1), VfaHOX1 (</w:t>
      </w:r>
      <w:r w:rsidRPr="00D74ADD">
        <w:rPr>
          <w:i/>
          <w:iCs/>
        </w:rPr>
        <w:t>Vicia faba</w:t>
      </w:r>
      <w:r w:rsidRPr="00D74ADD">
        <w:t>; Vfaba.Hedin2.R1.1g361760.1), LsaHOX1 (</w:t>
      </w:r>
      <w:r w:rsidRPr="00D74ADD">
        <w:rPr>
          <w:i/>
          <w:iCs/>
        </w:rPr>
        <w:t>Lathyrus sativus</w:t>
      </w:r>
      <w:r w:rsidRPr="00D74ADD">
        <w:t>; CAK8539850.1), PsaHOX1 (</w:t>
      </w:r>
      <w:r w:rsidRPr="00D74ADD">
        <w:rPr>
          <w:i/>
          <w:iCs/>
        </w:rPr>
        <w:t>Pisum sativum</w:t>
      </w:r>
      <w:r w:rsidRPr="00D74ADD">
        <w:t>; Psat2g161280.1.cds), AthHB21 (</w:t>
      </w:r>
      <w:r w:rsidRPr="00D74ADD">
        <w:rPr>
          <w:i/>
          <w:iCs/>
        </w:rPr>
        <w:t>Arabidopsis thaliana</w:t>
      </w:r>
      <w:r w:rsidRPr="00D74ADD">
        <w:t>; AT2G18550.1), AthHB40 (</w:t>
      </w:r>
      <w:r w:rsidRPr="00D74ADD">
        <w:rPr>
          <w:i/>
          <w:iCs/>
        </w:rPr>
        <w:t>Arabidopsis thaliana</w:t>
      </w:r>
      <w:r w:rsidRPr="00D74ADD">
        <w:t>; AT4G36740.1), PsoHOX1 (</w:t>
      </w:r>
      <w:r w:rsidRPr="00D74ADD">
        <w:rPr>
          <w:i/>
          <w:iCs/>
        </w:rPr>
        <w:t>Papaver somniferum</w:t>
      </w:r>
      <w:r w:rsidRPr="00D74ADD">
        <w:t>; RZC55109), PpeHOX1 (</w:t>
      </w:r>
      <w:r w:rsidRPr="00D74ADD">
        <w:rPr>
          <w:i/>
          <w:iCs/>
        </w:rPr>
        <w:t>Prunus persica</w:t>
      </w:r>
      <w:r w:rsidRPr="00D74ADD">
        <w:t>; ONH96752), VviHOX1 (</w:t>
      </w:r>
      <w:r w:rsidRPr="00D74ADD">
        <w:rPr>
          <w:i/>
          <w:iCs/>
        </w:rPr>
        <w:t>Vitis vinifera</w:t>
      </w:r>
      <w:r w:rsidRPr="00D74ADD">
        <w:t>; Vitis04g01393.t01.CDS).</w:t>
      </w:r>
    </w:p>
    <w:p w14:paraId="28F715B6" w14:textId="77777777" w:rsidR="005D2A69" w:rsidRDefault="005D2A69"/>
    <w:sectPr w:rsidR="005D2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69"/>
    <w:rsid w:val="002A7D08"/>
    <w:rsid w:val="003F47A1"/>
    <w:rsid w:val="005947DE"/>
    <w:rsid w:val="005D2A69"/>
    <w:rsid w:val="00600E63"/>
    <w:rsid w:val="00612782"/>
    <w:rsid w:val="006A65D0"/>
    <w:rsid w:val="00716A15"/>
    <w:rsid w:val="007D43C0"/>
    <w:rsid w:val="00805724"/>
    <w:rsid w:val="00A553ED"/>
    <w:rsid w:val="00AB16E0"/>
    <w:rsid w:val="00CD60FA"/>
    <w:rsid w:val="00D44FA9"/>
    <w:rsid w:val="00D90443"/>
    <w:rsid w:val="00EE189E"/>
    <w:rsid w:val="00F40CCA"/>
    <w:rsid w:val="00F84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60AB4"/>
  <w15:chartTrackingRefBased/>
  <w15:docId w15:val="{37A20D7C-8B40-4DD7-B1E0-FC636F82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A69"/>
    <w:rPr>
      <w:rFonts w:eastAsiaTheme="majorEastAsia" w:cstheme="majorBidi"/>
      <w:color w:val="272727" w:themeColor="text1" w:themeTint="D8"/>
    </w:rPr>
  </w:style>
  <w:style w:type="paragraph" w:styleId="Title">
    <w:name w:val="Title"/>
    <w:basedOn w:val="Normal"/>
    <w:next w:val="Normal"/>
    <w:link w:val="TitleChar"/>
    <w:uiPriority w:val="10"/>
    <w:qFormat/>
    <w:rsid w:val="005D2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A69"/>
    <w:pPr>
      <w:spacing w:before="160"/>
      <w:jc w:val="center"/>
    </w:pPr>
    <w:rPr>
      <w:i/>
      <w:iCs/>
      <w:color w:val="404040" w:themeColor="text1" w:themeTint="BF"/>
    </w:rPr>
  </w:style>
  <w:style w:type="character" w:customStyle="1" w:styleId="QuoteChar">
    <w:name w:val="Quote Char"/>
    <w:basedOn w:val="DefaultParagraphFont"/>
    <w:link w:val="Quote"/>
    <w:uiPriority w:val="29"/>
    <w:rsid w:val="005D2A69"/>
    <w:rPr>
      <w:i/>
      <w:iCs/>
      <w:color w:val="404040" w:themeColor="text1" w:themeTint="BF"/>
    </w:rPr>
  </w:style>
  <w:style w:type="paragraph" w:styleId="ListParagraph">
    <w:name w:val="List Paragraph"/>
    <w:basedOn w:val="Normal"/>
    <w:uiPriority w:val="34"/>
    <w:qFormat/>
    <w:rsid w:val="005D2A69"/>
    <w:pPr>
      <w:ind w:left="720"/>
      <w:contextualSpacing/>
    </w:pPr>
  </w:style>
  <w:style w:type="character" w:styleId="IntenseEmphasis">
    <w:name w:val="Intense Emphasis"/>
    <w:basedOn w:val="DefaultParagraphFont"/>
    <w:uiPriority w:val="21"/>
    <w:qFormat/>
    <w:rsid w:val="005D2A69"/>
    <w:rPr>
      <w:i/>
      <w:iCs/>
      <w:color w:val="0F4761" w:themeColor="accent1" w:themeShade="BF"/>
    </w:rPr>
  </w:style>
  <w:style w:type="paragraph" w:styleId="IntenseQuote">
    <w:name w:val="Intense Quote"/>
    <w:basedOn w:val="Normal"/>
    <w:next w:val="Normal"/>
    <w:link w:val="IntenseQuoteChar"/>
    <w:uiPriority w:val="30"/>
    <w:qFormat/>
    <w:rsid w:val="005D2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A69"/>
    <w:rPr>
      <w:i/>
      <w:iCs/>
      <w:color w:val="0F4761" w:themeColor="accent1" w:themeShade="BF"/>
    </w:rPr>
  </w:style>
  <w:style w:type="character" w:styleId="IntenseReference">
    <w:name w:val="Intense Reference"/>
    <w:basedOn w:val="DefaultParagraphFont"/>
    <w:uiPriority w:val="32"/>
    <w:qFormat/>
    <w:rsid w:val="005D2A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174</Words>
  <Characters>1432</Characters>
  <Application>Microsoft Office Word</Application>
  <DocSecurity>0</DocSecurity>
  <Lines>20</Lines>
  <Paragraphs>1</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Cockram</dc:creator>
  <cp:keywords/>
  <dc:description/>
  <cp:lastModifiedBy>James Cockram</cp:lastModifiedBy>
  <cp:revision>2</cp:revision>
  <dcterms:created xsi:type="dcterms:W3CDTF">2025-11-11T14:55:00Z</dcterms:created>
  <dcterms:modified xsi:type="dcterms:W3CDTF">2025-11-11T17:39:00Z</dcterms:modified>
</cp:coreProperties>
</file>