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9EF20" w14:textId="4B7FCD24" w:rsidR="00BB64BD" w:rsidRPr="000D59B3" w:rsidRDefault="00BB64BD" w:rsidP="000D59B3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</w:rPr>
      </w:pPr>
      <w:r w:rsidRPr="000D59B3">
        <w:rPr>
          <w:noProof/>
          <w:sz w:val="20"/>
        </w:rPr>
        <w:drawing>
          <wp:inline distT="0" distB="0" distL="0" distR="0" wp14:anchorId="427721EB" wp14:editId="30EEA347">
            <wp:extent cx="5731510" cy="3399995"/>
            <wp:effectExtent l="0" t="0" r="2540" b="1016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0EDC7A8" w14:textId="73EF7A41" w:rsidR="00BB64BD" w:rsidRPr="000D59B3" w:rsidRDefault="00BB64BD" w:rsidP="000D59B3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</w:rPr>
      </w:pPr>
      <w:r w:rsidRPr="000D59B3">
        <w:rPr>
          <w:noProof/>
          <w:sz w:val="20"/>
        </w:rPr>
        <w:drawing>
          <wp:inline distT="0" distB="0" distL="0" distR="0" wp14:anchorId="4531F930" wp14:editId="1F5DFF1E">
            <wp:extent cx="5731510" cy="3390683"/>
            <wp:effectExtent l="0" t="0" r="2540" b="63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9B259B9" w14:textId="14193105" w:rsidR="00456B28" w:rsidRPr="000D59B3" w:rsidRDefault="000D59B3" w:rsidP="000D59B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9B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8E4418" w:rsidRPr="000D59B3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Pr="000D59B3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93394C" w:rsidRPr="000D59B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E4418" w:rsidRPr="000D59B3">
        <w:rPr>
          <w:rFonts w:ascii="Times New Roman" w:hAnsi="Times New Roman" w:cs="Times New Roman"/>
          <w:sz w:val="24"/>
          <w:szCs w:val="24"/>
        </w:rPr>
        <w:t>Scree plot showing explained variance and eigen values against principal components in HPW 89 in M</w:t>
      </w:r>
      <w:r w:rsidR="008E4418" w:rsidRPr="000D59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4418" w:rsidRPr="000D59B3">
        <w:rPr>
          <w:rFonts w:ascii="Times New Roman" w:hAnsi="Times New Roman" w:cs="Times New Roman"/>
          <w:sz w:val="24"/>
          <w:szCs w:val="24"/>
        </w:rPr>
        <w:t xml:space="preserve"> and M</w:t>
      </w:r>
      <w:r w:rsidR="002750DF" w:rsidRPr="000D59B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E4418" w:rsidRPr="000D59B3">
        <w:rPr>
          <w:rFonts w:ascii="Times New Roman" w:hAnsi="Times New Roman" w:cs="Times New Roman"/>
          <w:sz w:val="24"/>
          <w:szCs w:val="24"/>
        </w:rPr>
        <w:t xml:space="preserve"> generation</w:t>
      </w:r>
    </w:p>
    <w:p w14:paraId="73FE54C0" w14:textId="77777777" w:rsidR="000D59B3" w:rsidRPr="000D59B3" w:rsidRDefault="000D59B3" w:rsidP="000D59B3">
      <w:pPr>
        <w:spacing w:line="240" w:lineRule="auto"/>
        <w:jc w:val="both"/>
        <w:rPr>
          <w:rFonts w:ascii="Times New Roman" w:hAnsi="Times New Roman" w:cstheme="minorBidi"/>
          <w:color w:val="FF0000"/>
          <w:sz w:val="20"/>
        </w:rPr>
      </w:pPr>
      <w:r w:rsidRPr="000D59B3">
        <w:rPr>
          <w:noProof/>
          <w:sz w:val="20"/>
        </w:rPr>
        <w:lastRenderedPageBreak/>
        <w:drawing>
          <wp:inline distT="0" distB="0" distL="0" distR="0" wp14:anchorId="33F0DF9D" wp14:editId="3ABF6633">
            <wp:extent cx="5652770" cy="4453255"/>
            <wp:effectExtent l="0" t="0" r="5080" b="0"/>
            <wp:docPr id="2370155" name="Graphic 2370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155" name="Graphic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2E4D" w14:textId="337A51D4" w:rsidR="000D59B3" w:rsidRPr="000D59B3" w:rsidRDefault="000D59B3" w:rsidP="000D59B3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D59B3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0D59B3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D59B3">
        <w:rPr>
          <w:rFonts w:ascii="Times New Roman" w:hAnsi="Times New Roman"/>
          <w:sz w:val="24"/>
          <w:szCs w:val="24"/>
        </w:rPr>
        <w:t>Differential dose wise mean percent response of agro-morphological traits in M</w:t>
      </w:r>
      <w:r w:rsidRPr="000D59B3">
        <w:rPr>
          <w:rFonts w:ascii="Times New Roman" w:hAnsi="Times New Roman"/>
          <w:sz w:val="24"/>
          <w:szCs w:val="24"/>
          <w:vertAlign w:val="subscript"/>
        </w:rPr>
        <w:t>2</w:t>
      </w:r>
      <w:r w:rsidRPr="000D59B3">
        <w:rPr>
          <w:rFonts w:ascii="Times New Roman" w:hAnsi="Times New Roman"/>
          <w:sz w:val="24"/>
          <w:szCs w:val="24"/>
        </w:rPr>
        <w:t xml:space="preserve"> and M</w:t>
      </w:r>
      <w:r w:rsidRPr="000D59B3">
        <w:rPr>
          <w:rFonts w:ascii="Times New Roman" w:hAnsi="Times New Roman"/>
          <w:sz w:val="24"/>
          <w:szCs w:val="24"/>
          <w:vertAlign w:val="subscript"/>
        </w:rPr>
        <w:t>3</w:t>
      </w:r>
      <w:r w:rsidRPr="000D59B3">
        <w:rPr>
          <w:rFonts w:ascii="Times New Roman" w:hAnsi="Times New Roman"/>
          <w:sz w:val="24"/>
          <w:szCs w:val="24"/>
        </w:rPr>
        <w:t xml:space="preserve"> generation of parent variety HPW 89</w:t>
      </w:r>
    </w:p>
    <w:p w14:paraId="2B2B372F" w14:textId="77777777" w:rsidR="000D59B3" w:rsidRPr="000D59B3" w:rsidRDefault="000D59B3" w:rsidP="000D59B3">
      <w:pPr>
        <w:spacing w:line="240" w:lineRule="auto"/>
        <w:rPr>
          <w:rFonts w:ascii="Times New Roman" w:hAnsi="Times New Roman"/>
          <w:b/>
          <w:bCs/>
          <w:sz w:val="20"/>
        </w:rPr>
      </w:pPr>
      <w:r w:rsidRPr="000D59B3">
        <w:rPr>
          <w:rFonts w:ascii="Times New Roman" w:hAnsi="Times New Roman"/>
          <w:b/>
          <w:bCs/>
          <w:sz w:val="20"/>
        </w:rPr>
        <w:br w:type="page"/>
      </w:r>
    </w:p>
    <w:p w14:paraId="605242F4" w14:textId="5364E4FB" w:rsidR="00024151" w:rsidRPr="000D59B3" w:rsidRDefault="00024151" w:rsidP="000D59B3">
      <w:pPr>
        <w:spacing w:line="240" w:lineRule="auto"/>
        <w:jc w:val="both"/>
        <w:rPr>
          <w:rFonts w:ascii="Times New Roman" w:eastAsia="Times New Roman" w:hAnsi="Times New Roman" w:cstheme="minorBidi"/>
          <w:b/>
          <w:bCs/>
          <w:sz w:val="20"/>
        </w:rPr>
      </w:pPr>
      <w:r w:rsidRPr="000D59B3">
        <w:rPr>
          <w:noProof/>
          <w:sz w:val="20"/>
        </w:rPr>
        <w:lastRenderedPageBreak/>
        <w:drawing>
          <wp:inline distT="0" distB="0" distL="0" distR="0" wp14:anchorId="54B935D0" wp14:editId="73E28067">
            <wp:extent cx="5652770" cy="6946900"/>
            <wp:effectExtent l="0" t="0" r="5080" b="635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750A" w14:textId="5986C89C" w:rsidR="00024151" w:rsidRPr="000D59B3" w:rsidRDefault="000D59B3" w:rsidP="000D59B3">
      <w:pPr>
        <w:spacing w:after="24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D59B3">
        <w:rPr>
          <w:rFonts w:ascii="Times New Roman" w:eastAsia="Times New Roman" w:hAnsi="Times New Roman"/>
          <w:b/>
          <w:bCs/>
          <w:sz w:val="24"/>
          <w:szCs w:val="24"/>
        </w:rPr>
        <w:t>F</w:t>
      </w:r>
      <w:r w:rsidR="00024151" w:rsidRPr="000D59B3">
        <w:rPr>
          <w:rFonts w:ascii="Times New Roman" w:eastAsia="Times New Roman" w:hAnsi="Times New Roman"/>
          <w:b/>
          <w:bCs/>
          <w:sz w:val="24"/>
          <w:szCs w:val="24"/>
        </w:rPr>
        <w:t xml:space="preserve">igure </w:t>
      </w:r>
      <w:r w:rsidRPr="000D59B3">
        <w:rPr>
          <w:rFonts w:ascii="Times New Roman" w:eastAsia="Times New Roman" w:hAnsi="Times New Roman"/>
          <w:b/>
          <w:bCs/>
          <w:sz w:val="24"/>
          <w:szCs w:val="24"/>
        </w:rPr>
        <w:t>S</w:t>
      </w:r>
      <w:r w:rsidR="00B952AD" w:rsidRPr="000D59B3">
        <w:rPr>
          <w:rFonts w:ascii="Times New Roman" w:eastAsia="Times New Roman" w:hAnsi="Times New Roman"/>
          <w:b/>
          <w:bCs/>
          <w:sz w:val="24"/>
          <w:szCs w:val="24"/>
        </w:rPr>
        <w:t>3</w:t>
      </w:r>
      <w:r w:rsidR="00024151" w:rsidRPr="000D59B3">
        <w:rPr>
          <w:rFonts w:ascii="Times New Roman" w:eastAsia="Times New Roman" w:hAnsi="Times New Roman"/>
          <w:b/>
          <w:bCs/>
          <w:sz w:val="24"/>
          <w:szCs w:val="24"/>
        </w:rPr>
        <w:t xml:space="preserve">: </w:t>
      </w:r>
      <w:r w:rsidR="00024151" w:rsidRPr="000D59B3">
        <w:rPr>
          <w:rFonts w:ascii="Times New Roman" w:eastAsia="Times New Roman" w:hAnsi="Times New Roman"/>
          <w:sz w:val="24"/>
          <w:szCs w:val="24"/>
        </w:rPr>
        <w:t xml:space="preserve">Summarized overview of the different mutant populations developed and strategy to improve agro-morphological traits and </w:t>
      </w:r>
      <w:r w:rsidR="008B322F" w:rsidRPr="000D59B3">
        <w:rPr>
          <w:rFonts w:ascii="Times New Roman" w:eastAsia="Times New Roman" w:hAnsi="Times New Roman"/>
          <w:sz w:val="24"/>
          <w:szCs w:val="24"/>
        </w:rPr>
        <w:t>grain</w:t>
      </w:r>
      <w:r w:rsidR="00024151" w:rsidRPr="000D59B3">
        <w:rPr>
          <w:rFonts w:ascii="Times New Roman" w:eastAsia="Times New Roman" w:hAnsi="Times New Roman"/>
          <w:sz w:val="24"/>
          <w:szCs w:val="24"/>
        </w:rPr>
        <w:t xml:space="preserve"> hardness</w:t>
      </w:r>
      <w:r w:rsidR="00024151" w:rsidRPr="000D59B3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307CC12C" w14:textId="77777777" w:rsidR="008E4418" w:rsidRPr="000D59B3" w:rsidRDefault="008E4418" w:rsidP="000D59B3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sectPr w:rsidR="008E4418" w:rsidRPr="000D59B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0CDAE" w14:textId="77777777" w:rsidR="004860C1" w:rsidRDefault="004860C1" w:rsidP="008B322F">
      <w:pPr>
        <w:spacing w:after="0" w:line="240" w:lineRule="auto"/>
      </w:pPr>
      <w:r>
        <w:separator/>
      </w:r>
    </w:p>
  </w:endnote>
  <w:endnote w:type="continuationSeparator" w:id="0">
    <w:p w14:paraId="6C75F69A" w14:textId="77777777" w:rsidR="004860C1" w:rsidRDefault="004860C1" w:rsidP="008B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219D2" w14:textId="77777777" w:rsidR="004860C1" w:rsidRDefault="004860C1" w:rsidP="008B322F">
      <w:pPr>
        <w:spacing w:after="0" w:line="240" w:lineRule="auto"/>
      </w:pPr>
      <w:r>
        <w:separator/>
      </w:r>
    </w:p>
  </w:footnote>
  <w:footnote w:type="continuationSeparator" w:id="0">
    <w:p w14:paraId="51D4E92C" w14:textId="77777777" w:rsidR="004860C1" w:rsidRDefault="004860C1" w:rsidP="008B3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17451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1539DE" w14:textId="6A4AAB2C" w:rsidR="008B322F" w:rsidRDefault="008B322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61364A" w14:textId="77777777" w:rsidR="008B322F" w:rsidRDefault="008B32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85D"/>
    <w:rsid w:val="00024151"/>
    <w:rsid w:val="00060CC3"/>
    <w:rsid w:val="000D59B3"/>
    <w:rsid w:val="0015585D"/>
    <w:rsid w:val="0016426A"/>
    <w:rsid w:val="002750DF"/>
    <w:rsid w:val="00400EDC"/>
    <w:rsid w:val="00456B28"/>
    <w:rsid w:val="00457F99"/>
    <w:rsid w:val="004860C1"/>
    <w:rsid w:val="007E7125"/>
    <w:rsid w:val="008B322F"/>
    <w:rsid w:val="008E4418"/>
    <w:rsid w:val="0093394C"/>
    <w:rsid w:val="00935D06"/>
    <w:rsid w:val="00B952AD"/>
    <w:rsid w:val="00BB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B732"/>
  <w15:chartTrackingRefBased/>
  <w15:docId w15:val="{6CCFFFDF-971D-4FB0-A993-3E8C0B80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22F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8B3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22F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7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sv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.D\Phd%20papers%20(in%20queue)\---------CBAB%20Submitted%20April%202024\3.%20XX\R\New%20folder\m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.D\Phd%20papers%20(in%20queue)\---------CBAB%20Submitted%20April%202024\3.%20XX\R\New%20folder\M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/>
              <a:t>a. M</a:t>
            </a:r>
            <a:r>
              <a:rPr lang="en-IN" baseline="-25000"/>
              <a:t>2</a:t>
            </a:r>
            <a:r>
              <a:rPr lang="en-IN"/>
              <a:t> generation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Eigenvalue</c:v>
          </c:tx>
          <c:spPr>
            <a:solidFill>
              <a:srgbClr val="2A7498"/>
            </a:solidFill>
            <a:ln>
              <a:solidFill>
                <a:srgbClr val="2A7498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'PCA3'!$C$35:$M$35</c:f>
              <c:strCache>
                <c:ptCount val="11"/>
                <c:pt idx="0">
                  <c:v>PC1</c:v>
                </c:pt>
                <c:pt idx="1">
                  <c:v>PC2</c:v>
                </c:pt>
                <c:pt idx="2">
                  <c:v>PC3</c:v>
                </c:pt>
                <c:pt idx="3">
                  <c:v>PC4</c:v>
                </c:pt>
                <c:pt idx="4">
                  <c:v>PC5</c:v>
                </c:pt>
                <c:pt idx="5">
                  <c:v>PC6</c:v>
                </c:pt>
                <c:pt idx="6">
                  <c:v>PC7</c:v>
                </c:pt>
                <c:pt idx="7">
                  <c:v>PC8</c:v>
                </c:pt>
                <c:pt idx="8">
                  <c:v>PC9</c:v>
                </c:pt>
                <c:pt idx="9">
                  <c:v>PC10</c:v>
                </c:pt>
                <c:pt idx="10">
                  <c:v>PC11</c:v>
                </c:pt>
              </c:strCache>
            </c:strRef>
          </c:cat>
          <c:val>
            <c:numRef>
              <c:f>'PCA3'!$C$36:$M$36</c:f>
              <c:numCache>
                <c:formatCode>0.00</c:formatCode>
                <c:ptCount val="11"/>
                <c:pt idx="0">
                  <c:v>4.9896823745799752</c:v>
                </c:pt>
                <c:pt idx="1">
                  <c:v>2.9336561171593609</c:v>
                </c:pt>
                <c:pt idx="2">
                  <c:v>1.7031915056763536</c:v>
                </c:pt>
                <c:pt idx="3">
                  <c:v>0.63082285366236523</c:v>
                </c:pt>
                <c:pt idx="4">
                  <c:v>0.53038115200201597</c:v>
                </c:pt>
                <c:pt idx="5">
                  <c:v>0.40317626329111961</c:v>
                </c:pt>
                <c:pt idx="6">
                  <c:v>0.32777652710387545</c:v>
                </c:pt>
                <c:pt idx="7">
                  <c:v>0.27941314089597757</c:v>
                </c:pt>
                <c:pt idx="8">
                  <c:v>0.1367401420646697</c:v>
                </c:pt>
                <c:pt idx="9">
                  <c:v>5.8870461373460733E-2</c:v>
                </c:pt>
                <c:pt idx="10">
                  <c:v>6.2894621908370328E-3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D-4157-82F0-40524F4A48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30"/>
        <c:axId val="632438319"/>
        <c:axId val="632422511"/>
      </c:barChart>
      <c:lineChart>
        <c:grouping val="standard"/>
        <c:varyColors val="0"/>
        <c:ser>
          <c:idx val="1"/>
          <c:order val="1"/>
          <c:tx>
            <c:v>Cumulative %</c:v>
          </c:tx>
          <c:spPr>
            <a:ln w="6350">
              <a:solidFill>
                <a:srgbClr val="FF0000"/>
              </a:solidFill>
              <a:prstDash val="solid"/>
            </a:ln>
            <a:effectLst/>
          </c:spPr>
          <c:marker>
            <c:symbol val="circle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'PCA3'!$C$35:$M$35</c:f>
              <c:strCache>
                <c:ptCount val="11"/>
                <c:pt idx="0">
                  <c:v>PC1</c:v>
                </c:pt>
                <c:pt idx="1">
                  <c:v>PC2</c:v>
                </c:pt>
                <c:pt idx="2">
                  <c:v>PC3</c:v>
                </c:pt>
                <c:pt idx="3">
                  <c:v>PC4</c:v>
                </c:pt>
                <c:pt idx="4">
                  <c:v>PC5</c:v>
                </c:pt>
                <c:pt idx="5">
                  <c:v>PC6</c:v>
                </c:pt>
                <c:pt idx="6">
                  <c:v>PC7</c:v>
                </c:pt>
                <c:pt idx="7">
                  <c:v>PC8</c:v>
                </c:pt>
                <c:pt idx="8">
                  <c:v>PC9</c:v>
                </c:pt>
                <c:pt idx="9">
                  <c:v>PC10</c:v>
                </c:pt>
                <c:pt idx="10">
                  <c:v>PC11</c:v>
                </c:pt>
              </c:strCache>
            </c:strRef>
          </c:cat>
          <c:val>
            <c:numRef>
              <c:f>'PCA3'!$C$38:$M$38</c:f>
              <c:numCache>
                <c:formatCode>0.00</c:formatCode>
                <c:ptCount val="11"/>
                <c:pt idx="0">
                  <c:v>41.580686454833085</c:v>
                </c:pt>
                <c:pt idx="1">
                  <c:v>66.027820764494408</c:v>
                </c:pt>
                <c:pt idx="2">
                  <c:v>80.221083311797344</c:v>
                </c:pt>
                <c:pt idx="3">
                  <c:v>85.477940425650388</c:v>
                </c:pt>
                <c:pt idx="4">
                  <c:v>89.897783359000513</c:v>
                </c:pt>
                <c:pt idx="5">
                  <c:v>93.257585553093179</c:v>
                </c:pt>
                <c:pt idx="6">
                  <c:v>95.989056612292131</c:v>
                </c:pt>
                <c:pt idx="7">
                  <c:v>98.317499453091941</c:v>
                </c:pt>
                <c:pt idx="8">
                  <c:v>99.457000636964182</c:v>
                </c:pt>
                <c:pt idx="9">
                  <c:v>99.947587815076361</c:v>
                </c:pt>
                <c:pt idx="10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ED-4157-82F0-40524F4A48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18963535"/>
        <c:axId val="577241183"/>
      </c:lineChart>
      <c:catAx>
        <c:axId val="632438319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axis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32422511"/>
        <c:crosses val="autoZero"/>
        <c:auto val="1"/>
        <c:lblAlgn val="ctr"/>
        <c:lblOffset val="100"/>
        <c:noMultiLvlLbl val="0"/>
      </c:catAx>
      <c:valAx>
        <c:axId val="632422511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Eigenvalue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crossAx val="632438319"/>
        <c:crosses val="autoZero"/>
        <c:crossBetween val="between"/>
      </c:valAx>
      <c:valAx>
        <c:axId val="577241183"/>
        <c:scaling>
          <c:orientation val="minMax"/>
          <c:max val="100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Cumulative variability (%)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crossAx val="318963535"/>
        <c:crosses val="max"/>
        <c:crossBetween val="between"/>
        <c:majorUnit val="20"/>
      </c:valAx>
      <c:catAx>
        <c:axId val="31896353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77241183"/>
        <c:crosses val="autoZero"/>
        <c:auto val="1"/>
        <c:lblAlgn val="ctr"/>
        <c:lblOffset val="100"/>
        <c:noMultiLvlLbl val="0"/>
      </c:catAx>
      <c:spPr>
        <a:ln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/>
              <a:t>b. M</a:t>
            </a:r>
            <a:r>
              <a:rPr lang="en-IN" baseline="-25000"/>
              <a:t>3</a:t>
            </a:r>
            <a:r>
              <a:rPr lang="en-IN"/>
              <a:t> generation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Eigenvalue</c:v>
          </c:tx>
          <c:spPr>
            <a:solidFill>
              <a:srgbClr val="2A7498"/>
            </a:solidFill>
            <a:ln>
              <a:solidFill>
                <a:srgbClr val="2A7498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PCA!$C$35:$M$35</c:f>
              <c:strCache>
                <c:ptCount val="11"/>
                <c:pt idx="0">
                  <c:v>PC1</c:v>
                </c:pt>
                <c:pt idx="1">
                  <c:v>PC2</c:v>
                </c:pt>
                <c:pt idx="2">
                  <c:v>PC3</c:v>
                </c:pt>
                <c:pt idx="3">
                  <c:v>PC4</c:v>
                </c:pt>
                <c:pt idx="4">
                  <c:v>PC5</c:v>
                </c:pt>
                <c:pt idx="5">
                  <c:v>PC6</c:v>
                </c:pt>
                <c:pt idx="6">
                  <c:v>PC7</c:v>
                </c:pt>
                <c:pt idx="7">
                  <c:v>PC8</c:v>
                </c:pt>
                <c:pt idx="8">
                  <c:v>PC9</c:v>
                </c:pt>
                <c:pt idx="9">
                  <c:v>PC10</c:v>
                </c:pt>
                <c:pt idx="10">
                  <c:v>PC11</c:v>
                </c:pt>
              </c:strCache>
            </c:strRef>
          </c:cat>
          <c:val>
            <c:numRef>
              <c:f>PCA!$C$36:$M$36</c:f>
              <c:numCache>
                <c:formatCode>0.00</c:formatCode>
                <c:ptCount val="11"/>
                <c:pt idx="0">
                  <c:v>4.4376443414128461</c:v>
                </c:pt>
                <c:pt idx="1">
                  <c:v>2.3713568395599158</c:v>
                </c:pt>
                <c:pt idx="2">
                  <c:v>1.5852540915790576</c:v>
                </c:pt>
                <c:pt idx="3">
                  <c:v>1.229816625658235</c:v>
                </c:pt>
                <c:pt idx="4">
                  <c:v>0.6765570111775373</c:v>
                </c:pt>
                <c:pt idx="5">
                  <c:v>0.60407491127166835</c:v>
                </c:pt>
                <c:pt idx="6">
                  <c:v>0.42163168731762557</c:v>
                </c:pt>
                <c:pt idx="7">
                  <c:v>0.28578900731087664</c:v>
                </c:pt>
                <c:pt idx="8">
                  <c:v>0.21364089827210597</c:v>
                </c:pt>
                <c:pt idx="9">
                  <c:v>9.409756605500888E-2</c:v>
                </c:pt>
                <c:pt idx="10">
                  <c:v>8.0137020385113472E-2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B8-421B-A8FD-040BAF0E5A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30"/>
        <c:axId val="1423888272"/>
        <c:axId val="1423880784"/>
      </c:barChart>
      <c:lineChart>
        <c:grouping val="standard"/>
        <c:varyColors val="0"/>
        <c:ser>
          <c:idx val="1"/>
          <c:order val="1"/>
          <c:tx>
            <c:v>Cumulative %</c:v>
          </c:tx>
          <c:spPr>
            <a:ln w="6350">
              <a:solidFill>
                <a:srgbClr val="FF0000"/>
              </a:solidFill>
              <a:prstDash val="solid"/>
            </a:ln>
            <a:effectLst/>
          </c:spPr>
          <c:marker>
            <c:symbol val="circle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PCA!$C$35:$M$35</c:f>
              <c:strCache>
                <c:ptCount val="11"/>
                <c:pt idx="0">
                  <c:v>PC1</c:v>
                </c:pt>
                <c:pt idx="1">
                  <c:v>PC2</c:v>
                </c:pt>
                <c:pt idx="2">
                  <c:v>PC3</c:v>
                </c:pt>
                <c:pt idx="3">
                  <c:v>PC4</c:v>
                </c:pt>
                <c:pt idx="4">
                  <c:v>PC5</c:v>
                </c:pt>
                <c:pt idx="5">
                  <c:v>PC6</c:v>
                </c:pt>
                <c:pt idx="6">
                  <c:v>PC7</c:v>
                </c:pt>
                <c:pt idx="7">
                  <c:v>PC8</c:v>
                </c:pt>
                <c:pt idx="8">
                  <c:v>PC9</c:v>
                </c:pt>
                <c:pt idx="9">
                  <c:v>PC10</c:v>
                </c:pt>
                <c:pt idx="10">
                  <c:v>PC11</c:v>
                </c:pt>
              </c:strCache>
            </c:strRef>
          </c:cat>
          <c:val>
            <c:numRef>
              <c:f>PCA!$C$38:$M$38</c:f>
              <c:numCache>
                <c:formatCode>0.00</c:formatCode>
                <c:ptCount val="11"/>
                <c:pt idx="0">
                  <c:v>36.980369511773752</c:v>
                </c:pt>
                <c:pt idx="1">
                  <c:v>56.741676508106401</c:v>
                </c:pt>
                <c:pt idx="2">
                  <c:v>69.952127271265226</c:v>
                </c:pt>
                <c:pt idx="3">
                  <c:v>80.200599151750524</c:v>
                </c:pt>
                <c:pt idx="4">
                  <c:v>85.838574244896677</c:v>
                </c:pt>
                <c:pt idx="5">
                  <c:v>90.872531838827257</c:v>
                </c:pt>
                <c:pt idx="6">
                  <c:v>94.386129233140807</c:v>
                </c:pt>
                <c:pt idx="7">
                  <c:v>96.767704294064785</c:v>
                </c:pt>
                <c:pt idx="8">
                  <c:v>98.548045112999006</c:v>
                </c:pt>
                <c:pt idx="9">
                  <c:v>99.332191496790742</c:v>
                </c:pt>
                <c:pt idx="10">
                  <c:v>100.00000000000003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8-421B-A8FD-040BAF0E5A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23890352"/>
        <c:axId val="1423877040"/>
      </c:lineChart>
      <c:catAx>
        <c:axId val="1423888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axis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423880784"/>
        <c:crosses val="autoZero"/>
        <c:auto val="1"/>
        <c:lblAlgn val="ctr"/>
        <c:lblOffset val="100"/>
        <c:noMultiLvlLbl val="0"/>
      </c:catAx>
      <c:valAx>
        <c:axId val="1423880784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Eigenvalue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crossAx val="1423888272"/>
        <c:crosses val="autoZero"/>
        <c:crossBetween val="between"/>
      </c:valAx>
      <c:valAx>
        <c:axId val="1423877040"/>
        <c:scaling>
          <c:orientation val="minMax"/>
          <c:max val="100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Cumulative variability (%)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crossAx val="1423890352"/>
        <c:crosses val="max"/>
        <c:crossBetween val="between"/>
        <c:majorUnit val="20"/>
      </c:valAx>
      <c:catAx>
        <c:axId val="1423890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23877040"/>
        <c:crosses val="autoZero"/>
        <c:auto val="1"/>
        <c:lblAlgn val="ctr"/>
        <c:lblOffset val="100"/>
        <c:noMultiLvlLbl val="0"/>
      </c:catAx>
      <c:spPr>
        <a:ln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2024-05-02T06:54:00Z</dcterms:created>
  <dcterms:modified xsi:type="dcterms:W3CDTF">2024-05-11T08:22:00Z</dcterms:modified>
</cp:coreProperties>
</file>