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F4" w:rsidRPr="00576BF0" w:rsidRDefault="006A2C9B">
      <w:pPr>
        <w:spacing w:after="160" w:line="259" w:lineRule="auto"/>
        <w:ind w:left="-851"/>
        <w:rPr>
          <w:color w:val="000000"/>
          <w:lang w:val="en-GB"/>
        </w:rPr>
      </w:pPr>
      <w:r w:rsidRPr="001938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576BF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Supplementary table </w:t>
      </w:r>
      <w:r w:rsidR="001938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</w:t>
      </w:r>
      <w:r w:rsidRPr="00576BF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</w:t>
      </w:r>
      <w:r w:rsidRPr="00576B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Forward (F) and reverse (R) primers sequences for each marker locus designed for </w:t>
      </w:r>
      <w:r w:rsidRPr="00576BF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Ilex </w:t>
      </w:r>
      <w:proofErr w:type="spellStart"/>
      <w:r w:rsidRPr="00576BF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paraguariensis</w:t>
      </w:r>
      <w:proofErr w:type="spellEnd"/>
      <w:r w:rsidRPr="00576BF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193884">
        <w:rPr>
          <w:rFonts w:ascii="Times New Roman" w:eastAsia="Times New Roman" w:hAnsi="Times New Roman" w:cs="Times New Roman"/>
          <w:sz w:val="24"/>
          <w:szCs w:val="24"/>
          <w:lang w:val="en-GB"/>
        </w:rPr>
        <w:t>from whole-genome sequence data</w:t>
      </w:r>
    </w:p>
    <w:tbl>
      <w:tblPr>
        <w:tblStyle w:val="a0"/>
        <w:tblW w:w="10215" w:type="dxa"/>
        <w:tblInd w:w="-1697" w:type="dxa"/>
        <w:tblBorders>
          <w:top w:val="nil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365"/>
        <w:gridCol w:w="4500"/>
      </w:tblGrid>
      <w:tr w:rsidR="00A366F4" w:rsidTr="00576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66F4" w:rsidRDefault="006A2C9B">
            <w:pPr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Locus</w:t>
            </w:r>
          </w:p>
        </w:tc>
        <w:tc>
          <w:tcPr>
            <w:tcW w:w="4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66F4" w:rsidRDefault="002C1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0"/>
                <w:id w:val="-1972126952"/>
              </w:sdtPr>
              <w:sdtEndPr/>
              <w:sdtContent>
                <w:r w:rsidR="006A2C9B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Primer </w:t>
                </w:r>
                <w:proofErr w:type="spellStart"/>
                <w:r w:rsidR="006A2C9B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sequences</w:t>
                </w:r>
                <w:proofErr w:type="spellEnd"/>
                <w:r w:rsidR="006A2C9B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 (5′−3′)</w:t>
                </w:r>
              </w:sdtContent>
            </w:sdt>
          </w:p>
          <w:p w:rsidR="00A366F4" w:rsidRDefault="006A2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66F4" w:rsidRDefault="002C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"/>
                <w:id w:val="-350725435"/>
              </w:sdtPr>
              <w:sdtEndPr/>
              <w:sdtContent>
                <w:r w:rsidR="006A2C9B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Primer </w:t>
                </w:r>
                <w:proofErr w:type="spellStart"/>
                <w:r w:rsidR="006A2C9B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sequences</w:t>
                </w:r>
                <w:proofErr w:type="spellEnd"/>
                <w:r w:rsidR="006A2C9B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 (5′−3′)</w:t>
                </w:r>
              </w:sdtContent>
            </w:sdt>
          </w:p>
          <w:p w:rsidR="00A366F4" w:rsidRDefault="006A2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</w:tcBorders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Ip100.1</w:t>
            </w:r>
          </w:p>
        </w:tc>
        <w:tc>
          <w:tcPr>
            <w:tcW w:w="4365" w:type="dxa"/>
            <w:tcBorders>
              <w:top w:val="single" w:sz="4" w:space="0" w:color="000000"/>
            </w:tcBorders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AGTCGCCACTGTTCTGTTCG </w:t>
            </w:r>
          </w:p>
        </w:tc>
        <w:tc>
          <w:tcPr>
            <w:tcW w:w="4500" w:type="dxa"/>
            <w:tcBorders>
              <w:top w:val="single" w:sz="4" w:space="0" w:color="000000"/>
            </w:tcBorders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ACCACAGAGTACTTTACGGGC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Ip100.2*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CAACTTCATGCCTCCACGTC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CCAACTGCTTGCTAAGTCGC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Ip100.3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GAGAGGTGGGTGGGTTTCTG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TGCCTTTCCATTCTTCTGCAC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Ip100.4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GGGTTTCAGGAATGTCAAGTGTC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GTACCGGCATCCACTAAGGC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Ip100.5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CTGTCACTCCCAATTACGTGC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TGGTTAACTTCTAGAAATGCTGGTG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Ip100.6*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GCGGAATAGTCATCCATTTCTGC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TTGCTCCGTCTGTGGTTAGG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Ip100.7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GCCTTCGATTGACTGACTGAC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TTCGCTCATCTCAGTGCCTC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Ip100.8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GACCACATTCCTATGCACACAC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AGAGCTTTCAATCAAATGGCCC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Ip100.9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AAGCAGTCTCCTTCAGTGGC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GTGGCCGAACTTTGAGAACC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Ip100.10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GGGTCAAAGTCGGGATTTAATCAAG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GCCTTCTCTCTCTACACTACTCC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Ip100.11*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ACACAATCTGATGCTGCGAAG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GTCATGTCATACAAGTGAGCCC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Ip100.12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ACATGAATAAATGACAGAGCCCG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GTTCGGAAGTTGCCATCTCAAG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Ip100.13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GGTCACTGCTCAGAGAGAAAGAG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CCATTGTATAGCTCACACACTGAC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Ip100.14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TGACACACTGTAGGGCCAAG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TGGCTCCCGAAGATCTGATTG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Ip100.15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TCCACCTCTACCTCCACCTC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CGCATGCCATCAAACAAAGC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Ip100.16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CTGCAGACAGTTTGAGCACAC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TTGTTCTTTGGGCTTGACTTTGC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Ip100.17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ACCTCCACCTCTACCTCCAC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CGCATGCCATCAAACAAAGC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Ip100.18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TTCCTACCAGAAACACATTGCAC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TGCAGTATTTCCATGCACTTTCAG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Ip100.19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CACAAACACCCACCCAACAG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TTGAGCCAGAGATGGAAGCC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Ip100.20*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ACCTTAACACTCCATCCATTTGC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TGGCAGGAAATTCGGGATCTC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Ip200.1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ATTCATATTTGTGTGTGTTGTGTGC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TCTGTTTCACTTATTCTCAACTGCC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Ip200.3*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AGGCTCTCTATGTCCGCTTG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TATGCCGCAGAGATGGGTTG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Ip200.4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CCTTGTTGCTTGACTAGACATGTG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AAGTGGCCAGTTTGCAAGTG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Ip200.5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CATGTTTCCCAGGTTTGCGC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TTGGGAAGAAGTGGCTGAGC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nil"/>
            </w:tcBorders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Ip200.6</w:t>
            </w:r>
          </w:p>
        </w:tc>
        <w:tc>
          <w:tcPr>
            <w:tcW w:w="4365" w:type="dxa"/>
            <w:tcBorders>
              <w:bottom w:val="nil"/>
            </w:tcBorders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TGAAGGCTCTCTATGTCCGC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TATGCCGCAGAGATGGGTTG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nil"/>
            </w:tcBorders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Ip200.7</w:t>
            </w:r>
          </w:p>
        </w:tc>
        <w:tc>
          <w:tcPr>
            <w:tcW w:w="4365" w:type="dxa"/>
            <w:tcBorders>
              <w:bottom w:val="nil"/>
            </w:tcBorders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CATCAGCTCACATAATCACTCCATC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GCCACGCACACATAACACAG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</w:tcBorders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Ip200.8*</w:t>
            </w:r>
          </w:p>
        </w:tc>
        <w:tc>
          <w:tcPr>
            <w:tcW w:w="4365" w:type="dxa"/>
            <w:tcBorders>
              <w:top w:val="nil"/>
            </w:tcBorders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GCCTCACTTCTCTCCATCCC</w:t>
            </w:r>
          </w:p>
        </w:tc>
        <w:tc>
          <w:tcPr>
            <w:tcW w:w="4500" w:type="dxa"/>
            <w:tcBorders>
              <w:top w:val="nil"/>
            </w:tcBorders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ATGTGTGTGTGCATGCGTTG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Ip200.9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AACAAGGGAATCGCACTCAATG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ACCCAGCCATACTCAGGTTG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Ip200.11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GGCTGAGCGAAGATTTGACG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GCGCCCATCAATGACACAAG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Ip200.12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TACAGAAGTGCTAACAACAGGGAG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ACCGAGGCCAATTATAGTTACTCC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Ip200.13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AATGAACTTTCCTTCCAACTCACC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CAGTAGTTGTAGCGTGACTTTCG</w:t>
            </w:r>
          </w:p>
        </w:tc>
      </w:tr>
      <w:tr w:rsidR="00A366F4" w:rsidTr="00576BF0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Ip200.16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GCTGAAAGGTGCATTGTCTCAC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ACAGATCATTTGAGAGGGAAAGGG</w:t>
            </w:r>
          </w:p>
        </w:tc>
      </w:tr>
      <w:tr w:rsidR="00A366F4" w:rsidTr="0057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Ip200.17*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GTAGCACGTTGTAGGCTAAGC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TTCGATCTTTGAGATTGTGGCG</w:t>
            </w:r>
          </w:p>
        </w:tc>
      </w:tr>
      <w:tr w:rsidR="00A366F4" w:rsidTr="00576BF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A366F4" w:rsidRDefault="006A2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Ip200.20</w:t>
            </w:r>
          </w:p>
        </w:tc>
        <w:tc>
          <w:tcPr>
            <w:tcW w:w="4365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TACATTGACTCTGCCTCCGG</w:t>
            </w:r>
          </w:p>
        </w:tc>
        <w:tc>
          <w:tcPr>
            <w:tcW w:w="4500" w:type="dxa"/>
            <w:shd w:val="clear" w:color="auto" w:fill="auto"/>
          </w:tcPr>
          <w:p w:rsidR="00A366F4" w:rsidRDefault="006A2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AGCCCTGTCCAAACCTAAGC</w:t>
            </w:r>
          </w:p>
        </w:tc>
      </w:tr>
    </w:tbl>
    <w:p w:rsidR="00193884" w:rsidRDefault="00193884">
      <w:pPr>
        <w:spacing w:after="160" w:line="259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*Locus </w:t>
      </w:r>
      <w:bookmarkStart w:id="1" w:name="_GoBack"/>
      <w:bookmarkEnd w:id="1"/>
      <w:r w:rsidRPr="007D04C9">
        <w:rPr>
          <w:rFonts w:ascii="Times New Roman" w:eastAsia="Times New Roman" w:hAnsi="Times New Roman" w:cs="Times New Roman"/>
          <w:sz w:val="24"/>
          <w:szCs w:val="24"/>
          <w:lang w:val="en-GB"/>
        </w:rPr>
        <w:t>used in multiplex</w:t>
      </w:r>
      <w:r w:rsidR="00AC484A" w:rsidRPr="007D04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amplifications</w:t>
      </w:r>
    </w:p>
    <w:p w:rsidR="00193884" w:rsidRDefault="00193884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DD4337" w:rsidRPr="00DD4337" w:rsidRDefault="00DD4337" w:rsidP="00DD4337">
      <w:pPr>
        <w:spacing w:after="160" w:line="259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DD433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lastRenderedPageBreak/>
        <w:drawing>
          <wp:inline distT="114300" distB="114300" distL="114300" distR="114300" wp14:anchorId="53AD0D4B" wp14:editId="30E3E6A4">
            <wp:extent cx="5731200" cy="4051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4337" w:rsidRPr="00DD4337" w:rsidRDefault="00DD4337" w:rsidP="00DD4337">
      <w:pPr>
        <w:spacing w:after="160" w:line="259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43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Supplementary Figure S1.</w:t>
      </w:r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Map with the locations of the Uruguayan populations of yerba mate included in this study. The 12 populations included in the diverse panel (one individual per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population)</w:t>
      </w:r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are represented by black circles. For the population level analysis, Population </w:t>
      </w:r>
      <w:proofErr w:type="spellStart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>Demicheli</w:t>
      </w:r>
      <w:proofErr w:type="spellEnd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(DM) is represented by a blue circle, population </w:t>
      </w:r>
      <w:proofErr w:type="spellStart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>Gruta</w:t>
      </w:r>
      <w:proofErr w:type="spellEnd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>los</w:t>
      </w:r>
      <w:proofErr w:type="spellEnd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>Helechos</w:t>
      </w:r>
      <w:proofErr w:type="spellEnd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(GH) by a yellow circle and population </w:t>
      </w:r>
      <w:proofErr w:type="spellStart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>Tapera</w:t>
      </w:r>
      <w:proofErr w:type="spellEnd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Ayala (TA) by a red circle. The scale bar represents 100 km. Samples were collected by Pablo Hernández, </w:t>
      </w:r>
      <w:proofErr w:type="spellStart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>Joaquín</w:t>
      </w:r>
      <w:proofErr w:type="spellEnd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>Garrido</w:t>
      </w:r>
      <w:proofErr w:type="spellEnd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Gabriela </w:t>
      </w:r>
      <w:proofErr w:type="spellStart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>Jolochin</w:t>
      </w:r>
      <w:proofErr w:type="spellEnd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Luis Rodríguez and Rodrigo </w:t>
      </w:r>
      <w:proofErr w:type="spellStart"/>
      <w:r w:rsidRPr="00DD4337">
        <w:rPr>
          <w:rFonts w:ascii="Times New Roman" w:eastAsia="Times New Roman" w:hAnsi="Times New Roman" w:cs="Times New Roman"/>
          <w:sz w:val="24"/>
          <w:szCs w:val="24"/>
          <w:lang w:val="en-GB"/>
        </w:rPr>
        <w:t>Olano</w:t>
      </w:r>
      <w:proofErr w:type="spellEnd"/>
    </w:p>
    <w:p w:rsidR="00A366F4" w:rsidRPr="00DD4337" w:rsidRDefault="00A366F4" w:rsidP="00DD4337">
      <w:pPr>
        <w:spacing w:after="160" w:line="259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A366F4" w:rsidRPr="00DD4337">
      <w:headerReference w:type="default" r:id="rId8"/>
      <w:pgSz w:w="11909" w:h="16834"/>
      <w:pgMar w:top="1440" w:right="1440" w:bottom="1440" w:left="25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DC" w:rsidRDefault="002C17DC">
      <w:pPr>
        <w:spacing w:line="240" w:lineRule="auto"/>
      </w:pPr>
      <w:r>
        <w:separator/>
      </w:r>
    </w:p>
  </w:endnote>
  <w:endnote w:type="continuationSeparator" w:id="0">
    <w:p w:rsidR="002C17DC" w:rsidRDefault="002C1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Constantia"/>
    <w:panose1 w:val="02030600000101010101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DC" w:rsidRDefault="002C17DC">
      <w:pPr>
        <w:spacing w:line="240" w:lineRule="auto"/>
      </w:pPr>
      <w:r>
        <w:separator/>
      </w:r>
    </w:p>
  </w:footnote>
  <w:footnote w:type="continuationSeparator" w:id="0">
    <w:p w:rsidR="002C17DC" w:rsidRDefault="002C1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F4" w:rsidRDefault="00A366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F4"/>
    <w:rsid w:val="001176C3"/>
    <w:rsid w:val="00193884"/>
    <w:rsid w:val="002128F2"/>
    <w:rsid w:val="002C17DC"/>
    <w:rsid w:val="00576BF0"/>
    <w:rsid w:val="006A2C9B"/>
    <w:rsid w:val="007D04C9"/>
    <w:rsid w:val="00A366F4"/>
    <w:rsid w:val="00AC484A"/>
    <w:rsid w:val="00B61FFD"/>
    <w:rsid w:val="00D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0CF0D-9C9C-4BDF-BB34-7884E254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2000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006"/>
  </w:style>
  <w:style w:type="paragraph" w:styleId="Piedepgina">
    <w:name w:val="footer"/>
    <w:basedOn w:val="Normal"/>
    <w:link w:val="PiedepginaCar"/>
    <w:uiPriority w:val="99"/>
    <w:unhideWhenUsed/>
    <w:rsid w:val="0082000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006"/>
  </w:style>
  <w:style w:type="paragraph" w:styleId="NormalWeb">
    <w:name w:val="Normal (Web)"/>
    <w:basedOn w:val="Normal"/>
    <w:uiPriority w:val="99"/>
    <w:unhideWhenUsed/>
    <w:rsid w:val="0027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/>
    </w:rPr>
  </w:style>
  <w:style w:type="table" w:customStyle="1" w:styleId="a0">
    <w:basedOn w:val="TableNormal0"/>
    <w:pPr>
      <w:spacing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PXk4Bf6Wk23y82ScyLjtr++p4w==">CgMxLjAaJQoBMBIgCh4IB0IaCg9UaW1lcyBOZXcgUm9tYW4SB0d1bmdzdWgaJQoBMRIgCh4IB0IaCg9UaW1lcyBOZXcgUm9tYW4SB0d1bmdzdWgyCGguZ2pkZ3hzMghoLmdqZGd4czgAciExV0hXS1ZPYUNlRWZlTEtQRl8wQ1pDMW50SzRqZ2d4Zk0=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2023-06-16T13:18:00Z</dcterms:created>
  <dcterms:modified xsi:type="dcterms:W3CDTF">2023-09-20T12:44:00Z</dcterms:modified>
</cp:coreProperties>
</file>