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A1A2D" w14:textId="6F44152C" w:rsidR="0070781E" w:rsidRPr="0032229D" w:rsidRDefault="00F96495" w:rsidP="00174747">
      <w:pPr>
        <w:spacing w:line="360" w:lineRule="auto"/>
        <w:ind w:firstLine="708"/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Online </w:t>
      </w:r>
      <w:r w:rsidR="00823CC5">
        <w:rPr>
          <w:b/>
          <w:lang w:val="en-US"/>
        </w:rPr>
        <w:t>Supplementary Materials</w:t>
      </w:r>
      <w:r w:rsidR="001D6984" w:rsidRPr="0032229D">
        <w:rPr>
          <w:b/>
          <w:lang w:val="en-US"/>
        </w:rPr>
        <w:t xml:space="preserve"> for the article</w:t>
      </w:r>
    </w:p>
    <w:p w14:paraId="14190432" w14:textId="28014153" w:rsidR="00DF7436" w:rsidRDefault="00722B8E" w:rsidP="00DF7436">
      <w:pPr>
        <w:pStyle w:val="ct"/>
        <w:keepNext w:val="0"/>
        <w:keepLines w:val="0"/>
        <w:widowControl w:val="0"/>
        <w:suppressAutoHyphens w:val="0"/>
        <w:adjustRightInd w:val="0"/>
        <w:snapToGrid w:val="0"/>
        <w:ind w:left="0" w:firstLine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How </w:t>
      </w:r>
      <w:r w:rsidR="00DF7436">
        <w:rPr>
          <w:bCs/>
          <w:sz w:val="24"/>
          <w:szCs w:val="24"/>
          <w:lang w:val="en-US"/>
        </w:rPr>
        <w:t xml:space="preserve">Constitutional and Institutional </w:t>
      </w:r>
      <w:r>
        <w:rPr>
          <w:bCs/>
          <w:sz w:val="24"/>
          <w:szCs w:val="24"/>
          <w:lang w:val="en-US"/>
        </w:rPr>
        <w:t>Rule</w:t>
      </w:r>
      <w:r w:rsidR="00DF7436">
        <w:rPr>
          <w:bCs/>
          <w:sz w:val="24"/>
          <w:szCs w:val="24"/>
          <w:lang w:val="en-US"/>
        </w:rPr>
        <w:t xml:space="preserve">s </w:t>
      </w:r>
      <w:r>
        <w:rPr>
          <w:bCs/>
          <w:sz w:val="24"/>
          <w:szCs w:val="24"/>
          <w:lang w:val="en-US"/>
        </w:rPr>
        <w:t>Affect</w:t>
      </w:r>
      <w:r w:rsidR="00DF7436">
        <w:rPr>
          <w:bCs/>
          <w:sz w:val="24"/>
          <w:szCs w:val="24"/>
          <w:lang w:val="en-US"/>
        </w:rPr>
        <w:t xml:space="preserve"> N</w:t>
      </w:r>
      <w:r w:rsidR="00DF7436" w:rsidRPr="00D54DD3">
        <w:rPr>
          <w:bCs/>
          <w:sz w:val="24"/>
          <w:szCs w:val="24"/>
          <w:lang w:val="en-US"/>
        </w:rPr>
        <w:t xml:space="preserve">on-partisan </w:t>
      </w:r>
      <w:r w:rsidR="00DF7436">
        <w:rPr>
          <w:bCs/>
          <w:sz w:val="24"/>
          <w:szCs w:val="24"/>
          <w:lang w:val="en-US"/>
        </w:rPr>
        <w:t>Ministerial A</w:t>
      </w:r>
      <w:r w:rsidR="00DF7436" w:rsidRPr="00D54DD3">
        <w:rPr>
          <w:bCs/>
          <w:sz w:val="24"/>
          <w:szCs w:val="24"/>
          <w:lang w:val="en-US"/>
        </w:rPr>
        <w:t>ppointments</w:t>
      </w:r>
      <w:r w:rsidR="00DF7436">
        <w:rPr>
          <w:bCs/>
          <w:sz w:val="24"/>
          <w:szCs w:val="24"/>
          <w:lang w:val="en-US"/>
        </w:rPr>
        <w:t xml:space="preserve">: </w:t>
      </w:r>
    </w:p>
    <w:p w14:paraId="1EC2B2E8" w14:textId="77777777" w:rsidR="00DF7436" w:rsidRDefault="00DF7436" w:rsidP="00DF7436">
      <w:pPr>
        <w:pStyle w:val="ct"/>
        <w:keepNext w:val="0"/>
        <w:keepLines w:val="0"/>
        <w:widowControl w:val="0"/>
        <w:suppressAutoHyphens w:val="0"/>
        <w:adjustRightInd w:val="0"/>
        <w:snapToGrid w:val="0"/>
        <w:ind w:left="0" w:firstLine="0"/>
        <w:jc w:val="center"/>
        <w:rPr>
          <w:bCs/>
          <w:sz w:val="24"/>
          <w:szCs w:val="24"/>
          <w:lang w:val="en-US"/>
        </w:rPr>
      </w:pPr>
      <w:r w:rsidRPr="00D54DD3">
        <w:rPr>
          <w:bCs/>
          <w:sz w:val="24"/>
          <w:szCs w:val="24"/>
          <w:lang w:val="en-US"/>
        </w:rPr>
        <w:t>Europe 1945–2024</w:t>
      </w:r>
    </w:p>
    <w:p w14:paraId="16C52AAC" w14:textId="1F8DC587" w:rsidR="00AC464E" w:rsidRPr="00D54DD3" w:rsidRDefault="00AC464E" w:rsidP="00DF7436">
      <w:pPr>
        <w:pStyle w:val="ct"/>
        <w:keepNext w:val="0"/>
        <w:keepLines w:val="0"/>
        <w:widowControl w:val="0"/>
        <w:suppressAutoHyphens w:val="0"/>
        <w:adjustRightInd w:val="0"/>
        <w:snapToGrid w:val="0"/>
        <w:ind w:left="0" w:firstLine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Elena Semenova, Keith Dowding and André Kaiser</w:t>
      </w:r>
    </w:p>
    <w:p w14:paraId="53EB3A51" w14:textId="77777777" w:rsidR="0061608B" w:rsidRDefault="0061608B" w:rsidP="0032229D">
      <w:pPr>
        <w:spacing w:line="360" w:lineRule="auto"/>
        <w:ind w:firstLine="708"/>
        <w:jc w:val="both"/>
        <w:rPr>
          <w:lang w:val="en-US"/>
        </w:rPr>
      </w:pPr>
    </w:p>
    <w:p w14:paraId="3DAE9666" w14:textId="3EABBAC3" w:rsidR="002F4E36" w:rsidRPr="0084043C" w:rsidRDefault="002115CF" w:rsidP="00E26909">
      <w:pPr>
        <w:spacing w:line="360" w:lineRule="auto"/>
        <w:jc w:val="both"/>
        <w:rPr>
          <w:b/>
          <w:bCs/>
          <w:lang w:val="en-US"/>
        </w:rPr>
      </w:pPr>
      <w:bookmarkStart w:id="1" w:name="_Hlk199076212"/>
      <w:r>
        <w:rPr>
          <w:b/>
          <w:bCs/>
          <w:lang w:val="en-US"/>
        </w:rPr>
        <w:t>Figure</w:t>
      </w:r>
      <w:r w:rsidR="00AA7600">
        <w:rPr>
          <w:b/>
          <w:bCs/>
          <w:lang w:val="en-US"/>
        </w:rPr>
        <w:t xml:space="preserve"> </w:t>
      </w:r>
      <w:r w:rsidR="0003633C">
        <w:rPr>
          <w:b/>
          <w:bCs/>
          <w:lang w:val="en-US"/>
        </w:rPr>
        <w:t>A</w:t>
      </w:r>
      <w:r w:rsidR="008B718C">
        <w:rPr>
          <w:b/>
          <w:bCs/>
          <w:lang w:val="en-US"/>
        </w:rPr>
        <w:t>1</w:t>
      </w:r>
      <w:r w:rsidR="00E01F6D">
        <w:rPr>
          <w:b/>
          <w:bCs/>
          <w:lang w:val="en-US"/>
        </w:rPr>
        <w:t xml:space="preserve">: </w:t>
      </w:r>
      <w:r w:rsidR="002F4E36" w:rsidRPr="0084043C">
        <w:rPr>
          <w:b/>
          <w:bCs/>
          <w:lang w:val="en-US"/>
        </w:rPr>
        <w:t xml:space="preserve">Development of </w:t>
      </w:r>
      <w:r w:rsidR="0029507E" w:rsidRPr="0084043C">
        <w:rPr>
          <w:b/>
          <w:bCs/>
          <w:lang w:val="en-US"/>
        </w:rPr>
        <w:t xml:space="preserve">non-partisan ministerial appointments </w:t>
      </w:r>
      <w:r w:rsidR="001B6DB8" w:rsidRPr="0084043C">
        <w:rPr>
          <w:b/>
          <w:bCs/>
          <w:lang w:val="en-US"/>
        </w:rPr>
        <w:t>over time</w:t>
      </w:r>
      <w:bookmarkEnd w:id="1"/>
    </w:p>
    <w:p w14:paraId="49E5D80E" w14:textId="15A76142" w:rsidR="001B6DB8" w:rsidRDefault="00C94361" w:rsidP="00C94361">
      <w:pPr>
        <w:spacing w:line="360" w:lineRule="auto"/>
        <w:jc w:val="both"/>
        <w:rPr>
          <w:lang w:val="en-US"/>
        </w:rPr>
      </w:pPr>
      <w:r w:rsidRPr="00C94361">
        <w:rPr>
          <w:noProof/>
          <w:lang w:val="en-US"/>
        </w:rPr>
        <w:drawing>
          <wp:inline distT="0" distB="0" distL="0" distR="0" wp14:anchorId="514AE277" wp14:editId="5132B3E6">
            <wp:extent cx="6031230" cy="3618865"/>
            <wp:effectExtent l="0" t="0" r="1270" b="635"/>
            <wp:docPr id="19410341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341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6501" w14:textId="3F9BE5B9" w:rsidR="002F4E36" w:rsidRPr="0032229D" w:rsidRDefault="00986F1E" w:rsidP="0032229D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Source: </w:t>
      </w:r>
      <w:r w:rsidR="00EB09FB">
        <w:rPr>
          <w:lang w:val="en-US"/>
        </w:rPr>
        <w:t>authors’ own calculations.</w:t>
      </w:r>
    </w:p>
    <w:p w14:paraId="0229267F" w14:textId="77777777" w:rsidR="00E51A82" w:rsidRPr="0032229D" w:rsidRDefault="00E51A82" w:rsidP="0032229D">
      <w:pPr>
        <w:spacing w:line="360" w:lineRule="auto"/>
        <w:ind w:firstLine="708"/>
        <w:jc w:val="both"/>
        <w:rPr>
          <w:lang w:val="en-US"/>
        </w:rPr>
      </w:pPr>
    </w:p>
    <w:p w14:paraId="7FB68D48" w14:textId="77777777" w:rsidR="006E3A64" w:rsidRPr="0032229D" w:rsidRDefault="006E3A64" w:rsidP="0032229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32229D">
        <w:rPr>
          <w:b/>
          <w:lang w:val="en-US"/>
        </w:rPr>
        <w:t xml:space="preserve">Marginal effects </w:t>
      </w:r>
      <w:r w:rsidR="007C31B1" w:rsidRPr="0032229D">
        <w:rPr>
          <w:b/>
          <w:lang w:val="en-US"/>
        </w:rPr>
        <w:t>of control variables</w:t>
      </w:r>
    </w:p>
    <w:p w14:paraId="1956F760" w14:textId="3B376DE4" w:rsidR="0033516B" w:rsidRPr="0032229D" w:rsidRDefault="00825742" w:rsidP="0032229D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 xml:space="preserve">In this </w:t>
      </w:r>
      <w:r w:rsidR="00DC35AA">
        <w:rPr>
          <w:lang w:val="en-US"/>
        </w:rPr>
        <w:t>section</w:t>
      </w:r>
      <w:r w:rsidR="006F0A75" w:rsidRPr="0032229D">
        <w:rPr>
          <w:lang w:val="en-US"/>
        </w:rPr>
        <w:t xml:space="preserve">, we </w:t>
      </w:r>
      <w:r w:rsidR="00294E53" w:rsidRPr="0032229D">
        <w:rPr>
          <w:lang w:val="en-US"/>
        </w:rPr>
        <w:t xml:space="preserve">describe the average marginal effects of </w:t>
      </w:r>
      <w:r w:rsidR="00955DAE" w:rsidRPr="0032229D">
        <w:rPr>
          <w:lang w:val="en-US"/>
        </w:rPr>
        <w:t xml:space="preserve">control variables on the likelihood and the magnitude of non-partisan appointments based on </w:t>
      </w:r>
      <w:r w:rsidR="00A841CB" w:rsidRPr="0032229D">
        <w:rPr>
          <w:lang w:val="en-US"/>
        </w:rPr>
        <w:t>Table 3</w:t>
      </w:r>
      <w:r w:rsidR="00A841CB">
        <w:rPr>
          <w:lang w:val="en-US"/>
        </w:rPr>
        <w:t xml:space="preserve"> (</w:t>
      </w:r>
      <w:r w:rsidR="00955DAE" w:rsidRPr="0032229D">
        <w:rPr>
          <w:lang w:val="en-US"/>
        </w:rPr>
        <w:t>Model II)</w:t>
      </w:r>
      <w:r w:rsidR="00BB5A5B" w:rsidRPr="0032229D">
        <w:rPr>
          <w:lang w:val="en-US"/>
        </w:rPr>
        <w:t xml:space="preserve"> in the main text.</w:t>
      </w:r>
    </w:p>
    <w:p w14:paraId="176F7FEC" w14:textId="18D8F7AA" w:rsidR="00986595" w:rsidRPr="004A21C8" w:rsidRDefault="00986595" w:rsidP="00C0485E">
      <w:pPr>
        <w:spacing w:line="360" w:lineRule="auto"/>
        <w:ind w:firstLine="708"/>
        <w:jc w:val="both"/>
        <w:rPr>
          <w:color w:val="000000" w:themeColor="text1"/>
          <w:lang w:val="en-US"/>
        </w:rPr>
      </w:pPr>
      <w:r w:rsidRPr="00E07613">
        <w:rPr>
          <w:color w:val="000000" w:themeColor="text1"/>
          <w:lang w:val="en-US"/>
        </w:rPr>
        <w:t>The likelihood of non-partisan appointments inc</w:t>
      </w:r>
      <w:r w:rsidRPr="006A47C3">
        <w:rPr>
          <w:color w:val="000000" w:themeColor="text1"/>
          <w:lang w:val="en-US"/>
        </w:rPr>
        <w:t>reases by some 1</w:t>
      </w:r>
      <w:r w:rsidR="00A97F82">
        <w:rPr>
          <w:color w:val="000000" w:themeColor="text1"/>
          <w:lang w:val="en-US"/>
        </w:rPr>
        <w:t>4</w:t>
      </w:r>
      <w:r w:rsidRPr="006A47C3">
        <w:rPr>
          <w:color w:val="000000" w:themeColor="text1"/>
          <w:lang w:val="en-US"/>
        </w:rPr>
        <w:t xml:space="preserve"> percentage points for a minority cabinet</w:t>
      </w:r>
      <w:r w:rsidR="00524EC1">
        <w:rPr>
          <w:color w:val="000000" w:themeColor="text1"/>
          <w:lang w:val="en-US"/>
        </w:rPr>
        <w:t xml:space="preserve"> and</w:t>
      </w:r>
      <w:r w:rsidR="001C058A">
        <w:rPr>
          <w:color w:val="000000" w:themeColor="text1"/>
          <w:lang w:val="en-US"/>
        </w:rPr>
        <w:t xml:space="preserve"> </w:t>
      </w:r>
      <w:r w:rsidRPr="006A47C3">
        <w:rPr>
          <w:color w:val="000000" w:themeColor="text1"/>
          <w:lang w:val="en-US"/>
        </w:rPr>
        <w:t>by 2</w:t>
      </w:r>
      <w:r w:rsidR="00E07613" w:rsidRPr="006A47C3">
        <w:rPr>
          <w:color w:val="000000" w:themeColor="text1"/>
          <w:lang w:val="en-US"/>
        </w:rPr>
        <w:t>4</w:t>
      </w:r>
      <w:r w:rsidRPr="006A47C3">
        <w:rPr>
          <w:color w:val="000000" w:themeColor="text1"/>
          <w:lang w:val="en-US"/>
        </w:rPr>
        <w:t xml:space="preserve"> percentage points if the cabinet has caretaker status (Figure </w:t>
      </w:r>
      <w:r w:rsidR="00824EB3">
        <w:rPr>
          <w:color w:val="000000" w:themeColor="text1"/>
          <w:lang w:val="en-US"/>
        </w:rPr>
        <w:t>A</w:t>
      </w:r>
      <w:r w:rsidR="00AE6EF1">
        <w:rPr>
          <w:color w:val="000000" w:themeColor="text1"/>
          <w:lang w:val="en-US"/>
        </w:rPr>
        <w:t>2</w:t>
      </w:r>
      <w:r w:rsidRPr="006A47C3">
        <w:rPr>
          <w:color w:val="000000" w:themeColor="text1"/>
          <w:lang w:val="en-US"/>
        </w:rPr>
        <w:t>). The age of the democracy (= new democracies) has the largest increasing average effect on the likelihood of non-partisan appointments (approximately 4</w:t>
      </w:r>
      <w:r w:rsidR="00A000D1" w:rsidRPr="006A47C3">
        <w:rPr>
          <w:color w:val="000000" w:themeColor="text1"/>
          <w:lang w:val="en-US"/>
        </w:rPr>
        <w:t>4</w:t>
      </w:r>
      <w:r w:rsidRPr="006A47C3">
        <w:rPr>
          <w:color w:val="000000" w:themeColor="text1"/>
          <w:lang w:val="en-US"/>
        </w:rPr>
        <w:t xml:space="preserve"> percentage points</w:t>
      </w:r>
      <w:r w:rsidRPr="004A21C8">
        <w:rPr>
          <w:color w:val="000000" w:themeColor="text1"/>
          <w:lang w:val="en-US"/>
        </w:rPr>
        <w:t>). Proportional electoral systems decrease the likelihood of non-partisan appointments by some 2</w:t>
      </w:r>
      <w:r w:rsidR="006A47C3" w:rsidRPr="004A21C8">
        <w:rPr>
          <w:color w:val="000000" w:themeColor="text1"/>
          <w:lang w:val="en-US"/>
        </w:rPr>
        <w:t>3</w:t>
      </w:r>
      <w:r w:rsidRPr="004A21C8">
        <w:rPr>
          <w:color w:val="000000" w:themeColor="text1"/>
          <w:lang w:val="en-US"/>
        </w:rPr>
        <w:t xml:space="preserve"> percentage points, while bicameralism, party institutionalization, and cohabitation have no substantial effect at all.</w:t>
      </w:r>
    </w:p>
    <w:p w14:paraId="34D07909" w14:textId="77777777" w:rsidR="00094A2E" w:rsidRPr="0032229D" w:rsidRDefault="00094A2E" w:rsidP="004A21C8">
      <w:pPr>
        <w:spacing w:line="360" w:lineRule="auto"/>
        <w:jc w:val="both"/>
        <w:rPr>
          <w:lang w:val="en-US"/>
        </w:rPr>
      </w:pPr>
    </w:p>
    <w:p w14:paraId="370C95AD" w14:textId="1EB59C2F" w:rsidR="00C2244C" w:rsidRDefault="00203E9E" w:rsidP="0032229D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 xml:space="preserve">Figure </w:t>
      </w:r>
      <w:r w:rsidR="001E4011">
        <w:rPr>
          <w:lang w:val="en-US"/>
        </w:rPr>
        <w:t>A</w:t>
      </w:r>
      <w:r w:rsidR="00AE6EF1">
        <w:rPr>
          <w:lang w:val="en-US"/>
        </w:rPr>
        <w:t>2</w:t>
      </w:r>
      <w:r w:rsidRPr="0032229D">
        <w:rPr>
          <w:lang w:val="en-US"/>
        </w:rPr>
        <w:t xml:space="preserve">: </w:t>
      </w:r>
      <w:r w:rsidR="00A763FF" w:rsidRPr="0032229D">
        <w:rPr>
          <w:lang w:val="en-US"/>
        </w:rPr>
        <w:t xml:space="preserve">Average marginal effects of </w:t>
      </w:r>
      <w:r w:rsidR="002000C5" w:rsidRPr="0032229D">
        <w:rPr>
          <w:lang w:val="en-US"/>
        </w:rPr>
        <w:t xml:space="preserve">the control variables on </w:t>
      </w:r>
      <w:r w:rsidR="00AF2787" w:rsidRPr="0032229D">
        <w:rPr>
          <w:lang w:val="en-US"/>
        </w:rPr>
        <w:t xml:space="preserve">the likelihood of </w:t>
      </w:r>
      <w:r w:rsidR="006C0674" w:rsidRPr="0032229D">
        <w:rPr>
          <w:lang w:val="en-US"/>
        </w:rPr>
        <w:t>non-partisan appointments (in percentage points</w:t>
      </w:r>
      <w:r w:rsidR="00927459">
        <w:rPr>
          <w:lang w:val="en-US"/>
        </w:rPr>
        <w:t>)</w:t>
      </w:r>
    </w:p>
    <w:p w14:paraId="68B3CEE6" w14:textId="4498B370" w:rsidR="00C2244C" w:rsidRPr="0063503F" w:rsidRDefault="0063503F" w:rsidP="0032229D">
      <w:pPr>
        <w:spacing w:line="360" w:lineRule="auto"/>
        <w:jc w:val="both"/>
        <w:rPr>
          <w:b/>
          <w:bCs/>
          <w:lang w:val="en-US"/>
        </w:rPr>
      </w:pPr>
      <w:r w:rsidRPr="0063503F">
        <w:rPr>
          <w:noProof/>
          <w:lang w:val="en-US"/>
        </w:rPr>
        <w:lastRenderedPageBreak/>
        <w:drawing>
          <wp:inline distT="0" distB="0" distL="0" distR="0" wp14:anchorId="31289AFE" wp14:editId="1E2724BD">
            <wp:extent cx="6031230" cy="3618865"/>
            <wp:effectExtent l="0" t="0" r="1270" b="635"/>
            <wp:docPr id="19152738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738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8BBC" w14:textId="70BC34DC" w:rsidR="00C2244C" w:rsidRDefault="003329CE" w:rsidP="002B2773">
      <w:pPr>
        <w:spacing w:line="360" w:lineRule="auto"/>
        <w:ind w:firstLine="708"/>
        <w:jc w:val="both"/>
        <w:rPr>
          <w:lang w:val="en-US"/>
        </w:rPr>
      </w:pPr>
      <w:r w:rsidRPr="0032229D">
        <w:rPr>
          <w:lang w:val="en-US"/>
        </w:rPr>
        <w:t xml:space="preserve">Note: based on </w:t>
      </w:r>
      <w:r w:rsidR="00B747E1">
        <w:rPr>
          <w:lang w:val="en-US"/>
        </w:rPr>
        <w:t>Table 3 (</w:t>
      </w:r>
      <w:r w:rsidRPr="0032229D">
        <w:rPr>
          <w:lang w:val="en-US"/>
        </w:rPr>
        <w:t xml:space="preserve">Model II, </w:t>
      </w:r>
      <w:r w:rsidR="00B747E1">
        <w:rPr>
          <w:lang w:val="en-US"/>
        </w:rPr>
        <w:t>B</w:t>
      </w:r>
      <w:r w:rsidR="00C56406" w:rsidRPr="0032229D">
        <w:rPr>
          <w:lang w:val="en-US"/>
        </w:rPr>
        <w:t>inary part)</w:t>
      </w:r>
    </w:p>
    <w:p w14:paraId="7854052D" w14:textId="2B3C5514" w:rsidR="0063503F" w:rsidRPr="00815F25" w:rsidRDefault="0063503F" w:rsidP="0063503F">
      <w:pPr>
        <w:spacing w:line="360" w:lineRule="auto"/>
        <w:jc w:val="both"/>
        <w:rPr>
          <w:color w:val="000000" w:themeColor="text1"/>
          <w:lang w:val="en-US"/>
        </w:rPr>
      </w:pPr>
    </w:p>
    <w:p w14:paraId="40A8A0EC" w14:textId="10650D49" w:rsidR="00C0485E" w:rsidRPr="00815F25" w:rsidRDefault="00C0485E" w:rsidP="00C0485E">
      <w:pPr>
        <w:spacing w:line="360" w:lineRule="auto"/>
        <w:ind w:firstLine="708"/>
        <w:jc w:val="both"/>
        <w:rPr>
          <w:color w:val="000000" w:themeColor="text1"/>
          <w:lang w:val="en-US"/>
        </w:rPr>
      </w:pPr>
      <w:r w:rsidRPr="00815F25">
        <w:rPr>
          <w:color w:val="000000" w:themeColor="text1"/>
          <w:lang w:val="en-US"/>
        </w:rPr>
        <w:t xml:space="preserve">Finally, as expected, the effects of party-system and cabinet fractionalization on the likelihood of non-partisan appointments take different directions. While more party-system fractionalization has no effect on the likelihood that non-partisans will be appointed to European cabinets, cabinet fractionalization increases it (Figure </w:t>
      </w:r>
      <w:r w:rsidR="00824EB3">
        <w:rPr>
          <w:color w:val="000000" w:themeColor="text1"/>
          <w:lang w:val="en-US"/>
        </w:rPr>
        <w:t>A</w:t>
      </w:r>
      <w:r w:rsidR="00664F74">
        <w:rPr>
          <w:color w:val="000000" w:themeColor="text1"/>
          <w:lang w:val="en-US"/>
        </w:rPr>
        <w:t>3</w:t>
      </w:r>
      <w:r w:rsidRPr="00815F25">
        <w:rPr>
          <w:color w:val="000000" w:themeColor="text1"/>
          <w:lang w:val="en-US"/>
        </w:rPr>
        <w:t>).</w:t>
      </w:r>
    </w:p>
    <w:p w14:paraId="61524106" w14:textId="77777777" w:rsidR="00274E02" w:rsidRPr="00815F25" w:rsidRDefault="00274E02" w:rsidP="00C0485E">
      <w:pPr>
        <w:spacing w:line="360" w:lineRule="auto"/>
        <w:jc w:val="both"/>
        <w:rPr>
          <w:color w:val="000000" w:themeColor="text1"/>
          <w:lang w:val="en-US"/>
        </w:rPr>
      </w:pPr>
    </w:p>
    <w:p w14:paraId="2B956078" w14:textId="68DF9357" w:rsidR="00AA60BC" w:rsidRPr="0032229D" w:rsidRDefault="00AA60BC" w:rsidP="0032229D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 xml:space="preserve">Figure </w:t>
      </w:r>
      <w:r w:rsidR="00824EB3">
        <w:rPr>
          <w:lang w:val="en-US"/>
        </w:rPr>
        <w:t>A</w:t>
      </w:r>
      <w:r w:rsidR="00413240">
        <w:rPr>
          <w:lang w:val="en-US"/>
        </w:rPr>
        <w:t>3</w:t>
      </w:r>
      <w:r w:rsidRPr="0032229D">
        <w:rPr>
          <w:lang w:val="en-US"/>
        </w:rPr>
        <w:t xml:space="preserve">: </w:t>
      </w:r>
      <w:r w:rsidR="009844D9" w:rsidRPr="0032229D">
        <w:rPr>
          <w:lang w:val="en-US"/>
        </w:rPr>
        <w:t xml:space="preserve">The marginal effects of </w:t>
      </w:r>
      <w:r w:rsidR="000E42DF" w:rsidRPr="0032229D">
        <w:rPr>
          <w:lang w:val="en-US"/>
        </w:rPr>
        <w:t xml:space="preserve">party system </w:t>
      </w:r>
      <w:r w:rsidR="006E0149" w:rsidRPr="0032229D">
        <w:rPr>
          <w:lang w:val="en-US"/>
        </w:rPr>
        <w:t xml:space="preserve">fractionalization </w:t>
      </w:r>
      <w:r w:rsidR="004D1F41" w:rsidRPr="0032229D">
        <w:rPr>
          <w:lang w:val="en-US"/>
        </w:rPr>
        <w:t xml:space="preserve">and cabinet fractionalization </w:t>
      </w:r>
      <w:r w:rsidR="003C47D3" w:rsidRPr="0032229D">
        <w:rPr>
          <w:lang w:val="en-US"/>
        </w:rPr>
        <w:t xml:space="preserve">on the likelihood of </w:t>
      </w:r>
      <w:r w:rsidR="00580F49" w:rsidRPr="0032229D">
        <w:rPr>
          <w:lang w:val="en-US"/>
        </w:rPr>
        <w:t>non-partisan appointments</w:t>
      </w:r>
    </w:p>
    <w:p w14:paraId="1CA2948B" w14:textId="542A1EB8" w:rsidR="00274E02" w:rsidRPr="0032229D" w:rsidRDefault="00C0485E" w:rsidP="00C0485E">
      <w:pPr>
        <w:spacing w:line="360" w:lineRule="auto"/>
        <w:jc w:val="both"/>
        <w:rPr>
          <w:lang w:val="en-US"/>
        </w:rPr>
      </w:pPr>
      <w:r w:rsidRPr="00C0485E">
        <w:rPr>
          <w:noProof/>
          <w:lang w:val="en-US"/>
        </w:rPr>
        <w:drawing>
          <wp:inline distT="0" distB="0" distL="0" distR="0" wp14:anchorId="6EE95142" wp14:editId="29BD5E00">
            <wp:extent cx="6031230" cy="3618865"/>
            <wp:effectExtent l="0" t="0" r="1270" b="635"/>
            <wp:docPr id="3987552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552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4DC6" w14:textId="6F8E052C" w:rsidR="000735B2" w:rsidRPr="0032229D" w:rsidRDefault="000735B2" w:rsidP="0032229D">
      <w:pPr>
        <w:spacing w:line="360" w:lineRule="auto"/>
        <w:ind w:firstLine="708"/>
        <w:jc w:val="both"/>
        <w:rPr>
          <w:lang w:val="en-US"/>
        </w:rPr>
      </w:pPr>
      <w:r w:rsidRPr="0032229D">
        <w:rPr>
          <w:lang w:val="en-US"/>
        </w:rPr>
        <w:t xml:space="preserve">Note: </w:t>
      </w:r>
      <w:r w:rsidR="00C93F08" w:rsidRPr="0032229D">
        <w:rPr>
          <w:lang w:val="en-US"/>
        </w:rPr>
        <w:t xml:space="preserve">based on </w:t>
      </w:r>
      <w:r w:rsidR="005F611A">
        <w:rPr>
          <w:lang w:val="en-US"/>
        </w:rPr>
        <w:t>Table 3 (</w:t>
      </w:r>
      <w:r w:rsidR="000F2021" w:rsidRPr="0032229D">
        <w:rPr>
          <w:lang w:val="en-US"/>
        </w:rPr>
        <w:t>Model II</w:t>
      </w:r>
      <w:r w:rsidR="005F611A">
        <w:rPr>
          <w:lang w:val="en-US"/>
        </w:rPr>
        <w:t>, B</w:t>
      </w:r>
      <w:r w:rsidR="000F2021" w:rsidRPr="0032229D">
        <w:rPr>
          <w:lang w:val="en-US"/>
        </w:rPr>
        <w:t>inary part</w:t>
      </w:r>
      <w:r w:rsidR="00DA3662">
        <w:rPr>
          <w:lang w:val="en-US"/>
        </w:rPr>
        <w:t>)</w:t>
      </w:r>
      <w:r w:rsidR="00824780" w:rsidRPr="0032229D">
        <w:rPr>
          <w:lang w:val="en-US"/>
        </w:rPr>
        <w:t>.</w:t>
      </w:r>
    </w:p>
    <w:p w14:paraId="19B8F5C2" w14:textId="77777777" w:rsidR="000735B2" w:rsidRDefault="000735B2" w:rsidP="00B05E8E">
      <w:pPr>
        <w:spacing w:line="360" w:lineRule="auto"/>
        <w:jc w:val="both"/>
        <w:rPr>
          <w:lang w:val="en-US"/>
        </w:rPr>
      </w:pPr>
    </w:p>
    <w:p w14:paraId="0D7D292F" w14:textId="77777777" w:rsidR="00C8315E" w:rsidRPr="0032229D" w:rsidRDefault="00C8315E" w:rsidP="00B05E8E">
      <w:pPr>
        <w:spacing w:line="360" w:lineRule="auto"/>
        <w:jc w:val="both"/>
        <w:rPr>
          <w:lang w:val="en-US"/>
        </w:rPr>
      </w:pPr>
    </w:p>
    <w:p w14:paraId="63899A7C" w14:textId="43A73CF0" w:rsidR="004A21C8" w:rsidRPr="004B4210" w:rsidRDefault="00085222" w:rsidP="004B4210">
      <w:pPr>
        <w:spacing w:line="360" w:lineRule="auto"/>
        <w:ind w:firstLine="708"/>
        <w:jc w:val="both"/>
        <w:rPr>
          <w:color w:val="000000" w:themeColor="text1"/>
          <w:lang w:val="en-US"/>
        </w:rPr>
      </w:pPr>
      <w:r>
        <w:rPr>
          <w:lang w:val="en-US"/>
        </w:rPr>
        <w:t>For the</w:t>
      </w:r>
      <w:r w:rsidR="005926A0" w:rsidRPr="0032229D">
        <w:rPr>
          <w:lang w:val="en-US"/>
        </w:rPr>
        <w:t xml:space="preserve"> magnitude of </w:t>
      </w:r>
      <w:r w:rsidR="00013286" w:rsidRPr="0032229D">
        <w:rPr>
          <w:lang w:val="en-US"/>
        </w:rPr>
        <w:t>non-partisan appointments</w:t>
      </w:r>
      <w:r w:rsidR="00E1019D" w:rsidRPr="0032229D">
        <w:rPr>
          <w:lang w:val="en-US"/>
        </w:rPr>
        <w:t xml:space="preserve"> (Table 3, Model II, fractional part)</w:t>
      </w:r>
      <w:r w:rsidR="00013286" w:rsidRPr="0032229D">
        <w:rPr>
          <w:lang w:val="en-US"/>
        </w:rPr>
        <w:t xml:space="preserve">, </w:t>
      </w:r>
      <w:r w:rsidR="00044663" w:rsidRPr="004B4210">
        <w:rPr>
          <w:color w:val="000000" w:themeColor="text1"/>
          <w:lang w:val="en-US"/>
        </w:rPr>
        <w:t>we see that the mean proportion of non-partisan appointments increases by some 33 percentage points if the cabinet has caretaker status. The age of the democracy</w:t>
      </w:r>
      <w:r w:rsidR="00603A9A" w:rsidRPr="004B4210">
        <w:rPr>
          <w:color w:val="000000" w:themeColor="text1"/>
          <w:lang w:val="en-US"/>
        </w:rPr>
        <w:t xml:space="preserve"> </w:t>
      </w:r>
      <w:r w:rsidR="00044663" w:rsidRPr="004B4210">
        <w:rPr>
          <w:color w:val="000000" w:themeColor="text1"/>
          <w:lang w:val="en-US"/>
        </w:rPr>
        <w:t xml:space="preserve">also has a positive effect on the mean proportion of non-partisans, increasing it by 11 percentage points if democracies are new (Figure </w:t>
      </w:r>
      <w:r w:rsidR="003A3335">
        <w:rPr>
          <w:color w:val="000000" w:themeColor="text1"/>
          <w:lang w:val="en-US"/>
        </w:rPr>
        <w:t>A4</w:t>
      </w:r>
      <w:r w:rsidR="00044663" w:rsidRPr="004B4210">
        <w:rPr>
          <w:color w:val="000000" w:themeColor="text1"/>
          <w:lang w:val="en-US"/>
        </w:rPr>
        <w:t>).</w:t>
      </w:r>
      <w:r w:rsidR="00060411" w:rsidRPr="004B4210">
        <w:rPr>
          <w:color w:val="000000" w:themeColor="text1"/>
          <w:lang w:val="en-US"/>
        </w:rPr>
        <w:t xml:space="preserve"> Many of other control factors do not have any significant effect on the magnitude of non-partisan appointments.</w:t>
      </w:r>
    </w:p>
    <w:p w14:paraId="3650B4D7" w14:textId="77777777" w:rsidR="0070781E" w:rsidRPr="0032229D" w:rsidRDefault="0070781E" w:rsidP="0032229D">
      <w:pPr>
        <w:spacing w:line="360" w:lineRule="auto"/>
        <w:jc w:val="both"/>
        <w:rPr>
          <w:lang w:val="en-US"/>
        </w:rPr>
      </w:pPr>
    </w:p>
    <w:p w14:paraId="51366C47" w14:textId="643C2C42" w:rsidR="0070781E" w:rsidRPr="0032229D" w:rsidRDefault="0070781E" w:rsidP="0032229D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>Figure</w:t>
      </w:r>
      <w:r w:rsidR="000826B8">
        <w:rPr>
          <w:lang w:val="en-US"/>
        </w:rPr>
        <w:t xml:space="preserve"> </w:t>
      </w:r>
      <w:r w:rsidR="001659D9">
        <w:rPr>
          <w:lang w:val="en-US"/>
        </w:rPr>
        <w:t>A4</w:t>
      </w:r>
      <w:r w:rsidRPr="0032229D">
        <w:rPr>
          <w:lang w:val="en-US"/>
        </w:rPr>
        <w:t>: Average effects of control variables on the magnitude of non-partisan appointments (in percentage points)</w:t>
      </w:r>
    </w:p>
    <w:p w14:paraId="2FE4C745" w14:textId="6A6503CC" w:rsidR="0070781E" w:rsidRPr="0032229D" w:rsidRDefault="00C9276D" w:rsidP="0032229D">
      <w:pPr>
        <w:spacing w:line="360" w:lineRule="auto"/>
        <w:jc w:val="both"/>
        <w:rPr>
          <w:lang w:val="en-US"/>
        </w:rPr>
      </w:pPr>
      <w:r w:rsidRPr="00044663">
        <w:rPr>
          <w:noProof/>
          <w:lang w:val="en-US"/>
        </w:rPr>
        <w:drawing>
          <wp:inline distT="0" distB="0" distL="0" distR="0" wp14:anchorId="404F9588" wp14:editId="225D74C5">
            <wp:extent cx="6031230" cy="3618865"/>
            <wp:effectExtent l="0" t="0" r="1270" b="635"/>
            <wp:docPr id="14937989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989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75FC" w14:textId="6B4AEAFD" w:rsidR="0070781E" w:rsidRPr="0032229D" w:rsidRDefault="0070781E" w:rsidP="0032229D">
      <w:pPr>
        <w:spacing w:line="360" w:lineRule="auto"/>
        <w:ind w:firstLine="708"/>
        <w:jc w:val="both"/>
        <w:rPr>
          <w:lang w:val="en-US"/>
        </w:rPr>
      </w:pPr>
      <w:r w:rsidRPr="0032229D">
        <w:rPr>
          <w:lang w:val="en-US"/>
        </w:rPr>
        <w:t>Note: based on Model II (Table 3, fractional part).</w:t>
      </w:r>
    </w:p>
    <w:p w14:paraId="5D642F2B" w14:textId="568FA532" w:rsidR="0003527A" w:rsidRDefault="0003527A" w:rsidP="0032229D">
      <w:pPr>
        <w:spacing w:line="360" w:lineRule="auto"/>
        <w:jc w:val="both"/>
        <w:rPr>
          <w:lang w:val="en-US"/>
        </w:rPr>
      </w:pPr>
    </w:p>
    <w:p w14:paraId="18E6655A" w14:textId="2448F672" w:rsidR="00060411" w:rsidRPr="00815F25" w:rsidRDefault="00060411" w:rsidP="00060411">
      <w:pPr>
        <w:spacing w:line="360" w:lineRule="auto"/>
        <w:ind w:firstLine="708"/>
        <w:jc w:val="both"/>
        <w:rPr>
          <w:color w:val="000000" w:themeColor="text1"/>
          <w:lang w:val="en-US"/>
        </w:rPr>
      </w:pPr>
      <w:r w:rsidRPr="00815F25">
        <w:rPr>
          <w:color w:val="000000" w:themeColor="text1"/>
          <w:lang w:val="en-US"/>
        </w:rPr>
        <w:t xml:space="preserve">The marginal effects of cabinet and party-system fractionalization show that the magnitude of non-partisan appointments substantially increases with growing parliamentary fractionalization and decreases with growing cabinet fractionalization (Figure </w:t>
      </w:r>
      <w:r w:rsidR="00B57830">
        <w:rPr>
          <w:color w:val="000000" w:themeColor="text1"/>
          <w:lang w:val="en-US"/>
        </w:rPr>
        <w:t>A5</w:t>
      </w:r>
      <w:r w:rsidRPr="00815F25">
        <w:rPr>
          <w:color w:val="000000" w:themeColor="text1"/>
          <w:lang w:val="en-US"/>
        </w:rPr>
        <w:t xml:space="preserve">). </w:t>
      </w:r>
    </w:p>
    <w:p w14:paraId="6184C2D8" w14:textId="77777777" w:rsidR="00D13333" w:rsidRPr="0032229D" w:rsidRDefault="00D13333" w:rsidP="00060411">
      <w:pPr>
        <w:spacing w:line="360" w:lineRule="auto"/>
        <w:jc w:val="both"/>
        <w:rPr>
          <w:lang w:val="en-US"/>
        </w:rPr>
      </w:pPr>
    </w:p>
    <w:p w14:paraId="3D33B561" w14:textId="4572CF50" w:rsidR="0070781E" w:rsidRDefault="0070781E" w:rsidP="0032229D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 xml:space="preserve">Figure </w:t>
      </w:r>
      <w:r w:rsidR="00B33C44">
        <w:rPr>
          <w:lang w:val="en-US"/>
        </w:rPr>
        <w:t>A5</w:t>
      </w:r>
      <w:r w:rsidRPr="0032229D">
        <w:rPr>
          <w:lang w:val="en-US"/>
        </w:rPr>
        <w:t xml:space="preserve">: </w:t>
      </w:r>
      <w:r w:rsidR="00060411">
        <w:rPr>
          <w:lang w:val="en-US"/>
        </w:rPr>
        <w:t>M</w:t>
      </w:r>
      <w:r w:rsidRPr="0032229D">
        <w:rPr>
          <w:lang w:val="en-US"/>
        </w:rPr>
        <w:t>arginal effects of party system and cabinet fractionalization on the magnitude of non-partisan appointments</w:t>
      </w:r>
    </w:p>
    <w:p w14:paraId="4F263F72" w14:textId="77777777" w:rsidR="006C078F" w:rsidRDefault="006C078F" w:rsidP="0032229D">
      <w:pPr>
        <w:spacing w:line="360" w:lineRule="auto"/>
        <w:jc w:val="both"/>
        <w:rPr>
          <w:lang w:val="en-US"/>
        </w:rPr>
      </w:pPr>
    </w:p>
    <w:p w14:paraId="463D9701" w14:textId="2DB015F3" w:rsidR="006C078F" w:rsidRPr="0032229D" w:rsidRDefault="006C078F" w:rsidP="0032229D">
      <w:pPr>
        <w:spacing w:line="360" w:lineRule="auto"/>
        <w:jc w:val="both"/>
        <w:rPr>
          <w:lang w:val="en-US"/>
        </w:rPr>
      </w:pPr>
      <w:r w:rsidRPr="006C078F">
        <w:rPr>
          <w:noProof/>
          <w:lang w:val="en-US"/>
        </w:rPr>
        <w:drawing>
          <wp:inline distT="0" distB="0" distL="0" distR="0" wp14:anchorId="5746C9D7" wp14:editId="0CB63343">
            <wp:extent cx="5683348" cy="3410128"/>
            <wp:effectExtent l="0" t="0" r="0" b="6350"/>
            <wp:docPr id="4565516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5164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8185" cy="34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22D13" w14:textId="3AFF6FE6" w:rsidR="0070781E" w:rsidRPr="0032229D" w:rsidRDefault="0070781E" w:rsidP="0032229D">
      <w:pPr>
        <w:spacing w:line="360" w:lineRule="auto"/>
        <w:ind w:firstLine="708"/>
        <w:jc w:val="both"/>
        <w:rPr>
          <w:lang w:val="en-US"/>
        </w:rPr>
      </w:pPr>
    </w:p>
    <w:p w14:paraId="1578A866" w14:textId="47A4F4DC" w:rsidR="00060411" w:rsidRPr="0032229D" w:rsidRDefault="0070781E" w:rsidP="006C078F">
      <w:pPr>
        <w:spacing w:line="360" w:lineRule="auto"/>
        <w:ind w:firstLine="708"/>
        <w:jc w:val="both"/>
        <w:rPr>
          <w:lang w:val="en-US"/>
        </w:rPr>
      </w:pPr>
      <w:r w:rsidRPr="0032229D">
        <w:rPr>
          <w:lang w:val="en-US"/>
        </w:rPr>
        <w:t xml:space="preserve">Note: </w:t>
      </w:r>
      <w:r w:rsidR="001B666C" w:rsidRPr="0032229D">
        <w:rPr>
          <w:lang w:val="en-US"/>
        </w:rPr>
        <w:t>based on Model II (Table 3, fractional part)</w:t>
      </w:r>
      <w:r w:rsidR="006C078F">
        <w:rPr>
          <w:lang w:val="en-US"/>
        </w:rPr>
        <w:t>.</w:t>
      </w:r>
    </w:p>
    <w:p w14:paraId="1DD34775" w14:textId="77777777" w:rsidR="006E3A64" w:rsidRPr="0032229D" w:rsidRDefault="006E3A64" w:rsidP="0032229D">
      <w:pPr>
        <w:spacing w:after="160" w:line="360" w:lineRule="auto"/>
        <w:jc w:val="both"/>
        <w:rPr>
          <w:lang w:val="en-US"/>
        </w:rPr>
      </w:pPr>
      <w:r w:rsidRPr="0032229D">
        <w:rPr>
          <w:lang w:val="en-US"/>
        </w:rPr>
        <w:br w:type="page"/>
      </w:r>
    </w:p>
    <w:p w14:paraId="563CC34E" w14:textId="6C31679D" w:rsidR="003F51C6" w:rsidRPr="00085222" w:rsidRDefault="006E3A64" w:rsidP="0032229D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32229D">
        <w:rPr>
          <w:b/>
          <w:lang w:val="en-US"/>
        </w:rPr>
        <w:t>Robustness</w:t>
      </w:r>
    </w:p>
    <w:p w14:paraId="3EBA5A8E" w14:textId="77777777" w:rsidR="00796A8A" w:rsidRDefault="00796A8A" w:rsidP="0032229D">
      <w:pPr>
        <w:spacing w:line="360" w:lineRule="auto"/>
        <w:jc w:val="both"/>
        <w:rPr>
          <w:lang w:val="en-US"/>
        </w:rPr>
      </w:pPr>
    </w:p>
    <w:p w14:paraId="2736E0BC" w14:textId="3B517320" w:rsidR="003E1930" w:rsidRPr="0032229D" w:rsidRDefault="003F51C6" w:rsidP="0032229D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 xml:space="preserve">We </w:t>
      </w:r>
      <w:r w:rsidR="00C24C5B" w:rsidRPr="0032229D">
        <w:rPr>
          <w:lang w:val="en-US"/>
        </w:rPr>
        <w:t xml:space="preserve">tested </w:t>
      </w:r>
      <w:r w:rsidR="00E57497" w:rsidRPr="0032229D">
        <w:rPr>
          <w:lang w:val="en-US"/>
        </w:rPr>
        <w:t xml:space="preserve">robustness of </w:t>
      </w:r>
      <w:r w:rsidR="003827BE" w:rsidRPr="0032229D">
        <w:rPr>
          <w:lang w:val="en-US"/>
        </w:rPr>
        <w:t xml:space="preserve">our results in different </w:t>
      </w:r>
      <w:r w:rsidR="003E1930" w:rsidRPr="0032229D">
        <w:rPr>
          <w:lang w:val="en-US"/>
        </w:rPr>
        <w:t>ways.</w:t>
      </w:r>
    </w:p>
    <w:p w14:paraId="7F585DE4" w14:textId="2A52D03A" w:rsidR="004D7F02" w:rsidRPr="0032229D" w:rsidRDefault="00B64F41" w:rsidP="0032229D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>a</w:t>
      </w:r>
      <w:r w:rsidR="004D7F02" w:rsidRPr="0032229D">
        <w:rPr>
          <w:lang w:val="en-US"/>
        </w:rPr>
        <w:t xml:space="preserve">) </w:t>
      </w:r>
      <w:r w:rsidR="0083393F" w:rsidRPr="00051EA7">
        <w:rPr>
          <w:i/>
          <w:lang w:val="en-US"/>
        </w:rPr>
        <w:t>A</w:t>
      </w:r>
      <w:r w:rsidR="00181641" w:rsidRPr="00051EA7">
        <w:rPr>
          <w:i/>
          <w:lang w:val="en-US"/>
        </w:rPr>
        <w:t>dditional control variables</w:t>
      </w:r>
    </w:p>
    <w:p w14:paraId="16801562" w14:textId="1513AEFD" w:rsidR="006E3A64" w:rsidRDefault="006D7CD9" w:rsidP="003107E1">
      <w:pPr>
        <w:spacing w:line="360" w:lineRule="auto"/>
        <w:jc w:val="both"/>
        <w:rPr>
          <w:lang w:val="en-US"/>
        </w:rPr>
      </w:pPr>
      <w:r w:rsidRPr="00615866">
        <w:rPr>
          <w:lang w:val="en-US"/>
        </w:rPr>
        <w:t xml:space="preserve">We tested the effects </w:t>
      </w:r>
      <w:r w:rsidR="00771309" w:rsidRPr="00615866">
        <w:rPr>
          <w:lang w:val="en-US"/>
        </w:rPr>
        <w:t xml:space="preserve">of the major </w:t>
      </w:r>
      <w:r w:rsidR="002C31A1" w:rsidRPr="00615866">
        <w:rPr>
          <w:lang w:val="en-US"/>
        </w:rPr>
        <w:t xml:space="preserve">explanatory variables </w:t>
      </w:r>
      <w:r w:rsidR="00DA25DF" w:rsidRPr="00615866">
        <w:rPr>
          <w:lang w:val="en-US"/>
        </w:rPr>
        <w:t xml:space="preserve">by including additional control variables. Among others, </w:t>
      </w:r>
      <w:r w:rsidR="00BE4D76" w:rsidRPr="00615866">
        <w:rPr>
          <w:lang w:val="en-US"/>
        </w:rPr>
        <w:t xml:space="preserve">we added </w:t>
      </w:r>
      <w:r w:rsidR="0055685C" w:rsidRPr="00615866">
        <w:rPr>
          <w:lang w:val="en-US"/>
        </w:rPr>
        <w:t xml:space="preserve">the </w:t>
      </w:r>
      <w:r w:rsidR="00BC3851" w:rsidRPr="00615866">
        <w:rPr>
          <w:lang w:val="en-US"/>
        </w:rPr>
        <w:t xml:space="preserve">variable </w:t>
      </w:r>
      <w:r w:rsidR="00FC46E5" w:rsidRPr="00615866">
        <w:rPr>
          <w:i/>
          <w:lang w:val="en-US"/>
        </w:rPr>
        <w:t>Decade</w:t>
      </w:r>
      <w:r w:rsidR="00FC46E5" w:rsidRPr="00615866">
        <w:rPr>
          <w:lang w:val="en-US"/>
        </w:rPr>
        <w:t>, which contains the information about the decade when the cabinet was formed, to account for time-varying developments in cabinet formation and party and electoral system developments that may affect the presence and the magnitude of non-partisan appointments</w:t>
      </w:r>
      <w:r w:rsidR="00A32B77" w:rsidRPr="00615866">
        <w:rPr>
          <w:lang w:val="en-US"/>
        </w:rPr>
        <w:t xml:space="preserve">. </w:t>
      </w:r>
      <w:r w:rsidR="006E3A64" w:rsidRPr="00615866">
        <w:rPr>
          <w:lang w:val="en-US"/>
        </w:rPr>
        <w:t xml:space="preserve">The results </w:t>
      </w:r>
      <w:r w:rsidR="009758C2" w:rsidRPr="00615866">
        <w:rPr>
          <w:lang w:val="en-US"/>
        </w:rPr>
        <w:t xml:space="preserve">of our two-step fractional response regressions remain </w:t>
      </w:r>
      <w:r w:rsidR="0032546E" w:rsidRPr="00615866">
        <w:rPr>
          <w:lang w:val="en-US"/>
        </w:rPr>
        <w:t>unchanged (</w:t>
      </w:r>
      <w:r w:rsidR="00AC7F93" w:rsidRPr="00615866">
        <w:rPr>
          <w:lang w:val="en-US"/>
        </w:rPr>
        <w:t xml:space="preserve">full </w:t>
      </w:r>
      <w:r w:rsidR="001926A5" w:rsidRPr="00615866">
        <w:rPr>
          <w:lang w:val="en-US"/>
        </w:rPr>
        <w:t>results are not reported here</w:t>
      </w:r>
      <w:r w:rsidR="0032546E" w:rsidRPr="00615866">
        <w:rPr>
          <w:lang w:val="en-US"/>
        </w:rPr>
        <w:t>)</w:t>
      </w:r>
      <w:r w:rsidR="00D95AB9" w:rsidRPr="00615866">
        <w:rPr>
          <w:lang w:val="en-US"/>
        </w:rPr>
        <w:t>.</w:t>
      </w:r>
      <w:r w:rsidR="001926A5" w:rsidRPr="0032229D">
        <w:rPr>
          <w:lang w:val="en-US"/>
        </w:rPr>
        <w:t xml:space="preserve"> </w:t>
      </w:r>
      <w:r w:rsidR="00261F95">
        <w:rPr>
          <w:lang w:val="en-US"/>
        </w:rPr>
        <w:t xml:space="preserve">The variable Decade </w:t>
      </w:r>
      <w:r w:rsidR="00586E38">
        <w:rPr>
          <w:lang w:val="en-US"/>
        </w:rPr>
        <w:t xml:space="preserve">has no significant </w:t>
      </w:r>
      <w:r w:rsidR="00020258">
        <w:rPr>
          <w:lang w:val="en-US"/>
        </w:rPr>
        <w:t>effect</w:t>
      </w:r>
      <w:r w:rsidR="00586E38">
        <w:rPr>
          <w:lang w:val="en-US"/>
        </w:rPr>
        <w:t xml:space="preserve"> </w:t>
      </w:r>
      <w:r w:rsidR="007A5389">
        <w:rPr>
          <w:lang w:val="en-US"/>
        </w:rPr>
        <w:t xml:space="preserve">on the likelihood of </w:t>
      </w:r>
      <w:r w:rsidR="002F2381">
        <w:rPr>
          <w:lang w:val="en-US"/>
        </w:rPr>
        <w:t>appointing any non-partisan ministers (</w:t>
      </w:r>
      <w:r w:rsidR="00D02440">
        <w:rPr>
          <w:lang w:val="en-US"/>
        </w:rPr>
        <w:t xml:space="preserve">Figure </w:t>
      </w:r>
      <w:r w:rsidR="00382765">
        <w:rPr>
          <w:lang w:val="en-US"/>
        </w:rPr>
        <w:t>A6</w:t>
      </w:r>
      <w:r w:rsidR="002F2381">
        <w:rPr>
          <w:lang w:val="en-US"/>
        </w:rPr>
        <w:t>)</w:t>
      </w:r>
      <w:r w:rsidR="0095246B">
        <w:rPr>
          <w:lang w:val="en-US"/>
        </w:rPr>
        <w:t>.</w:t>
      </w:r>
    </w:p>
    <w:p w14:paraId="21E54C53" w14:textId="77777777" w:rsidR="001469E4" w:rsidRDefault="001469E4" w:rsidP="003107E1">
      <w:pPr>
        <w:spacing w:line="360" w:lineRule="auto"/>
        <w:jc w:val="both"/>
        <w:rPr>
          <w:lang w:val="en-US"/>
        </w:rPr>
      </w:pPr>
    </w:p>
    <w:p w14:paraId="40BFD206" w14:textId="30C4F930" w:rsidR="008C1BC0" w:rsidRDefault="008C1BC0" w:rsidP="003107E1">
      <w:pPr>
        <w:spacing w:line="360" w:lineRule="auto"/>
        <w:jc w:val="both"/>
        <w:rPr>
          <w:lang w:val="en-US"/>
        </w:rPr>
      </w:pPr>
      <w:r w:rsidRPr="00884A21">
        <w:rPr>
          <w:i/>
          <w:iCs/>
          <w:lang w:val="en-US"/>
        </w:rPr>
        <w:t xml:space="preserve">Figure </w:t>
      </w:r>
      <w:r w:rsidR="00FD682C">
        <w:rPr>
          <w:i/>
          <w:iCs/>
          <w:lang w:val="en-US"/>
        </w:rPr>
        <w:t>A6</w:t>
      </w:r>
      <w:r>
        <w:rPr>
          <w:lang w:val="en-US"/>
        </w:rPr>
        <w:t xml:space="preserve">: The </w:t>
      </w:r>
      <w:r w:rsidR="00926CEA">
        <w:rPr>
          <w:lang w:val="en-US"/>
        </w:rPr>
        <w:t>m</w:t>
      </w:r>
      <w:r w:rsidR="003C232D">
        <w:rPr>
          <w:lang w:val="en-US"/>
        </w:rPr>
        <w:t xml:space="preserve">arginal effects of the </w:t>
      </w:r>
      <w:r w:rsidR="00156D88">
        <w:rPr>
          <w:lang w:val="en-US"/>
        </w:rPr>
        <w:t xml:space="preserve">Decade </w:t>
      </w:r>
      <w:r w:rsidR="00AE56D1">
        <w:rPr>
          <w:lang w:val="en-US"/>
        </w:rPr>
        <w:t>on the likelihood of having at least one non-partisan minister</w:t>
      </w:r>
    </w:p>
    <w:p w14:paraId="484FB8A7" w14:textId="79EA5555" w:rsidR="001469E4" w:rsidRDefault="001469E4" w:rsidP="003107E1">
      <w:pPr>
        <w:spacing w:line="360" w:lineRule="auto"/>
        <w:jc w:val="both"/>
        <w:rPr>
          <w:lang w:val="en-US"/>
        </w:rPr>
      </w:pPr>
      <w:r w:rsidRPr="001469E4">
        <w:rPr>
          <w:noProof/>
          <w:lang w:val="en-US"/>
        </w:rPr>
        <w:drawing>
          <wp:inline distT="0" distB="0" distL="0" distR="0" wp14:anchorId="2DD89D09" wp14:editId="3B4CE946">
            <wp:extent cx="6031230" cy="3618865"/>
            <wp:effectExtent l="0" t="0" r="1270" b="635"/>
            <wp:docPr id="11816759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759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12C23" w14:textId="1F3E3820" w:rsidR="001469E4" w:rsidRDefault="002A3AB0" w:rsidP="003107E1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Note: Based on </w:t>
      </w:r>
      <w:r w:rsidR="004142ED">
        <w:rPr>
          <w:lang w:val="en-US"/>
        </w:rPr>
        <w:t xml:space="preserve">Model </w:t>
      </w:r>
      <w:r w:rsidR="00D179C5">
        <w:rPr>
          <w:lang w:val="en-US"/>
        </w:rPr>
        <w:t>II (Table 3).</w:t>
      </w:r>
    </w:p>
    <w:p w14:paraId="45D5786D" w14:textId="77777777" w:rsidR="00292D62" w:rsidRDefault="00292D62" w:rsidP="003107E1">
      <w:pPr>
        <w:spacing w:line="360" w:lineRule="auto"/>
        <w:jc w:val="both"/>
        <w:rPr>
          <w:lang w:val="en-US"/>
        </w:rPr>
      </w:pPr>
    </w:p>
    <w:p w14:paraId="1A62282D" w14:textId="14973D7F" w:rsidR="004E5996" w:rsidRDefault="00615866" w:rsidP="003107E1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However, there is a small </w:t>
      </w:r>
      <w:r w:rsidR="00A83FAE">
        <w:rPr>
          <w:lang w:val="en-US"/>
        </w:rPr>
        <w:t xml:space="preserve">positive effect on </w:t>
      </w:r>
      <w:r w:rsidR="008F2F47">
        <w:rPr>
          <w:lang w:val="en-US"/>
        </w:rPr>
        <w:t xml:space="preserve">the magnitude of </w:t>
      </w:r>
      <w:r w:rsidR="00C14F74">
        <w:rPr>
          <w:lang w:val="en-US"/>
        </w:rPr>
        <w:t>non-partisan appointments</w:t>
      </w:r>
      <w:r w:rsidR="00C44660">
        <w:rPr>
          <w:lang w:val="en-US"/>
        </w:rPr>
        <w:t xml:space="preserve"> (</w:t>
      </w:r>
      <w:r w:rsidR="004C4644">
        <w:rPr>
          <w:lang w:val="en-US"/>
        </w:rPr>
        <w:t xml:space="preserve">p&lt; 0.1) </w:t>
      </w:r>
      <w:r w:rsidR="00077A54">
        <w:rPr>
          <w:lang w:val="en-US"/>
        </w:rPr>
        <w:t xml:space="preserve">since </w:t>
      </w:r>
      <w:r w:rsidR="00A03C0B">
        <w:rPr>
          <w:lang w:val="en-US"/>
        </w:rPr>
        <w:t xml:space="preserve">the </w:t>
      </w:r>
      <w:r w:rsidR="00077A54">
        <w:rPr>
          <w:lang w:val="en-US"/>
        </w:rPr>
        <w:t>2000s</w:t>
      </w:r>
      <w:r w:rsidR="00A8236F">
        <w:rPr>
          <w:lang w:val="en-US"/>
        </w:rPr>
        <w:t xml:space="preserve">. </w:t>
      </w:r>
      <w:r w:rsidR="007E3C94">
        <w:rPr>
          <w:lang w:val="en-US"/>
        </w:rPr>
        <w:t xml:space="preserve">If the predictive </w:t>
      </w:r>
      <w:r w:rsidR="009B4331">
        <w:rPr>
          <w:lang w:val="en-US"/>
        </w:rPr>
        <w:t xml:space="preserve">mean </w:t>
      </w:r>
      <w:r w:rsidR="00D20C15">
        <w:rPr>
          <w:lang w:val="en-US"/>
        </w:rPr>
        <w:t xml:space="preserve">of </w:t>
      </w:r>
      <w:r w:rsidR="005A217D">
        <w:rPr>
          <w:lang w:val="en-US"/>
        </w:rPr>
        <w:t xml:space="preserve">non-partisan </w:t>
      </w:r>
      <w:r w:rsidR="00CA66D7">
        <w:rPr>
          <w:lang w:val="en-US"/>
        </w:rPr>
        <w:t xml:space="preserve">appointments was as high as 16% in the 1940s, </w:t>
      </w:r>
      <w:r w:rsidR="008C4375">
        <w:rPr>
          <w:lang w:val="en-US"/>
        </w:rPr>
        <w:t xml:space="preserve">it became </w:t>
      </w:r>
      <w:r w:rsidR="005641EF">
        <w:rPr>
          <w:lang w:val="en-US"/>
        </w:rPr>
        <w:t xml:space="preserve">25% in the 2000s and </w:t>
      </w:r>
      <w:r w:rsidR="003E6FDB">
        <w:rPr>
          <w:lang w:val="en-US"/>
        </w:rPr>
        <w:t xml:space="preserve">increased </w:t>
      </w:r>
      <w:r w:rsidR="005E4483">
        <w:rPr>
          <w:lang w:val="en-US"/>
        </w:rPr>
        <w:t xml:space="preserve">to </w:t>
      </w:r>
      <w:r w:rsidR="000F6102">
        <w:rPr>
          <w:lang w:val="en-US"/>
        </w:rPr>
        <w:t xml:space="preserve">28% </w:t>
      </w:r>
      <w:r w:rsidR="0036289A">
        <w:rPr>
          <w:lang w:val="en-US"/>
        </w:rPr>
        <w:t>in the early 2020s</w:t>
      </w:r>
      <w:r w:rsidR="00930D95">
        <w:rPr>
          <w:lang w:val="en-US"/>
        </w:rPr>
        <w:t xml:space="preserve"> (Figure </w:t>
      </w:r>
      <w:r w:rsidR="000F3DD8">
        <w:rPr>
          <w:lang w:val="en-US"/>
        </w:rPr>
        <w:t>A7</w:t>
      </w:r>
      <w:r w:rsidR="00147CFD">
        <w:rPr>
          <w:lang w:val="en-US"/>
        </w:rPr>
        <w:t>)</w:t>
      </w:r>
      <w:r w:rsidR="00B072B1">
        <w:rPr>
          <w:lang w:val="en-US"/>
        </w:rPr>
        <w:t>.</w:t>
      </w:r>
    </w:p>
    <w:p w14:paraId="634C3C01" w14:textId="77777777" w:rsidR="00CF46F8" w:rsidRDefault="00CF46F8" w:rsidP="003107E1">
      <w:pPr>
        <w:spacing w:line="360" w:lineRule="auto"/>
        <w:jc w:val="both"/>
        <w:rPr>
          <w:lang w:val="en-US"/>
        </w:rPr>
      </w:pPr>
    </w:p>
    <w:p w14:paraId="424649F1" w14:textId="2B209DE1" w:rsidR="00292D62" w:rsidRDefault="0034577B" w:rsidP="003107E1">
      <w:pPr>
        <w:spacing w:line="360" w:lineRule="auto"/>
        <w:jc w:val="both"/>
        <w:rPr>
          <w:lang w:val="en-US"/>
        </w:rPr>
      </w:pPr>
      <w:r w:rsidRPr="004E5996">
        <w:rPr>
          <w:i/>
          <w:iCs/>
          <w:lang w:val="en-US"/>
        </w:rPr>
        <w:t xml:space="preserve">Figure </w:t>
      </w:r>
      <w:r w:rsidR="000F3DD8">
        <w:rPr>
          <w:i/>
          <w:iCs/>
          <w:lang w:val="en-US"/>
        </w:rPr>
        <w:t>A7</w:t>
      </w:r>
      <w:r>
        <w:rPr>
          <w:lang w:val="en-US"/>
        </w:rPr>
        <w:t xml:space="preserve">: </w:t>
      </w:r>
      <w:r w:rsidR="00DD4320">
        <w:rPr>
          <w:lang w:val="en-US"/>
        </w:rPr>
        <w:t xml:space="preserve">The marginal effects of </w:t>
      </w:r>
      <w:r w:rsidR="00D17F79">
        <w:rPr>
          <w:lang w:val="en-US"/>
        </w:rPr>
        <w:t xml:space="preserve">Decade on the magnitude of </w:t>
      </w:r>
      <w:r w:rsidR="001731C5">
        <w:rPr>
          <w:lang w:val="en-US"/>
        </w:rPr>
        <w:t>non-partisan ministerial appointments</w:t>
      </w:r>
    </w:p>
    <w:p w14:paraId="25E00BC7" w14:textId="5F007A87" w:rsidR="00292D62" w:rsidRPr="0032229D" w:rsidRDefault="00292D62" w:rsidP="003107E1">
      <w:pPr>
        <w:spacing w:line="360" w:lineRule="auto"/>
        <w:jc w:val="both"/>
        <w:rPr>
          <w:lang w:val="en-US"/>
        </w:rPr>
      </w:pPr>
      <w:r w:rsidRPr="00292D62">
        <w:rPr>
          <w:noProof/>
          <w:lang w:val="en-US"/>
        </w:rPr>
        <w:drawing>
          <wp:inline distT="0" distB="0" distL="0" distR="0" wp14:anchorId="30696AB4" wp14:editId="52798075">
            <wp:extent cx="6031230" cy="3618865"/>
            <wp:effectExtent l="0" t="0" r="1270" b="635"/>
            <wp:docPr id="6578781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7819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6315" w14:textId="77777777" w:rsidR="00EF3DE0" w:rsidRDefault="00EF3DE0" w:rsidP="00085222">
      <w:pPr>
        <w:spacing w:line="360" w:lineRule="auto"/>
        <w:ind w:firstLine="708"/>
        <w:jc w:val="both"/>
        <w:rPr>
          <w:lang w:val="en-US"/>
        </w:rPr>
      </w:pPr>
    </w:p>
    <w:p w14:paraId="4AC11C0E" w14:textId="6BBC6695" w:rsidR="006E3A64" w:rsidRPr="0032229D" w:rsidRDefault="00B22C8F" w:rsidP="00085222">
      <w:pPr>
        <w:spacing w:line="360" w:lineRule="auto"/>
        <w:ind w:firstLine="708"/>
        <w:jc w:val="both"/>
        <w:rPr>
          <w:lang w:val="en-US"/>
        </w:rPr>
      </w:pPr>
      <w:r w:rsidRPr="0032229D">
        <w:rPr>
          <w:lang w:val="en-US"/>
        </w:rPr>
        <w:t xml:space="preserve">We also </w:t>
      </w:r>
      <w:r w:rsidR="0091213C" w:rsidRPr="0032229D">
        <w:rPr>
          <w:lang w:val="en-US"/>
        </w:rPr>
        <w:t xml:space="preserve">tested </w:t>
      </w:r>
      <w:r w:rsidR="00670BD3" w:rsidRPr="0032229D">
        <w:rPr>
          <w:lang w:val="en-US"/>
        </w:rPr>
        <w:t xml:space="preserve">whether </w:t>
      </w:r>
      <w:r w:rsidR="00CF05F4" w:rsidRPr="0032229D">
        <w:rPr>
          <w:lang w:val="en-US"/>
        </w:rPr>
        <w:t xml:space="preserve">the likelihood and magnitude of </w:t>
      </w:r>
      <w:r w:rsidR="00582A82" w:rsidRPr="0032229D">
        <w:rPr>
          <w:lang w:val="en-US"/>
        </w:rPr>
        <w:t xml:space="preserve">non-partisan </w:t>
      </w:r>
      <w:r w:rsidR="00653F19" w:rsidRPr="0032229D">
        <w:rPr>
          <w:lang w:val="en-US"/>
        </w:rPr>
        <w:t>appointments</w:t>
      </w:r>
      <w:r w:rsidR="00582A82" w:rsidRPr="0032229D">
        <w:rPr>
          <w:lang w:val="en-US"/>
        </w:rPr>
        <w:t xml:space="preserve"> are influenced by </w:t>
      </w:r>
      <w:r w:rsidR="00110A9E" w:rsidRPr="0032229D">
        <w:rPr>
          <w:i/>
          <w:lang w:val="en-US"/>
        </w:rPr>
        <w:t xml:space="preserve">the cabinet’s </w:t>
      </w:r>
      <w:r w:rsidR="002A2327" w:rsidRPr="0032229D">
        <w:rPr>
          <w:i/>
          <w:lang w:val="en-US"/>
        </w:rPr>
        <w:t xml:space="preserve">ideological </w:t>
      </w:r>
      <w:r w:rsidR="004F25D7" w:rsidRPr="0032229D">
        <w:rPr>
          <w:i/>
          <w:lang w:val="en-US"/>
        </w:rPr>
        <w:t>orientation</w:t>
      </w:r>
      <w:r w:rsidR="00520110">
        <w:rPr>
          <w:lang w:val="en-US"/>
        </w:rPr>
        <w:t xml:space="preserve">, starting from the assumption </w:t>
      </w:r>
      <w:r w:rsidR="005D6B1B" w:rsidRPr="0032229D">
        <w:rPr>
          <w:lang w:val="en-US"/>
        </w:rPr>
        <w:t xml:space="preserve">that </w:t>
      </w:r>
      <w:r w:rsidR="00EB0704" w:rsidRPr="0032229D">
        <w:rPr>
          <w:lang w:val="en-US"/>
        </w:rPr>
        <w:t xml:space="preserve">left-wing </w:t>
      </w:r>
      <w:r w:rsidR="00520110">
        <w:rPr>
          <w:lang w:val="en-US"/>
        </w:rPr>
        <w:t xml:space="preserve">parties might be </w:t>
      </w:r>
      <w:r w:rsidR="008741F0" w:rsidRPr="0032229D">
        <w:rPr>
          <w:lang w:val="en-US"/>
        </w:rPr>
        <w:t>more averse</w:t>
      </w:r>
      <w:r w:rsidR="00993563" w:rsidRPr="0032229D">
        <w:rPr>
          <w:lang w:val="en-US"/>
        </w:rPr>
        <w:t xml:space="preserve"> toward </w:t>
      </w:r>
      <w:r w:rsidR="00614844" w:rsidRPr="0032229D">
        <w:rPr>
          <w:lang w:val="en-US"/>
        </w:rPr>
        <w:t xml:space="preserve">non-partisans than their right-wing </w:t>
      </w:r>
      <w:r w:rsidR="00346164" w:rsidRPr="0032229D">
        <w:rPr>
          <w:lang w:val="en-US"/>
        </w:rPr>
        <w:t xml:space="preserve">counterparts. </w:t>
      </w:r>
      <w:r w:rsidR="00844DA4" w:rsidRPr="0032229D">
        <w:rPr>
          <w:lang w:val="en-US"/>
        </w:rPr>
        <w:t xml:space="preserve">We used two </w:t>
      </w:r>
      <w:r w:rsidR="001A361E" w:rsidRPr="0032229D">
        <w:rPr>
          <w:lang w:val="en-US"/>
        </w:rPr>
        <w:t>types of variables for this hypothesis</w:t>
      </w:r>
      <w:r w:rsidR="00BE2FF5" w:rsidRPr="0032229D">
        <w:rPr>
          <w:lang w:val="en-US"/>
        </w:rPr>
        <w:t xml:space="preserve">: </w:t>
      </w:r>
      <w:r w:rsidR="00704153" w:rsidRPr="0032229D">
        <w:rPr>
          <w:lang w:val="en-US"/>
        </w:rPr>
        <w:t>the</w:t>
      </w:r>
      <w:r w:rsidR="00BE2FF5" w:rsidRPr="0032229D">
        <w:rPr>
          <w:lang w:val="en-US"/>
        </w:rPr>
        <w:t xml:space="preserve"> mean </w:t>
      </w:r>
      <w:r w:rsidR="00E457A8" w:rsidRPr="0032229D">
        <w:rPr>
          <w:lang w:val="en-US"/>
        </w:rPr>
        <w:t xml:space="preserve">ideological </w:t>
      </w:r>
      <w:r w:rsidR="00E02DE4" w:rsidRPr="0032229D">
        <w:rPr>
          <w:lang w:val="en-US"/>
        </w:rPr>
        <w:t xml:space="preserve">orientation </w:t>
      </w:r>
      <w:r w:rsidR="00D40189" w:rsidRPr="0032229D">
        <w:rPr>
          <w:lang w:val="en-US"/>
        </w:rPr>
        <w:t xml:space="preserve">of the cabinet </w:t>
      </w:r>
      <w:r w:rsidR="00BD0804" w:rsidRPr="0032229D">
        <w:rPr>
          <w:lang w:val="en-US"/>
        </w:rPr>
        <w:t xml:space="preserve">and the </w:t>
      </w:r>
      <w:r w:rsidR="00704153" w:rsidRPr="0032229D">
        <w:rPr>
          <w:lang w:val="en-US"/>
        </w:rPr>
        <w:t>mean ideological orientation of the cabinet</w:t>
      </w:r>
      <w:r w:rsidR="00496290" w:rsidRPr="0032229D">
        <w:rPr>
          <w:lang w:val="en-US"/>
        </w:rPr>
        <w:t xml:space="preserve"> weighted by the </w:t>
      </w:r>
      <w:r w:rsidR="000A1502" w:rsidRPr="0032229D">
        <w:rPr>
          <w:lang w:val="en-US"/>
        </w:rPr>
        <w:t xml:space="preserve">number of </w:t>
      </w:r>
      <w:r w:rsidR="00EC13CE" w:rsidRPr="0032229D">
        <w:rPr>
          <w:lang w:val="en-US"/>
        </w:rPr>
        <w:t xml:space="preserve">coalition party’s </w:t>
      </w:r>
      <w:r w:rsidR="000A1502" w:rsidRPr="0032229D">
        <w:rPr>
          <w:lang w:val="en-US"/>
        </w:rPr>
        <w:t>seats</w:t>
      </w:r>
      <w:r w:rsidR="00687704" w:rsidRPr="0032229D">
        <w:rPr>
          <w:lang w:val="en-US"/>
        </w:rPr>
        <w:t>.</w:t>
      </w:r>
      <w:r w:rsidR="007B3036" w:rsidRPr="0032229D">
        <w:rPr>
          <w:lang w:val="en-US"/>
        </w:rPr>
        <w:t xml:space="preserve"> </w:t>
      </w:r>
      <w:r w:rsidR="00C55A4B" w:rsidRPr="0032229D">
        <w:rPr>
          <w:lang w:val="en-US"/>
        </w:rPr>
        <w:t xml:space="preserve">The source of this information was </w:t>
      </w:r>
      <w:r w:rsidR="00054808" w:rsidRPr="0032229D">
        <w:rPr>
          <w:lang w:val="en-US"/>
        </w:rPr>
        <w:t>the left</w:t>
      </w:r>
      <w:r w:rsidR="00BA28F1" w:rsidRPr="0032229D">
        <w:rPr>
          <w:lang w:val="en-US"/>
        </w:rPr>
        <w:t>/</w:t>
      </w:r>
      <w:r w:rsidR="00054808" w:rsidRPr="0032229D">
        <w:rPr>
          <w:lang w:val="en-US"/>
        </w:rPr>
        <w:t xml:space="preserve">right variable from the ParlGov </w:t>
      </w:r>
      <w:r w:rsidR="00703FF9" w:rsidRPr="0032229D">
        <w:rPr>
          <w:lang w:val="en-US"/>
        </w:rPr>
        <w:t>dataset (</w:t>
      </w:r>
      <w:r w:rsidR="00A732FC" w:rsidRPr="0032229D">
        <w:rPr>
          <w:lang w:val="en-US"/>
        </w:rPr>
        <w:t>Döring et al. 2023</w:t>
      </w:r>
      <w:r w:rsidR="00703FF9" w:rsidRPr="0032229D">
        <w:rPr>
          <w:lang w:val="en-US"/>
        </w:rPr>
        <w:t>)</w:t>
      </w:r>
      <w:r w:rsidR="00A732FC" w:rsidRPr="0032229D">
        <w:rPr>
          <w:lang w:val="en-US"/>
        </w:rPr>
        <w:t>.</w:t>
      </w:r>
      <w:r w:rsidR="000A1502" w:rsidRPr="0032229D">
        <w:rPr>
          <w:lang w:val="en-US"/>
        </w:rPr>
        <w:t xml:space="preserve"> </w:t>
      </w:r>
      <w:r w:rsidR="008F2277" w:rsidRPr="0032229D">
        <w:rPr>
          <w:lang w:val="en-US"/>
        </w:rPr>
        <w:t xml:space="preserve">In both cases, </w:t>
      </w:r>
      <w:r w:rsidR="00B4460C" w:rsidRPr="0032229D">
        <w:rPr>
          <w:lang w:val="en-US"/>
        </w:rPr>
        <w:t xml:space="preserve">the </w:t>
      </w:r>
      <w:r w:rsidR="008E15D9" w:rsidRPr="0032229D">
        <w:rPr>
          <w:lang w:val="en-US"/>
        </w:rPr>
        <w:t>likelihood</w:t>
      </w:r>
      <w:r w:rsidR="0009574F" w:rsidRPr="0032229D">
        <w:rPr>
          <w:lang w:val="en-US"/>
        </w:rPr>
        <w:t xml:space="preserve"> and magnitude of non-partisan appointments </w:t>
      </w:r>
      <w:r w:rsidR="00A06BDA" w:rsidRPr="0032229D">
        <w:rPr>
          <w:lang w:val="en-US"/>
        </w:rPr>
        <w:t>are</w:t>
      </w:r>
      <w:r w:rsidR="00742AE0" w:rsidRPr="0032229D">
        <w:rPr>
          <w:lang w:val="en-US"/>
        </w:rPr>
        <w:t xml:space="preserve"> not </w:t>
      </w:r>
      <w:r w:rsidR="00BB7362" w:rsidRPr="0032229D">
        <w:rPr>
          <w:lang w:val="en-US"/>
        </w:rPr>
        <w:t>affect</w:t>
      </w:r>
      <w:r w:rsidR="00A06BDA" w:rsidRPr="0032229D">
        <w:rPr>
          <w:lang w:val="en-US"/>
        </w:rPr>
        <w:t>ed</w:t>
      </w:r>
      <w:r w:rsidR="008E15D9" w:rsidRPr="0032229D">
        <w:rPr>
          <w:lang w:val="en-US"/>
        </w:rPr>
        <w:t xml:space="preserve"> by </w:t>
      </w:r>
      <w:r w:rsidR="00041B69" w:rsidRPr="0032229D">
        <w:rPr>
          <w:lang w:val="en-US"/>
        </w:rPr>
        <w:t xml:space="preserve">the </w:t>
      </w:r>
      <w:r w:rsidR="003A2670" w:rsidRPr="0032229D">
        <w:rPr>
          <w:lang w:val="en-US"/>
        </w:rPr>
        <w:t xml:space="preserve">cabinet’s ideological </w:t>
      </w:r>
      <w:r w:rsidR="00B64F41" w:rsidRPr="0032229D">
        <w:rPr>
          <w:lang w:val="en-US"/>
        </w:rPr>
        <w:t>orientation</w:t>
      </w:r>
      <w:r w:rsidR="00847880" w:rsidRPr="0032229D">
        <w:rPr>
          <w:lang w:val="en-US"/>
        </w:rPr>
        <w:t xml:space="preserve"> (full results are not reported here).</w:t>
      </w:r>
    </w:p>
    <w:p w14:paraId="6D5E1B8D" w14:textId="77777777" w:rsidR="00A75142" w:rsidRPr="0032229D" w:rsidRDefault="00A75142" w:rsidP="0032229D">
      <w:pPr>
        <w:spacing w:line="360" w:lineRule="auto"/>
        <w:jc w:val="both"/>
        <w:rPr>
          <w:lang w:val="en-US"/>
        </w:rPr>
      </w:pPr>
    </w:p>
    <w:p w14:paraId="4E53E197" w14:textId="77777777" w:rsidR="006E3A64" w:rsidRPr="0032229D" w:rsidRDefault="00934360" w:rsidP="0032229D">
      <w:pPr>
        <w:spacing w:line="360" w:lineRule="auto"/>
        <w:jc w:val="both"/>
        <w:rPr>
          <w:i/>
          <w:lang w:val="en-US"/>
        </w:rPr>
      </w:pPr>
      <w:r w:rsidRPr="0032229D">
        <w:rPr>
          <w:i/>
          <w:lang w:val="en-US"/>
        </w:rPr>
        <w:t>b</w:t>
      </w:r>
      <w:r w:rsidR="006E3A64" w:rsidRPr="0032229D">
        <w:rPr>
          <w:i/>
          <w:lang w:val="en-US"/>
        </w:rPr>
        <w:t>) Interaction between semi-presidentialism and the parliamentary dissolution power</w:t>
      </w:r>
    </w:p>
    <w:p w14:paraId="0C149F44" w14:textId="3DEB6D50" w:rsidR="00C80690" w:rsidRPr="0032229D" w:rsidRDefault="006E3A64" w:rsidP="00C80690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 xml:space="preserve">As some European constitutions grant the presidential dissolution power to their parliamentary elected presidents (most prominently, Italy), we also estimated a model with an interaction between the mode of presidential elections and the president’s parliamentary dissolution power. We assumed that if popularly elected presidents have dissolution power, this </w:t>
      </w:r>
      <w:r w:rsidR="00085222">
        <w:rPr>
          <w:lang w:val="en-US"/>
        </w:rPr>
        <w:t>will</w:t>
      </w:r>
      <w:r w:rsidRPr="0032229D">
        <w:rPr>
          <w:lang w:val="en-US"/>
        </w:rPr>
        <w:t xml:space="preserve"> amplify</w:t>
      </w:r>
      <w:r w:rsidR="00085222">
        <w:rPr>
          <w:lang w:val="en-US"/>
        </w:rPr>
        <w:t xml:space="preserve"> their</w:t>
      </w:r>
      <w:r w:rsidRPr="0032229D">
        <w:rPr>
          <w:lang w:val="en-US"/>
        </w:rPr>
        <w:t xml:space="preserve"> effect on their bargaining power to appoint non-partisan ministers. The results</w:t>
      </w:r>
      <w:r w:rsidR="00085222">
        <w:rPr>
          <w:lang w:val="en-US"/>
        </w:rPr>
        <w:t xml:space="preserve"> show </w:t>
      </w:r>
      <w:r w:rsidRPr="0032229D">
        <w:rPr>
          <w:lang w:val="en-US"/>
        </w:rPr>
        <w:t>the interaction between the mode of elections and dissolution power does not have any effect on the likelihood of non-partisan appointments but has a small negative effect on the magnitude of these appointments. In other words, the parliamentary dissolution power has an amplifying effect for parliamentary elected presidents only.</w:t>
      </w:r>
      <w:r w:rsidR="00976C27">
        <w:rPr>
          <w:lang w:val="en-US"/>
        </w:rPr>
        <w:t xml:space="preserve"> </w:t>
      </w:r>
      <w:r w:rsidR="00C80690" w:rsidRPr="0032229D">
        <w:rPr>
          <w:lang w:val="en-US"/>
        </w:rPr>
        <w:t>This effect is entirely driven by Italy</w:t>
      </w:r>
      <w:r w:rsidR="00976C27">
        <w:rPr>
          <w:lang w:val="en-US"/>
        </w:rPr>
        <w:t>, though</w:t>
      </w:r>
      <w:r w:rsidR="00C80690" w:rsidRPr="0032229D">
        <w:rPr>
          <w:lang w:val="en-US"/>
        </w:rPr>
        <w:t>. Once this country is removed from the sample, the effect disappears (full results are not reported here).</w:t>
      </w:r>
    </w:p>
    <w:p w14:paraId="4984F0BF" w14:textId="77777777" w:rsidR="00C80690" w:rsidRPr="0032229D" w:rsidRDefault="00C80690" w:rsidP="0032229D">
      <w:pPr>
        <w:spacing w:line="360" w:lineRule="auto"/>
        <w:jc w:val="both"/>
        <w:rPr>
          <w:lang w:val="en-US"/>
        </w:rPr>
      </w:pPr>
    </w:p>
    <w:p w14:paraId="3E9D316B" w14:textId="77777777" w:rsidR="00B964BD" w:rsidRPr="0032229D" w:rsidRDefault="00C13544" w:rsidP="0032229D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 xml:space="preserve">c) </w:t>
      </w:r>
      <w:r w:rsidR="00AC4A1F">
        <w:rPr>
          <w:lang w:val="en-US"/>
        </w:rPr>
        <w:t>Alternative operationalization of presidential powers</w:t>
      </w:r>
    </w:p>
    <w:p w14:paraId="1D8E7A56" w14:textId="59CAC881" w:rsidR="00022AFE" w:rsidRPr="007174A4" w:rsidRDefault="00C45E98" w:rsidP="00B63637">
      <w:pPr>
        <w:spacing w:line="360" w:lineRule="auto"/>
        <w:jc w:val="both"/>
        <w:rPr>
          <w:lang w:val="en-US"/>
        </w:rPr>
      </w:pPr>
      <w:r w:rsidRPr="00E742A3">
        <w:rPr>
          <w:lang w:val="en-US"/>
        </w:rPr>
        <w:t>We</w:t>
      </w:r>
      <w:r w:rsidR="00CB13D4" w:rsidRPr="00E742A3">
        <w:rPr>
          <w:lang w:val="en-US"/>
        </w:rPr>
        <w:t xml:space="preserve"> tested whether our results change if we </w:t>
      </w:r>
      <w:r w:rsidR="00C125A7" w:rsidRPr="00E742A3">
        <w:rPr>
          <w:lang w:val="en-US"/>
        </w:rPr>
        <w:t xml:space="preserve">use an </w:t>
      </w:r>
      <w:r w:rsidR="00DC5AFE">
        <w:rPr>
          <w:lang w:val="en-US"/>
        </w:rPr>
        <w:t xml:space="preserve">index of </w:t>
      </w:r>
      <w:r w:rsidR="00470D85">
        <w:rPr>
          <w:lang w:val="en-US"/>
        </w:rPr>
        <w:t xml:space="preserve">presidential powers instead of </w:t>
      </w:r>
      <w:r w:rsidR="00D715ED">
        <w:rPr>
          <w:lang w:val="en-US"/>
        </w:rPr>
        <w:t xml:space="preserve">individual </w:t>
      </w:r>
      <w:r w:rsidR="00A02DAE">
        <w:rPr>
          <w:lang w:val="en-US"/>
        </w:rPr>
        <w:t xml:space="preserve">presidential powers </w:t>
      </w:r>
      <w:r w:rsidR="00C73711">
        <w:rPr>
          <w:lang w:val="en-US"/>
        </w:rPr>
        <w:t xml:space="preserve">and the mode of presidential elections. </w:t>
      </w:r>
      <w:r w:rsidR="00B2380D">
        <w:rPr>
          <w:lang w:val="en-US"/>
        </w:rPr>
        <w:t xml:space="preserve">Instead of </w:t>
      </w:r>
      <w:r w:rsidR="009A5995">
        <w:rPr>
          <w:lang w:val="en-US"/>
        </w:rPr>
        <w:t xml:space="preserve">using </w:t>
      </w:r>
      <w:r w:rsidR="0027241E">
        <w:rPr>
          <w:lang w:val="en-US"/>
        </w:rPr>
        <w:t>additive ind</w:t>
      </w:r>
      <w:r w:rsidR="00295E88">
        <w:rPr>
          <w:lang w:val="en-US"/>
        </w:rPr>
        <w:t>ic</w:t>
      </w:r>
      <w:r w:rsidR="0027241E">
        <w:rPr>
          <w:lang w:val="en-US"/>
        </w:rPr>
        <w:t xml:space="preserve">es </w:t>
      </w:r>
      <w:r w:rsidR="00DE4D0F">
        <w:rPr>
          <w:lang w:val="en-US"/>
        </w:rPr>
        <w:t xml:space="preserve">(e.g., </w:t>
      </w:r>
      <w:r w:rsidR="002C3E45">
        <w:rPr>
          <w:lang w:val="en-US"/>
        </w:rPr>
        <w:t xml:space="preserve">the Shugart/Carey </w:t>
      </w:r>
      <w:r w:rsidR="00C34BEB">
        <w:rPr>
          <w:lang w:val="en-US"/>
        </w:rPr>
        <w:t>indexes of non-legislative and legislative powers</w:t>
      </w:r>
      <w:r w:rsidR="0081163C">
        <w:rPr>
          <w:lang w:val="en-US"/>
        </w:rPr>
        <w:t xml:space="preserve">; </w:t>
      </w:r>
      <w:r w:rsidR="00974CE2">
        <w:rPr>
          <w:lang w:val="en-US"/>
        </w:rPr>
        <w:t xml:space="preserve">Shugart and Carey </w:t>
      </w:r>
      <w:r w:rsidR="008D2DEB">
        <w:rPr>
          <w:lang w:val="en-US"/>
        </w:rPr>
        <w:t xml:space="preserve">1992), </w:t>
      </w:r>
      <w:r w:rsidR="004E51D7" w:rsidRPr="00963B5E">
        <w:rPr>
          <w:lang w:val="en-US"/>
        </w:rPr>
        <w:t xml:space="preserve">we used </w:t>
      </w:r>
      <w:r w:rsidR="00533888" w:rsidRPr="00963B5E">
        <w:rPr>
          <w:lang w:val="en-US"/>
        </w:rPr>
        <w:t xml:space="preserve">the most recent index </w:t>
      </w:r>
      <w:r w:rsidR="00BB34DC" w:rsidRPr="00963B5E">
        <w:rPr>
          <w:lang w:val="en-US"/>
        </w:rPr>
        <w:t xml:space="preserve">of presidential powers proposed </w:t>
      </w:r>
      <w:r w:rsidR="00FD6829" w:rsidRPr="00963B5E">
        <w:rPr>
          <w:lang w:val="en-US"/>
        </w:rPr>
        <w:t xml:space="preserve">by </w:t>
      </w:r>
      <w:r w:rsidR="00811820" w:rsidRPr="00963B5E">
        <w:rPr>
          <w:lang w:val="en-US"/>
        </w:rPr>
        <w:t>Doyle and Elgie (201</w:t>
      </w:r>
      <w:r w:rsidR="00F5755E">
        <w:rPr>
          <w:lang w:val="en-US"/>
        </w:rPr>
        <w:t>6</w:t>
      </w:r>
      <w:r w:rsidR="00811820" w:rsidRPr="00963B5E">
        <w:rPr>
          <w:lang w:val="en-US"/>
        </w:rPr>
        <w:t>)</w:t>
      </w:r>
      <w:r w:rsidR="008219BD">
        <w:rPr>
          <w:lang w:val="en-US"/>
        </w:rPr>
        <w:t xml:space="preserve">, which </w:t>
      </w:r>
      <w:r w:rsidR="000D0A74">
        <w:rPr>
          <w:lang w:val="en-US"/>
        </w:rPr>
        <w:t>employs</w:t>
      </w:r>
      <w:r w:rsidR="008219BD">
        <w:rPr>
          <w:lang w:val="en-US"/>
        </w:rPr>
        <w:t xml:space="preserve"> </w:t>
      </w:r>
      <w:r w:rsidR="00104AFF" w:rsidRPr="00104AFF">
        <w:rPr>
          <w:lang w:val="en-US"/>
        </w:rPr>
        <w:t xml:space="preserve">principal component analysis, together with the expectation maximization algorithm and maximum likelihood estimation, </w:t>
      </w:r>
      <w:r w:rsidR="00D616AD">
        <w:rPr>
          <w:lang w:val="en-US"/>
        </w:rPr>
        <w:t xml:space="preserve">and produces </w:t>
      </w:r>
      <w:r w:rsidR="00104AFF" w:rsidRPr="00104AFF">
        <w:rPr>
          <w:lang w:val="en-US"/>
        </w:rPr>
        <w:t>a set of presidential power scores for a larger set of countries and country time periods than currently exists</w:t>
      </w:r>
      <w:r w:rsidR="002B0AFA">
        <w:rPr>
          <w:lang w:val="en-US"/>
        </w:rPr>
        <w:t xml:space="preserve">. </w:t>
      </w:r>
      <w:r w:rsidR="00653C21">
        <w:rPr>
          <w:lang w:val="en-US"/>
        </w:rPr>
        <w:t xml:space="preserve">Doyle and Elgie </w:t>
      </w:r>
      <w:r w:rsidR="00103F2F">
        <w:rPr>
          <w:lang w:val="en-US"/>
        </w:rPr>
        <w:t>propose two versions of this index</w:t>
      </w:r>
      <w:r w:rsidR="00103F2F" w:rsidRPr="007174A4">
        <w:rPr>
          <w:lang w:val="en-US"/>
        </w:rPr>
        <w:t xml:space="preserve">: </w:t>
      </w:r>
      <w:r w:rsidR="002D4C55" w:rsidRPr="007174A4">
        <w:rPr>
          <w:lang w:val="en-US"/>
        </w:rPr>
        <w:t xml:space="preserve">the </w:t>
      </w:r>
      <w:r w:rsidR="002D4C55" w:rsidRPr="007174A4">
        <w:rPr>
          <w:i/>
          <w:lang w:val="en-US"/>
        </w:rPr>
        <w:t>prespow1</w:t>
      </w:r>
      <w:r w:rsidR="008F597F" w:rsidRPr="007174A4">
        <w:rPr>
          <w:i/>
          <w:lang w:val="en-US"/>
        </w:rPr>
        <w:t xml:space="preserve"> </w:t>
      </w:r>
      <w:r w:rsidR="00E00914" w:rsidRPr="007174A4">
        <w:rPr>
          <w:lang w:val="en-US"/>
        </w:rPr>
        <w:t>(which</w:t>
      </w:r>
      <w:r w:rsidR="005164F8" w:rsidRPr="007174A4">
        <w:rPr>
          <w:lang w:val="en-US"/>
        </w:rPr>
        <w:t xml:space="preserve"> is a normalized score for presidential powers across 35 different </w:t>
      </w:r>
      <w:r w:rsidR="007F5322" w:rsidRPr="007174A4">
        <w:rPr>
          <w:lang w:val="en-US"/>
        </w:rPr>
        <w:t>measures</w:t>
      </w:r>
      <w:r w:rsidR="005164F8" w:rsidRPr="007174A4">
        <w:rPr>
          <w:lang w:val="en-US"/>
        </w:rPr>
        <w:t xml:space="preserve"> of </w:t>
      </w:r>
      <w:r w:rsidR="007F5322" w:rsidRPr="007174A4">
        <w:rPr>
          <w:lang w:val="en-US"/>
        </w:rPr>
        <w:t>presidential power in the literature</w:t>
      </w:r>
      <w:r w:rsidR="008F597F" w:rsidRPr="007174A4">
        <w:rPr>
          <w:lang w:val="en-US"/>
        </w:rPr>
        <w:t>)</w:t>
      </w:r>
      <w:r w:rsidR="002D4C55" w:rsidRPr="007174A4">
        <w:rPr>
          <w:i/>
          <w:lang w:val="en-US"/>
        </w:rPr>
        <w:t xml:space="preserve"> </w:t>
      </w:r>
      <w:r w:rsidR="002D4C55" w:rsidRPr="007174A4">
        <w:rPr>
          <w:lang w:val="en-US"/>
        </w:rPr>
        <w:t>and</w:t>
      </w:r>
      <w:r w:rsidR="002D4C55" w:rsidRPr="007174A4">
        <w:rPr>
          <w:i/>
          <w:lang w:val="en-US"/>
        </w:rPr>
        <w:t xml:space="preserve"> </w:t>
      </w:r>
      <w:r w:rsidR="002D4C55" w:rsidRPr="007174A4">
        <w:rPr>
          <w:lang w:val="en-US"/>
        </w:rPr>
        <w:t xml:space="preserve">the </w:t>
      </w:r>
      <w:r w:rsidR="002D4C55" w:rsidRPr="007174A4">
        <w:rPr>
          <w:i/>
          <w:lang w:val="en-US"/>
        </w:rPr>
        <w:t>prespow2 index</w:t>
      </w:r>
      <w:r w:rsidR="00F5755E" w:rsidRPr="007174A4">
        <w:rPr>
          <w:i/>
          <w:lang w:val="en-US"/>
        </w:rPr>
        <w:t xml:space="preserve"> </w:t>
      </w:r>
      <w:r w:rsidR="001A2645" w:rsidRPr="007174A4">
        <w:rPr>
          <w:lang w:val="en-US"/>
        </w:rPr>
        <w:t xml:space="preserve">(which is </w:t>
      </w:r>
      <w:r w:rsidR="00B63637" w:rsidRPr="007174A4">
        <w:rPr>
          <w:lang w:val="en-US"/>
        </w:rPr>
        <w:t>a linear construct of all existing presidential power variables weighted by their rotated</w:t>
      </w:r>
      <w:r w:rsidR="008D052B" w:rsidRPr="007174A4">
        <w:rPr>
          <w:lang w:val="en-US"/>
        </w:rPr>
        <w:t xml:space="preserve"> </w:t>
      </w:r>
      <w:r w:rsidR="00B63637" w:rsidRPr="007174A4">
        <w:rPr>
          <w:lang w:val="en-US"/>
        </w:rPr>
        <w:t>component scores</w:t>
      </w:r>
      <w:r w:rsidR="008D052B" w:rsidRPr="007174A4">
        <w:rPr>
          <w:lang w:val="en-US"/>
        </w:rPr>
        <w:t>).</w:t>
      </w:r>
      <w:r w:rsidR="0011634B" w:rsidRPr="007174A4">
        <w:rPr>
          <w:rStyle w:val="FootnoteReference"/>
          <w:lang w:val="en-US"/>
        </w:rPr>
        <w:footnoteReference w:id="1"/>
      </w:r>
    </w:p>
    <w:p w14:paraId="06C40F91" w14:textId="201A9FDE" w:rsidR="004D5009" w:rsidRDefault="00671283" w:rsidP="00832ED4">
      <w:pPr>
        <w:spacing w:line="360" w:lineRule="auto"/>
        <w:ind w:firstLine="708"/>
        <w:jc w:val="both"/>
        <w:rPr>
          <w:lang w:val="en-US"/>
        </w:rPr>
      </w:pPr>
      <w:r w:rsidRPr="007174A4">
        <w:rPr>
          <w:lang w:val="en-US"/>
        </w:rPr>
        <w:t xml:space="preserve">We used </w:t>
      </w:r>
      <w:r w:rsidR="004E51D7" w:rsidRPr="007174A4">
        <w:rPr>
          <w:lang w:val="en-US"/>
        </w:rPr>
        <w:t xml:space="preserve">the </w:t>
      </w:r>
      <w:r w:rsidR="00C10CCF" w:rsidRPr="007174A4">
        <w:rPr>
          <w:lang w:val="en-US"/>
        </w:rPr>
        <w:t xml:space="preserve">normalized </w:t>
      </w:r>
      <w:r w:rsidR="00BD5312" w:rsidRPr="007174A4">
        <w:rPr>
          <w:i/>
          <w:lang w:val="en-US"/>
        </w:rPr>
        <w:t xml:space="preserve">prespow2 </w:t>
      </w:r>
      <w:r w:rsidR="004E51D7" w:rsidRPr="007174A4">
        <w:rPr>
          <w:lang w:val="en-US"/>
        </w:rPr>
        <w:t xml:space="preserve">index </w:t>
      </w:r>
      <w:r w:rsidR="00982CAD" w:rsidRPr="007174A4">
        <w:rPr>
          <w:lang w:val="en-US"/>
        </w:rPr>
        <w:t xml:space="preserve">scores </w:t>
      </w:r>
      <w:r w:rsidR="004E51D7" w:rsidRPr="007174A4">
        <w:rPr>
          <w:lang w:val="en-US"/>
        </w:rPr>
        <w:t xml:space="preserve">of presidential </w:t>
      </w:r>
      <w:r w:rsidR="00D83F1A" w:rsidRPr="007174A4">
        <w:rPr>
          <w:lang w:val="en-US"/>
        </w:rPr>
        <w:t>powers</w:t>
      </w:r>
      <w:r w:rsidR="00BA7BC9" w:rsidRPr="007174A4">
        <w:rPr>
          <w:lang w:val="en-US"/>
        </w:rPr>
        <w:t xml:space="preserve"> </w:t>
      </w:r>
      <w:r w:rsidR="008A15D1" w:rsidRPr="007174A4">
        <w:rPr>
          <w:lang w:val="en-US"/>
        </w:rPr>
        <w:t>because</w:t>
      </w:r>
      <w:r w:rsidR="00F40E25" w:rsidRPr="007174A4">
        <w:rPr>
          <w:lang w:val="en-US"/>
        </w:rPr>
        <w:t xml:space="preserve"> for European countries,</w:t>
      </w:r>
      <w:r w:rsidR="008A15D1" w:rsidRPr="007174A4">
        <w:rPr>
          <w:lang w:val="en-US"/>
        </w:rPr>
        <w:t xml:space="preserve"> </w:t>
      </w:r>
      <w:r w:rsidR="00F119F3" w:rsidRPr="007174A4">
        <w:rPr>
          <w:lang w:val="en-US"/>
        </w:rPr>
        <w:t>this index</w:t>
      </w:r>
      <w:r w:rsidR="008A15D1" w:rsidRPr="007174A4">
        <w:rPr>
          <w:lang w:val="en-US"/>
        </w:rPr>
        <w:t xml:space="preserve"> </w:t>
      </w:r>
      <w:r w:rsidR="00F40E25" w:rsidRPr="007174A4">
        <w:rPr>
          <w:lang w:val="en-US"/>
        </w:rPr>
        <w:t xml:space="preserve">has smaller </w:t>
      </w:r>
      <w:r w:rsidR="0063022F" w:rsidRPr="007174A4">
        <w:rPr>
          <w:lang w:val="en-US"/>
        </w:rPr>
        <w:t>standard error</w:t>
      </w:r>
      <w:r w:rsidR="00F40E25" w:rsidRPr="007174A4">
        <w:rPr>
          <w:lang w:val="en-US"/>
        </w:rPr>
        <w:t>s</w:t>
      </w:r>
      <w:r w:rsidR="0063022F" w:rsidRPr="007174A4">
        <w:rPr>
          <w:lang w:val="en-US"/>
        </w:rPr>
        <w:t xml:space="preserve"> </w:t>
      </w:r>
      <w:r w:rsidR="003F76F6" w:rsidRPr="007174A4">
        <w:rPr>
          <w:lang w:val="en-US"/>
        </w:rPr>
        <w:t xml:space="preserve">than the </w:t>
      </w:r>
      <w:r w:rsidR="00B51046" w:rsidRPr="007174A4">
        <w:rPr>
          <w:i/>
          <w:lang w:val="en-US"/>
        </w:rPr>
        <w:t>prespow1</w:t>
      </w:r>
      <w:r w:rsidR="00F40E25" w:rsidRPr="007174A4">
        <w:rPr>
          <w:lang w:val="en-US"/>
        </w:rPr>
        <w:t xml:space="preserve"> index</w:t>
      </w:r>
      <w:r w:rsidR="00385716" w:rsidRPr="007174A4">
        <w:rPr>
          <w:lang w:val="en-US"/>
        </w:rPr>
        <w:t xml:space="preserve"> scores</w:t>
      </w:r>
      <w:r w:rsidR="00F40E25" w:rsidRPr="007174A4">
        <w:rPr>
          <w:lang w:val="en-US"/>
        </w:rPr>
        <w:t>.</w:t>
      </w:r>
      <w:r w:rsidR="006E4B89" w:rsidRPr="007174A4">
        <w:rPr>
          <w:lang w:val="en-US"/>
        </w:rPr>
        <w:t xml:space="preserve"> Because </w:t>
      </w:r>
      <w:r w:rsidR="00B454D8" w:rsidRPr="007174A4">
        <w:rPr>
          <w:lang w:val="en-US"/>
        </w:rPr>
        <w:t>D</w:t>
      </w:r>
      <w:r w:rsidR="001D5A15" w:rsidRPr="007174A4">
        <w:rPr>
          <w:lang w:val="en-US"/>
        </w:rPr>
        <w:t>o</w:t>
      </w:r>
      <w:r w:rsidR="00B454D8" w:rsidRPr="007174A4">
        <w:rPr>
          <w:lang w:val="en-US"/>
        </w:rPr>
        <w:t xml:space="preserve">yle and Elgie’s </w:t>
      </w:r>
      <w:r w:rsidR="00CE2EB7" w:rsidRPr="007174A4">
        <w:rPr>
          <w:lang w:val="en-US"/>
        </w:rPr>
        <w:t xml:space="preserve">index covers </w:t>
      </w:r>
      <w:r w:rsidR="00A237D3" w:rsidRPr="007174A4">
        <w:rPr>
          <w:lang w:val="en-US"/>
        </w:rPr>
        <w:t xml:space="preserve">systems with </w:t>
      </w:r>
      <w:r w:rsidR="008E761D" w:rsidRPr="007174A4">
        <w:rPr>
          <w:lang w:val="en-US"/>
        </w:rPr>
        <w:t>presidents only</w:t>
      </w:r>
      <w:r w:rsidR="002B3962" w:rsidRPr="007174A4">
        <w:rPr>
          <w:lang w:val="en-US"/>
        </w:rPr>
        <w:t xml:space="preserve">, we estimated </w:t>
      </w:r>
      <w:r w:rsidR="00835450" w:rsidRPr="007174A4">
        <w:rPr>
          <w:lang w:val="en-US"/>
        </w:rPr>
        <w:t>two models</w:t>
      </w:r>
      <w:r w:rsidR="005B2BD4" w:rsidRPr="007174A4">
        <w:rPr>
          <w:lang w:val="en-US"/>
        </w:rPr>
        <w:t xml:space="preserve"> using this index. The first included </w:t>
      </w:r>
      <w:r w:rsidR="00474F38" w:rsidRPr="007174A4">
        <w:rPr>
          <w:lang w:val="en-US"/>
        </w:rPr>
        <w:t xml:space="preserve">semi-presidential and parliamentary </w:t>
      </w:r>
      <w:r w:rsidR="008E1B2E" w:rsidRPr="007174A4">
        <w:rPr>
          <w:lang w:val="en-US"/>
        </w:rPr>
        <w:t xml:space="preserve">systems </w:t>
      </w:r>
      <w:r w:rsidR="00E850B3" w:rsidRPr="007174A4">
        <w:rPr>
          <w:lang w:val="en-US"/>
        </w:rPr>
        <w:t xml:space="preserve">covered </w:t>
      </w:r>
      <w:r w:rsidR="00F8547D" w:rsidRPr="007174A4">
        <w:rPr>
          <w:lang w:val="en-US"/>
        </w:rPr>
        <w:t xml:space="preserve">by Doyle and </w:t>
      </w:r>
      <w:r w:rsidR="00F8547D" w:rsidRPr="00341ABE">
        <w:rPr>
          <w:lang w:val="en-US"/>
        </w:rPr>
        <w:t>Elgie</w:t>
      </w:r>
      <w:r w:rsidR="00432BCC" w:rsidRPr="00341ABE">
        <w:rPr>
          <w:lang w:val="en-US"/>
        </w:rPr>
        <w:t xml:space="preserve"> (</w:t>
      </w:r>
      <w:r w:rsidR="00672F09" w:rsidRPr="00341ABE">
        <w:rPr>
          <w:lang w:val="en-US"/>
        </w:rPr>
        <w:t xml:space="preserve">Table </w:t>
      </w:r>
      <w:r w:rsidR="00866758">
        <w:rPr>
          <w:lang w:val="en-US"/>
        </w:rPr>
        <w:t>A1</w:t>
      </w:r>
      <w:r w:rsidR="00672F09" w:rsidRPr="00341ABE">
        <w:rPr>
          <w:lang w:val="en-US"/>
        </w:rPr>
        <w:t xml:space="preserve">, </w:t>
      </w:r>
      <w:r w:rsidR="00105562" w:rsidRPr="00341ABE">
        <w:rPr>
          <w:lang w:val="en-US"/>
        </w:rPr>
        <w:t xml:space="preserve">Model </w:t>
      </w:r>
      <w:r w:rsidR="003A6DEB" w:rsidRPr="00341ABE">
        <w:rPr>
          <w:lang w:val="en-US"/>
        </w:rPr>
        <w:t xml:space="preserve">I) and </w:t>
      </w:r>
      <w:r w:rsidR="005E24E9" w:rsidRPr="00341ABE">
        <w:rPr>
          <w:lang w:val="en-US"/>
        </w:rPr>
        <w:t xml:space="preserve">the second </w:t>
      </w:r>
      <w:r w:rsidR="001E50DC" w:rsidRPr="00341ABE">
        <w:rPr>
          <w:lang w:val="en-US"/>
        </w:rPr>
        <w:t>also includes constitutional monarchies</w:t>
      </w:r>
      <w:r w:rsidR="00AC5A85" w:rsidRPr="00341ABE">
        <w:rPr>
          <w:lang w:val="en-US"/>
        </w:rPr>
        <w:t>, for which we imputed value 0 for presidential power</w:t>
      </w:r>
      <w:r w:rsidR="002E176C" w:rsidRPr="00341ABE">
        <w:rPr>
          <w:lang w:val="en-US"/>
        </w:rPr>
        <w:t xml:space="preserve"> (Table </w:t>
      </w:r>
      <w:r w:rsidR="00796026">
        <w:rPr>
          <w:lang w:val="en-US"/>
        </w:rPr>
        <w:t>A1</w:t>
      </w:r>
      <w:r w:rsidR="002E176C" w:rsidRPr="00341ABE">
        <w:rPr>
          <w:lang w:val="en-US"/>
        </w:rPr>
        <w:t>, Model I</w:t>
      </w:r>
      <w:r w:rsidR="00796026">
        <w:rPr>
          <w:lang w:val="en-US"/>
        </w:rPr>
        <w:t>I</w:t>
      </w:r>
      <w:r w:rsidR="002E176C" w:rsidRPr="00341ABE">
        <w:rPr>
          <w:lang w:val="en-US"/>
        </w:rPr>
        <w:t>)</w:t>
      </w:r>
      <w:r w:rsidR="00DB4CB4" w:rsidRPr="00341ABE">
        <w:rPr>
          <w:lang w:val="en-US"/>
        </w:rPr>
        <w:t>.</w:t>
      </w:r>
    </w:p>
    <w:p w14:paraId="50B7DA9A" w14:textId="5E91CB0C" w:rsidR="00CE5CDC" w:rsidRDefault="00904D50" w:rsidP="002C3DD5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>Our results are</w:t>
      </w:r>
      <w:r w:rsidR="00673633">
        <w:rPr>
          <w:lang w:val="en-US"/>
        </w:rPr>
        <w:t xml:space="preserve"> largely</w:t>
      </w:r>
      <w:r>
        <w:rPr>
          <w:lang w:val="en-US"/>
        </w:rPr>
        <w:t xml:space="preserve"> </w:t>
      </w:r>
      <w:r w:rsidR="00673633">
        <w:rPr>
          <w:lang w:val="en-US"/>
        </w:rPr>
        <w:t xml:space="preserve">supported </w:t>
      </w:r>
      <w:r w:rsidR="00EE47CF">
        <w:rPr>
          <w:lang w:val="en-US"/>
        </w:rPr>
        <w:t xml:space="preserve">by both </w:t>
      </w:r>
      <w:r w:rsidR="00CB4BDC">
        <w:rPr>
          <w:lang w:val="en-US"/>
        </w:rPr>
        <w:t xml:space="preserve">models. </w:t>
      </w:r>
      <w:r w:rsidR="001673B7">
        <w:rPr>
          <w:lang w:val="en-US"/>
        </w:rPr>
        <w:t>The</w:t>
      </w:r>
      <w:r w:rsidR="005710D7">
        <w:rPr>
          <w:lang w:val="en-US"/>
        </w:rPr>
        <w:t xml:space="preserve"> strength of presidential power </w:t>
      </w:r>
      <w:r w:rsidR="0010284D">
        <w:rPr>
          <w:lang w:val="en-US"/>
        </w:rPr>
        <w:t xml:space="preserve">substantially increases </w:t>
      </w:r>
      <w:r w:rsidR="006020BF">
        <w:rPr>
          <w:lang w:val="en-US"/>
        </w:rPr>
        <w:t xml:space="preserve">the likelihood </w:t>
      </w:r>
      <w:r w:rsidR="00417CCE">
        <w:rPr>
          <w:lang w:val="en-US"/>
        </w:rPr>
        <w:t xml:space="preserve">of non-partisan appointments but not </w:t>
      </w:r>
      <w:r w:rsidR="00085222">
        <w:rPr>
          <w:lang w:val="en-US"/>
        </w:rPr>
        <w:t>the</w:t>
      </w:r>
      <w:r w:rsidR="00417CCE">
        <w:rPr>
          <w:lang w:val="en-US"/>
        </w:rPr>
        <w:t xml:space="preserve"> magnitude</w:t>
      </w:r>
      <w:r w:rsidR="00085222">
        <w:rPr>
          <w:lang w:val="en-US"/>
        </w:rPr>
        <w:t xml:space="preserve"> of those appointments</w:t>
      </w:r>
      <w:r w:rsidR="00417CCE">
        <w:rPr>
          <w:lang w:val="en-US"/>
        </w:rPr>
        <w:t>.</w:t>
      </w:r>
      <w:r w:rsidR="008C4B8A">
        <w:rPr>
          <w:lang w:val="en-US"/>
        </w:rPr>
        <w:t xml:space="preserve"> </w:t>
      </w:r>
      <w:r w:rsidR="002C3DD5">
        <w:rPr>
          <w:lang w:val="en-US"/>
        </w:rPr>
        <w:t xml:space="preserve">We would like to emphasize that using the </w:t>
      </w:r>
      <w:r w:rsidR="00A218D1">
        <w:rPr>
          <w:lang w:val="en-US"/>
        </w:rPr>
        <w:t>presidential power index</w:t>
      </w:r>
      <w:r w:rsidR="005F3999">
        <w:rPr>
          <w:lang w:val="en-US"/>
        </w:rPr>
        <w:t xml:space="preserve"> </w:t>
      </w:r>
      <w:r w:rsidR="002C3DD5">
        <w:rPr>
          <w:lang w:val="en-US"/>
        </w:rPr>
        <w:t xml:space="preserve">(as is usual in previous studies) </w:t>
      </w:r>
      <w:r w:rsidR="00E86953">
        <w:rPr>
          <w:lang w:val="en-US"/>
        </w:rPr>
        <w:t xml:space="preserve">conceals </w:t>
      </w:r>
      <w:r w:rsidR="00544396">
        <w:rPr>
          <w:lang w:val="en-US"/>
        </w:rPr>
        <w:t xml:space="preserve">the </w:t>
      </w:r>
      <w:r w:rsidR="00DF399E">
        <w:rPr>
          <w:lang w:val="en-US"/>
        </w:rPr>
        <w:t xml:space="preserve">effect of </w:t>
      </w:r>
      <w:r w:rsidR="00381A59">
        <w:rPr>
          <w:lang w:val="en-US"/>
        </w:rPr>
        <w:t xml:space="preserve">presidential </w:t>
      </w:r>
      <w:r w:rsidR="00A86571">
        <w:rPr>
          <w:lang w:val="en-US"/>
        </w:rPr>
        <w:t xml:space="preserve">dissolution </w:t>
      </w:r>
      <w:r w:rsidR="00381A59">
        <w:rPr>
          <w:lang w:val="en-US"/>
        </w:rPr>
        <w:t xml:space="preserve">power </w:t>
      </w:r>
      <w:r w:rsidR="000D116C">
        <w:rPr>
          <w:lang w:val="en-US"/>
        </w:rPr>
        <w:t>on the magnitude of non-partisan appointment</w:t>
      </w:r>
      <w:r w:rsidR="002C3DD5">
        <w:rPr>
          <w:lang w:val="en-US"/>
        </w:rPr>
        <w:t>.  The dissolution power of presidents is concealed</w:t>
      </w:r>
      <w:r w:rsidR="000D116C">
        <w:rPr>
          <w:lang w:val="en-US"/>
        </w:rPr>
        <w:t xml:space="preserve"> because </w:t>
      </w:r>
      <w:r w:rsidR="002C3DD5">
        <w:rPr>
          <w:lang w:val="en-US"/>
        </w:rPr>
        <w:t>it</w:t>
      </w:r>
      <w:r w:rsidR="002D43DE">
        <w:rPr>
          <w:lang w:val="en-US"/>
        </w:rPr>
        <w:t xml:space="preserve"> is </w:t>
      </w:r>
      <w:r w:rsidR="000F65C3">
        <w:rPr>
          <w:lang w:val="en-US"/>
        </w:rPr>
        <w:t xml:space="preserve">overshadowed by </w:t>
      </w:r>
      <w:r w:rsidR="00295E88">
        <w:rPr>
          <w:lang w:val="en-US"/>
        </w:rPr>
        <w:t xml:space="preserve">an </w:t>
      </w:r>
      <w:r w:rsidR="00E44C62">
        <w:rPr>
          <w:lang w:val="en-US"/>
        </w:rPr>
        <w:t>in</w:t>
      </w:r>
      <w:r w:rsidR="00B57791">
        <w:rPr>
          <w:lang w:val="en-US"/>
        </w:rPr>
        <w:t xml:space="preserve">significant effect </w:t>
      </w:r>
      <w:r w:rsidR="008E6DFE">
        <w:rPr>
          <w:lang w:val="en-US"/>
        </w:rPr>
        <w:t>of semi-presidentialism.</w:t>
      </w:r>
      <w:r w:rsidR="002C3DD5">
        <w:rPr>
          <w:lang w:val="en-US"/>
        </w:rPr>
        <w:t xml:space="preserve"> These </w:t>
      </w:r>
      <w:r w:rsidR="001E698B">
        <w:rPr>
          <w:lang w:val="en-US"/>
        </w:rPr>
        <w:t>factors</w:t>
      </w:r>
      <w:r w:rsidR="002C3DD5">
        <w:rPr>
          <w:lang w:val="en-US"/>
        </w:rPr>
        <w:t xml:space="preserve"> are bundled up in the presidential power indices.</w:t>
      </w:r>
    </w:p>
    <w:p w14:paraId="27E9E802" w14:textId="1E508C71" w:rsidR="00F90C9D" w:rsidRPr="007174A4" w:rsidRDefault="00F90C9D" w:rsidP="00085222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Using </w:t>
      </w:r>
      <w:r w:rsidR="00F602BD">
        <w:rPr>
          <w:lang w:val="en-US"/>
        </w:rPr>
        <w:t>presidential power ind</w:t>
      </w:r>
      <w:r w:rsidR="002C3DD5">
        <w:rPr>
          <w:lang w:val="en-US"/>
        </w:rPr>
        <w:t>ic</w:t>
      </w:r>
      <w:r w:rsidR="00F602BD">
        <w:rPr>
          <w:lang w:val="en-US"/>
        </w:rPr>
        <w:t xml:space="preserve">es </w:t>
      </w:r>
      <w:r w:rsidR="0000688B">
        <w:rPr>
          <w:lang w:val="en-US"/>
        </w:rPr>
        <w:t xml:space="preserve">also </w:t>
      </w:r>
      <w:r w:rsidR="00A55BCF">
        <w:rPr>
          <w:lang w:val="en-US"/>
        </w:rPr>
        <w:t xml:space="preserve">neglects the </w:t>
      </w:r>
      <w:r w:rsidR="009F2CB1">
        <w:rPr>
          <w:lang w:val="en-US"/>
        </w:rPr>
        <w:t xml:space="preserve">effects of </w:t>
      </w:r>
      <w:r w:rsidR="002348ED">
        <w:rPr>
          <w:lang w:val="en-US"/>
        </w:rPr>
        <w:t xml:space="preserve">PM’s </w:t>
      </w:r>
      <w:r w:rsidR="00BE0211">
        <w:rPr>
          <w:lang w:val="en-US"/>
        </w:rPr>
        <w:t xml:space="preserve">power to </w:t>
      </w:r>
      <w:r w:rsidR="005E74C1">
        <w:rPr>
          <w:lang w:val="en-US"/>
        </w:rPr>
        <w:t xml:space="preserve">control </w:t>
      </w:r>
      <w:r w:rsidR="001C6B6A">
        <w:rPr>
          <w:lang w:val="en-US"/>
        </w:rPr>
        <w:t xml:space="preserve">cabinet formation </w:t>
      </w:r>
      <w:r w:rsidR="00874533">
        <w:rPr>
          <w:lang w:val="en-US"/>
        </w:rPr>
        <w:t xml:space="preserve">through </w:t>
      </w:r>
      <w:r w:rsidR="0000029B">
        <w:rPr>
          <w:lang w:val="en-US"/>
        </w:rPr>
        <w:t>parliamentary</w:t>
      </w:r>
      <w:r w:rsidR="00874533">
        <w:rPr>
          <w:lang w:val="en-US"/>
        </w:rPr>
        <w:t xml:space="preserve"> dissolution power</w:t>
      </w:r>
      <w:r w:rsidR="0000029B">
        <w:rPr>
          <w:lang w:val="en-US"/>
        </w:rPr>
        <w:t xml:space="preserve">, thereby </w:t>
      </w:r>
      <w:r w:rsidR="00395773">
        <w:rPr>
          <w:lang w:val="en-US"/>
        </w:rPr>
        <w:t>discarding preferences</w:t>
      </w:r>
      <w:r w:rsidR="00CA7E9C">
        <w:rPr>
          <w:lang w:val="en-US"/>
        </w:rPr>
        <w:t xml:space="preserve"> for non-partisan appointments </w:t>
      </w:r>
      <w:r w:rsidR="00724166">
        <w:rPr>
          <w:lang w:val="en-US"/>
        </w:rPr>
        <w:t>of</w:t>
      </w:r>
      <w:r w:rsidR="00395773">
        <w:rPr>
          <w:lang w:val="en-US"/>
        </w:rPr>
        <w:t xml:space="preserve"> one of the most </w:t>
      </w:r>
      <w:r w:rsidR="002876B3">
        <w:rPr>
          <w:lang w:val="en-US"/>
        </w:rPr>
        <w:t>powerful actor</w:t>
      </w:r>
      <w:r w:rsidR="000029C5">
        <w:rPr>
          <w:lang w:val="en-US"/>
        </w:rPr>
        <w:t>s</w:t>
      </w:r>
      <w:r w:rsidR="002876B3">
        <w:rPr>
          <w:lang w:val="en-US"/>
        </w:rPr>
        <w:t xml:space="preserve"> in the </w:t>
      </w:r>
      <w:r w:rsidR="004A0489">
        <w:rPr>
          <w:lang w:val="en-US"/>
        </w:rPr>
        <w:t xml:space="preserve">political </w:t>
      </w:r>
      <w:r w:rsidR="002876B3">
        <w:rPr>
          <w:lang w:val="en-US"/>
        </w:rPr>
        <w:t>system.</w:t>
      </w:r>
      <w:r w:rsidR="00395773">
        <w:rPr>
          <w:lang w:val="en-US"/>
        </w:rPr>
        <w:t xml:space="preserve"> </w:t>
      </w:r>
      <w:r w:rsidR="005D1FDE">
        <w:rPr>
          <w:lang w:val="en-US"/>
        </w:rPr>
        <w:t xml:space="preserve"> </w:t>
      </w:r>
    </w:p>
    <w:p w14:paraId="2E6F5FCD" w14:textId="77777777" w:rsidR="00AE0FC9" w:rsidRDefault="00AE0FC9" w:rsidP="0032229D">
      <w:pPr>
        <w:spacing w:line="360" w:lineRule="auto"/>
        <w:jc w:val="both"/>
        <w:rPr>
          <w:lang w:val="en-US"/>
        </w:rPr>
      </w:pPr>
    </w:p>
    <w:p w14:paraId="1F11CBDD" w14:textId="69078703" w:rsidR="00C45E98" w:rsidRDefault="00E3431D" w:rsidP="0032229D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Table </w:t>
      </w:r>
      <w:r w:rsidR="00485423">
        <w:rPr>
          <w:lang w:val="en-US"/>
        </w:rPr>
        <w:t>A1</w:t>
      </w:r>
      <w:r>
        <w:rPr>
          <w:lang w:val="en-US"/>
        </w:rPr>
        <w:t>: The effects of presidential power</w:t>
      </w:r>
      <w:r w:rsidR="00955954">
        <w:rPr>
          <w:lang w:val="en-US"/>
        </w:rPr>
        <w:t xml:space="preserve"> index</w:t>
      </w:r>
      <w:r>
        <w:rPr>
          <w:lang w:val="en-US"/>
        </w:rPr>
        <w:t xml:space="preserve"> </w:t>
      </w:r>
      <w:r w:rsidR="00D42E61">
        <w:rPr>
          <w:lang w:val="en-US"/>
        </w:rPr>
        <w:t>on the likelihood and magnitude of non-partisan appointments</w:t>
      </w:r>
      <w:r w:rsidR="00FE2D25">
        <w:rPr>
          <w:lang w:val="en-US"/>
        </w:rPr>
        <w:t>, 1945 - now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2018"/>
        <w:gridCol w:w="1663"/>
        <w:gridCol w:w="1843"/>
        <w:gridCol w:w="1758"/>
        <w:gridCol w:w="2206"/>
      </w:tblGrid>
      <w:tr w:rsidR="006416DF" w:rsidRPr="00F96495" w14:paraId="1D5456AC" w14:textId="23BEB3AA" w:rsidTr="00872E5F">
        <w:trPr>
          <w:trHeight w:val="401"/>
        </w:trPr>
        <w:tc>
          <w:tcPr>
            <w:tcW w:w="2018" w:type="dxa"/>
          </w:tcPr>
          <w:p w14:paraId="02287983" w14:textId="77777777" w:rsidR="006416DF" w:rsidRPr="0032229D" w:rsidRDefault="006416DF" w:rsidP="006C0C60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Determinants</w:t>
            </w:r>
          </w:p>
        </w:tc>
        <w:tc>
          <w:tcPr>
            <w:tcW w:w="3506" w:type="dxa"/>
            <w:gridSpan w:val="2"/>
          </w:tcPr>
          <w:p w14:paraId="6E0D5A6D" w14:textId="7000AE7E" w:rsidR="006416DF" w:rsidRDefault="006416DF" w:rsidP="00154435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Model I</w:t>
            </w:r>
          </w:p>
          <w:p w14:paraId="65CA4F62" w14:textId="40E119FD" w:rsidR="006416DF" w:rsidRPr="0032229D" w:rsidRDefault="006416DF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(without imputed data)</w:t>
            </w:r>
          </w:p>
        </w:tc>
        <w:tc>
          <w:tcPr>
            <w:tcW w:w="3964" w:type="dxa"/>
            <w:gridSpan w:val="2"/>
          </w:tcPr>
          <w:p w14:paraId="3B4B1343" w14:textId="73C42838" w:rsidR="006D6E59" w:rsidRDefault="006416DF" w:rsidP="00154435">
            <w:pPr>
              <w:jc w:val="center"/>
              <w:rPr>
                <w:lang w:val="en-US"/>
              </w:rPr>
            </w:pPr>
            <w:r w:rsidRPr="00697731">
              <w:rPr>
                <w:lang w:val="en-US"/>
              </w:rPr>
              <w:t xml:space="preserve">Model </w:t>
            </w:r>
            <w:r w:rsidR="00E20F19" w:rsidRPr="00697731">
              <w:rPr>
                <w:lang w:val="en-US"/>
              </w:rPr>
              <w:t>I</w:t>
            </w:r>
            <w:r w:rsidR="008A628B">
              <w:rPr>
                <w:lang w:val="en-US"/>
              </w:rPr>
              <w:t>I</w:t>
            </w:r>
          </w:p>
          <w:p w14:paraId="65FF4E88" w14:textId="09707BD3" w:rsidR="006416DF" w:rsidRPr="0032229D" w:rsidRDefault="006416DF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(with imputed data)</w:t>
            </w:r>
          </w:p>
        </w:tc>
      </w:tr>
      <w:tr w:rsidR="00192B9B" w:rsidRPr="0032229D" w14:paraId="05DEB19F" w14:textId="0E74A614" w:rsidTr="00D12B53">
        <w:tc>
          <w:tcPr>
            <w:tcW w:w="2018" w:type="dxa"/>
          </w:tcPr>
          <w:p w14:paraId="478DB676" w14:textId="77777777" w:rsidR="00192B9B" w:rsidRPr="0032229D" w:rsidRDefault="00192B9B" w:rsidP="006C0C60">
            <w:pPr>
              <w:jc w:val="both"/>
              <w:rPr>
                <w:lang w:val="en-US"/>
              </w:rPr>
            </w:pPr>
          </w:p>
        </w:tc>
        <w:tc>
          <w:tcPr>
            <w:tcW w:w="1663" w:type="dxa"/>
          </w:tcPr>
          <w:p w14:paraId="229DACA1" w14:textId="77777777" w:rsidR="00192B9B" w:rsidRPr="0032229D" w:rsidRDefault="00192B9B" w:rsidP="00154435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Presence</w:t>
            </w:r>
          </w:p>
          <w:p w14:paraId="15F45536" w14:textId="77777777" w:rsidR="00192B9B" w:rsidRPr="0032229D" w:rsidRDefault="00192B9B" w:rsidP="00154435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(Binary part)</w:t>
            </w:r>
          </w:p>
        </w:tc>
        <w:tc>
          <w:tcPr>
            <w:tcW w:w="1843" w:type="dxa"/>
          </w:tcPr>
          <w:p w14:paraId="5975BF59" w14:textId="77777777" w:rsidR="00192B9B" w:rsidRPr="0032229D" w:rsidRDefault="00192B9B" w:rsidP="00154435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Magnitude</w:t>
            </w:r>
          </w:p>
          <w:p w14:paraId="153AA528" w14:textId="77777777" w:rsidR="00192B9B" w:rsidRPr="0032229D" w:rsidRDefault="00192B9B" w:rsidP="00154435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(Fractional part)</w:t>
            </w:r>
          </w:p>
        </w:tc>
        <w:tc>
          <w:tcPr>
            <w:tcW w:w="1758" w:type="dxa"/>
          </w:tcPr>
          <w:p w14:paraId="61F43088" w14:textId="77777777" w:rsidR="00192B9B" w:rsidRDefault="009931E0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Presence</w:t>
            </w:r>
          </w:p>
          <w:p w14:paraId="3812C4AE" w14:textId="1AEDE63F" w:rsidR="009931E0" w:rsidRPr="0032229D" w:rsidRDefault="009931E0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(Binary part)</w:t>
            </w:r>
          </w:p>
        </w:tc>
        <w:tc>
          <w:tcPr>
            <w:tcW w:w="2206" w:type="dxa"/>
          </w:tcPr>
          <w:p w14:paraId="5220631C" w14:textId="77777777" w:rsidR="00160EFE" w:rsidRPr="0032229D" w:rsidRDefault="00160EFE" w:rsidP="00154435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Magnitude</w:t>
            </w:r>
          </w:p>
          <w:p w14:paraId="2C140B9C" w14:textId="3F86FBBE" w:rsidR="00192B9B" w:rsidRPr="0032229D" w:rsidRDefault="00160EFE" w:rsidP="00154435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(Fractional part)</w:t>
            </w:r>
          </w:p>
        </w:tc>
      </w:tr>
      <w:tr w:rsidR="00192B9B" w:rsidRPr="0032229D" w14:paraId="1A215B74" w14:textId="180E17F2" w:rsidTr="00D12B53">
        <w:tc>
          <w:tcPr>
            <w:tcW w:w="2018" w:type="dxa"/>
          </w:tcPr>
          <w:p w14:paraId="4B50DC2E" w14:textId="2121010E" w:rsidR="00192B9B" w:rsidRPr="0032229D" w:rsidRDefault="00192B9B" w:rsidP="006C0C6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Presidential power index</w:t>
            </w:r>
          </w:p>
        </w:tc>
        <w:tc>
          <w:tcPr>
            <w:tcW w:w="1663" w:type="dxa"/>
          </w:tcPr>
          <w:p w14:paraId="39DFF487" w14:textId="0C5C4E42" w:rsidR="00DF51A6" w:rsidRDefault="00DF51A6" w:rsidP="00154435">
            <w:pPr>
              <w:jc w:val="center"/>
              <w:rPr>
                <w:lang w:val="en-US"/>
              </w:rPr>
            </w:pPr>
            <w:r w:rsidRPr="00BA0A4E">
              <w:rPr>
                <w:lang w:val="en-US"/>
              </w:rPr>
              <w:t>1.</w:t>
            </w:r>
            <w:r w:rsidR="005A1BB9">
              <w:rPr>
                <w:lang w:val="en-US"/>
              </w:rPr>
              <w:t>61</w:t>
            </w:r>
          </w:p>
          <w:p w14:paraId="58A7122D" w14:textId="5A7E0D2F" w:rsidR="00192B9B" w:rsidRPr="00BE2907" w:rsidRDefault="00DF51A6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(0.40)</w:t>
            </w:r>
          </w:p>
        </w:tc>
        <w:tc>
          <w:tcPr>
            <w:tcW w:w="1843" w:type="dxa"/>
          </w:tcPr>
          <w:p w14:paraId="1CDE69B1" w14:textId="7D3C7D40" w:rsidR="00FF7FD3" w:rsidRDefault="001E1909" w:rsidP="00154435">
            <w:pPr>
              <w:jc w:val="center"/>
              <w:rPr>
                <w:lang w:val="en-US"/>
              </w:rPr>
            </w:pPr>
            <w:r w:rsidRPr="00CE7E4D">
              <w:rPr>
                <w:lang w:val="en-US"/>
              </w:rPr>
              <w:t>–</w:t>
            </w:r>
            <w:r w:rsidR="00FF7FD3" w:rsidRPr="00CE7E4D">
              <w:rPr>
                <w:lang w:val="en-US"/>
              </w:rPr>
              <w:t>0.</w:t>
            </w:r>
            <w:r w:rsidR="00ED33CC">
              <w:rPr>
                <w:lang w:val="en-US"/>
              </w:rPr>
              <w:t>03</w:t>
            </w:r>
          </w:p>
          <w:p w14:paraId="3F722C7C" w14:textId="6222935B" w:rsidR="00192B9B" w:rsidRPr="001E1909" w:rsidRDefault="00FF7FD3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ED33CC">
              <w:rPr>
                <w:lang w:val="en-US"/>
              </w:rPr>
              <w:t>33</w:t>
            </w:r>
            <w:r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5E37ADA7" w14:textId="191EE5C7" w:rsidR="002F1515" w:rsidRDefault="002F1515" w:rsidP="00154435">
            <w:pPr>
              <w:jc w:val="center"/>
              <w:rPr>
                <w:lang w:val="en-US"/>
              </w:rPr>
            </w:pPr>
            <w:r w:rsidRPr="00192B9B">
              <w:rPr>
                <w:lang w:val="en-US"/>
              </w:rPr>
              <w:t>2.</w:t>
            </w:r>
            <w:r w:rsidR="005938D6">
              <w:rPr>
                <w:lang w:val="en-US"/>
              </w:rPr>
              <w:t>56</w:t>
            </w:r>
            <w:r>
              <w:rPr>
                <w:lang w:val="en-US"/>
              </w:rPr>
              <w:t>*</w:t>
            </w:r>
          </w:p>
          <w:p w14:paraId="5B527298" w14:textId="237DCD13" w:rsidR="00192B9B" w:rsidRPr="00B2711B" w:rsidRDefault="002F1515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532AC6">
              <w:rPr>
                <w:lang w:val="en-US"/>
              </w:rPr>
              <w:t>1.29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5887DCD1" w14:textId="0ED77BCC" w:rsidR="004B1CDC" w:rsidRDefault="004B1CDC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CD3E5E">
              <w:rPr>
                <w:lang w:val="en-US"/>
              </w:rPr>
              <w:t>.</w:t>
            </w:r>
            <w:r w:rsidR="007A23F5">
              <w:rPr>
                <w:lang w:val="en-US"/>
              </w:rPr>
              <w:t>26</w:t>
            </w:r>
          </w:p>
          <w:p w14:paraId="6FB96232" w14:textId="4A4A95FB" w:rsidR="00192B9B" w:rsidRPr="00286873" w:rsidRDefault="004B1CDC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7A23F5">
              <w:rPr>
                <w:lang w:val="en-US"/>
              </w:rPr>
              <w:t>19</w:t>
            </w:r>
            <w:r>
              <w:rPr>
                <w:lang w:val="en-US"/>
              </w:rPr>
              <w:t>)</w:t>
            </w:r>
          </w:p>
        </w:tc>
      </w:tr>
      <w:tr w:rsidR="00192B9B" w:rsidRPr="0032229D" w14:paraId="7E101553" w14:textId="35F91CB7" w:rsidTr="00D12B53">
        <w:tc>
          <w:tcPr>
            <w:tcW w:w="2018" w:type="dxa"/>
          </w:tcPr>
          <w:p w14:paraId="2FC78376" w14:textId="77777777" w:rsidR="00192B9B" w:rsidRPr="0032229D" w:rsidRDefault="00192B9B" w:rsidP="006C0C60">
            <w:pPr>
              <w:jc w:val="both"/>
              <w:rPr>
                <w:i/>
                <w:iCs/>
                <w:lang w:val="en-US"/>
              </w:rPr>
            </w:pPr>
            <w:r w:rsidRPr="0032229D">
              <w:rPr>
                <w:i/>
                <w:iCs/>
                <w:lang w:val="en-US"/>
              </w:rPr>
              <w:t>Control variables</w:t>
            </w:r>
          </w:p>
        </w:tc>
        <w:tc>
          <w:tcPr>
            <w:tcW w:w="1663" w:type="dxa"/>
          </w:tcPr>
          <w:p w14:paraId="140B1B5D" w14:textId="77777777" w:rsidR="00192B9B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</w:p>
        </w:tc>
        <w:tc>
          <w:tcPr>
            <w:tcW w:w="1843" w:type="dxa"/>
          </w:tcPr>
          <w:p w14:paraId="09257BEE" w14:textId="77777777" w:rsidR="00192B9B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</w:p>
        </w:tc>
        <w:tc>
          <w:tcPr>
            <w:tcW w:w="1758" w:type="dxa"/>
          </w:tcPr>
          <w:p w14:paraId="62615DE2" w14:textId="77777777" w:rsidR="00192B9B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</w:p>
        </w:tc>
        <w:tc>
          <w:tcPr>
            <w:tcW w:w="2206" w:type="dxa"/>
          </w:tcPr>
          <w:p w14:paraId="30CF5865" w14:textId="050315A0" w:rsidR="00192B9B" w:rsidRPr="00F03210" w:rsidRDefault="00192B9B" w:rsidP="00154435">
            <w:pPr>
              <w:jc w:val="center"/>
              <w:rPr>
                <w:lang w:val="en-US"/>
              </w:rPr>
            </w:pPr>
          </w:p>
        </w:tc>
      </w:tr>
      <w:tr w:rsidR="00192B9B" w:rsidRPr="0032229D" w14:paraId="74E77A4A" w14:textId="1D7EF236" w:rsidTr="00D12B53">
        <w:tc>
          <w:tcPr>
            <w:tcW w:w="2018" w:type="dxa"/>
          </w:tcPr>
          <w:p w14:paraId="4A0F1660" w14:textId="77777777" w:rsidR="00192B9B" w:rsidRPr="008735F7" w:rsidRDefault="00192B9B" w:rsidP="006C0C60">
            <w:pPr>
              <w:jc w:val="both"/>
              <w:rPr>
                <w:lang w:val="en-US"/>
              </w:rPr>
            </w:pPr>
            <w:r w:rsidRPr="008735F7">
              <w:rPr>
                <w:lang w:val="en-US"/>
              </w:rPr>
              <w:t>Minority cabinet</w:t>
            </w:r>
          </w:p>
          <w:p w14:paraId="3FDA3937" w14:textId="77777777" w:rsidR="00192B9B" w:rsidRPr="008735F7" w:rsidRDefault="00192B9B" w:rsidP="006C0C60">
            <w:pPr>
              <w:jc w:val="both"/>
              <w:rPr>
                <w:lang w:val="en-US"/>
              </w:rPr>
            </w:pPr>
          </w:p>
        </w:tc>
        <w:tc>
          <w:tcPr>
            <w:tcW w:w="1663" w:type="dxa"/>
          </w:tcPr>
          <w:p w14:paraId="31D1D2BD" w14:textId="67604FC9" w:rsidR="00192B9B" w:rsidRPr="008735F7" w:rsidRDefault="00192B9B" w:rsidP="00154435">
            <w:pPr>
              <w:jc w:val="center"/>
              <w:rPr>
                <w:lang w:val="en-US"/>
              </w:rPr>
            </w:pPr>
            <w:r w:rsidRPr="008735F7">
              <w:rPr>
                <w:lang w:val="en-US"/>
              </w:rPr>
              <w:t>0.</w:t>
            </w:r>
            <w:r w:rsidR="00041670">
              <w:rPr>
                <w:lang w:val="en-US"/>
              </w:rPr>
              <w:t>72</w:t>
            </w:r>
          </w:p>
          <w:p w14:paraId="598E7BBE" w14:textId="0676A539" w:rsidR="00192B9B" w:rsidRPr="008735F7" w:rsidRDefault="00192B9B" w:rsidP="00154435">
            <w:pPr>
              <w:jc w:val="center"/>
              <w:rPr>
                <w:lang w:val="en-US"/>
              </w:rPr>
            </w:pPr>
            <w:r w:rsidRPr="008735F7">
              <w:rPr>
                <w:lang w:val="en-US"/>
              </w:rPr>
              <w:t>(0.</w:t>
            </w:r>
            <w:r w:rsidR="00041670">
              <w:rPr>
                <w:lang w:val="en-US"/>
              </w:rPr>
              <w:t>37</w:t>
            </w:r>
            <w:r w:rsidRPr="008735F7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4A2E151E" w14:textId="691FDC1A" w:rsidR="00192B9B" w:rsidRPr="00706725" w:rsidRDefault="0006342C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  <w:p w14:paraId="64ED0BB8" w14:textId="1C175F0E" w:rsidR="00DC4B42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  <w:r w:rsidRPr="00706725">
              <w:rPr>
                <w:lang w:val="en-US"/>
              </w:rPr>
              <w:t>(0.</w:t>
            </w:r>
            <w:r w:rsidR="0006342C">
              <w:rPr>
                <w:lang w:val="en-US"/>
              </w:rPr>
              <w:t>05</w:t>
            </w:r>
            <w:r w:rsidRPr="00706725"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77E5E49D" w14:textId="22517290" w:rsidR="005F1799" w:rsidRDefault="005F1799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192B9B">
              <w:rPr>
                <w:lang w:val="en-US"/>
              </w:rPr>
              <w:t>.</w:t>
            </w:r>
            <w:r w:rsidR="005D7043">
              <w:rPr>
                <w:lang w:val="en-US"/>
              </w:rPr>
              <w:t>71</w:t>
            </w:r>
            <w:r>
              <w:rPr>
                <w:lang w:val="en-US"/>
              </w:rPr>
              <w:t>**</w:t>
            </w:r>
          </w:p>
          <w:p w14:paraId="7245577B" w14:textId="7CD8C02D" w:rsidR="00192B9B" w:rsidRPr="004B22B1" w:rsidRDefault="005F1799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EC353A">
              <w:rPr>
                <w:lang w:val="en-US"/>
              </w:rPr>
              <w:t>2</w:t>
            </w:r>
            <w:r w:rsidR="001C5B04">
              <w:rPr>
                <w:lang w:val="en-US"/>
              </w:rPr>
              <w:t>7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5DE023D9" w14:textId="144D47E4" w:rsidR="00B876B1" w:rsidRPr="00F03210" w:rsidRDefault="00961CC9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</w:p>
          <w:p w14:paraId="2A1EBB17" w14:textId="7EA7856D" w:rsidR="00192B9B" w:rsidRPr="00F03210" w:rsidRDefault="00B876B1" w:rsidP="00154435">
            <w:pPr>
              <w:jc w:val="center"/>
              <w:rPr>
                <w:lang w:val="en-US"/>
              </w:rPr>
            </w:pPr>
            <w:r w:rsidRPr="00F03210">
              <w:rPr>
                <w:lang w:val="en-US"/>
              </w:rPr>
              <w:t>(0.</w:t>
            </w:r>
            <w:r w:rsidR="002505D4">
              <w:rPr>
                <w:lang w:val="en-US"/>
              </w:rPr>
              <w:t>06</w:t>
            </w:r>
            <w:r w:rsidRPr="00F03210">
              <w:rPr>
                <w:lang w:val="en-US"/>
              </w:rPr>
              <w:t>)</w:t>
            </w:r>
          </w:p>
        </w:tc>
      </w:tr>
      <w:tr w:rsidR="00192B9B" w:rsidRPr="0032229D" w14:paraId="359ED60B" w14:textId="77FC210B" w:rsidTr="00D12B53">
        <w:tc>
          <w:tcPr>
            <w:tcW w:w="2018" w:type="dxa"/>
          </w:tcPr>
          <w:p w14:paraId="6F4B7106" w14:textId="77777777" w:rsidR="00192B9B" w:rsidRPr="006326D1" w:rsidRDefault="00192B9B" w:rsidP="006C0C60">
            <w:pPr>
              <w:jc w:val="both"/>
              <w:rPr>
                <w:lang w:val="en-US"/>
              </w:rPr>
            </w:pPr>
            <w:r w:rsidRPr="006326D1">
              <w:rPr>
                <w:lang w:val="en-US"/>
              </w:rPr>
              <w:t>Caretaker cabinet</w:t>
            </w:r>
          </w:p>
          <w:p w14:paraId="3C3BF508" w14:textId="77777777" w:rsidR="00192B9B" w:rsidRPr="006326D1" w:rsidRDefault="00192B9B" w:rsidP="006C0C60">
            <w:pPr>
              <w:jc w:val="both"/>
              <w:rPr>
                <w:lang w:val="en-US"/>
              </w:rPr>
            </w:pPr>
          </w:p>
        </w:tc>
        <w:tc>
          <w:tcPr>
            <w:tcW w:w="1663" w:type="dxa"/>
          </w:tcPr>
          <w:p w14:paraId="63340580" w14:textId="12A43138" w:rsidR="00192B9B" w:rsidRPr="006326D1" w:rsidRDefault="00552A17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1.83</w:t>
            </w:r>
            <w:r w:rsidR="00192B9B" w:rsidRPr="006326D1">
              <w:rPr>
                <w:lang w:val="en-US"/>
              </w:rPr>
              <w:t>*</w:t>
            </w:r>
          </w:p>
          <w:p w14:paraId="5DC3F848" w14:textId="0164C9F3" w:rsidR="002A16C6" w:rsidRPr="006326D1" w:rsidRDefault="00192B9B" w:rsidP="00154435">
            <w:pPr>
              <w:jc w:val="center"/>
              <w:rPr>
                <w:lang w:val="en-US"/>
              </w:rPr>
            </w:pPr>
            <w:r w:rsidRPr="006326D1">
              <w:rPr>
                <w:lang w:val="en-US"/>
              </w:rPr>
              <w:t>(0.</w:t>
            </w:r>
            <w:r w:rsidR="00552A17">
              <w:rPr>
                <w:lang w:val="en-US"/>
              </w:rPr>
              <w:t>79</w:t>
            </w:r>
            <w:r w:rsidRPr="006326D1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4218DADE" w14:textId="18C40EDA" w:rsidR="00192B9B" w:rsidRPr="002C2681" w:rsidRDefault="00192B9B" w:rsidP="00154435">
            <w:pPr>
              <w:jc w:val="center"/>
              <w:rPr>
                <w:lang w:val="en-US"/>
              </w:rPr>
            </w:pPr>
            <w:r w:rsidRPr="002C2681">
              <w:rPr>
                <w:lang w:val="en-US"/>
              </w:rPr>
              <w:t>1.</w:t>
            </w:r>
            <w:r w:rsidR="00631042">
              <w:rPr>
                <w:lang w:val="en-US"/>
              </w:rPr>
              <w:t>44</w:t>
            </w:r>
            <w:r w:rsidRPr="002C2681">
              <w:rPr>
                <w:lang w:val="en-US"/>
              </w:rPr>
              <w:t>**</w:t>
            </w:r>
          </w:p>
          <w:p w14:paraId="4E914207" w14:textId="7A9F294F" w:rsidR="005C2D41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  <w:r w:rsidRPr="002C2681">
              <w:rPr>
                <w:lang w:val="en-US"/>
              </w:rPr>
              <w:t>(0.</w:t>
            </w:r>
            <w:r w:rsidR="00631042">
              <w:rPr>
                <w:lang w:val="en-US"/>
              </w:rPr>
              <w:t>44</w:t>
            </w:r>
            <w:r w:rsidRPr="002C2681"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1E9377C8" w14:textId="4AC37064" w:rsidR="007175AB" w:rsidRDefault="0063051D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1.39</w:t>
            </w:r>
            <w:r w:rsidR="00BB7AF0">
              <w:rPr>
                <w:lang w:val="en-US"/>
              </w:rPr>
              <w:t>*</w:t>
            </w:r>
          </w:p>
          <w:p w14:paraId="70D10FB2" w14:textId="696C0B4B" w:rsidR="00192B9B" w:rsidRPr="009E661A" w:rsidRDefault="007175AB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692124">
              <w:rPr>
                <w:lang w:val="en-US"/>
              </w:rPr>
              <w:t>55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205BAF3C" w14:textId="034C2F11" w:rsidR="00EE5110" w:rsidRDefault="00EE5110" w:rsidP="00154435">
            <w:pPr>
              <w:jc w:val="center"/>
              <w:rPr>
                <w:lang w:val="en-US"/>
              </w:rPr>
            </w:pPr>
            <w:r w:rsidRPr="00CD3E5E">
              <w:rPr>
                <w:lang w:val="en-US"/>
              </w:rPr>
              <w:t>1.</w:t>
            </w:r>
            <w:r w:rsidR="00EC7AA8">
              <w:rPr>
                <w:lang w:val="en-US"/>
              </w:rPr>
              <w:t>32</w:t>
            </w:r>
            <w:r>
              <w:rPr>
                <w:lang w:val="en-US"/>
              </w:rPr>
              <w:t>***</w:t>
            </w:r>
          </w:p>
          <w:p w14:paraId="1E8C8BF9" w14:textId="1B53DB91" w:rsidR="00192B9B" w:rsidRPr="00373C4D" w:rsidRDefault="00EE5110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EC7AA8">
              <w:rPr>
                <w:lang w:val="en-US"/>
              </w:rPr>
              <w:t>3</w:t>
            </w:r>
            <w:r>
              <w:rPr>
                <w:lang w:val="en-US"/>
              </w:rPr>
              <w:t>7)</w:t>
            </w:r>
          </w:p>
        </w:tc>
      </w:tr>
      <w:tr w:rsidR="00192B9B" w:rsidRPr="0032229D" w14:paraId="33C39C0F" w14:textId="10E2955E" w:rsidTr="00D12B53">
        <w:tc>
          <w:tcPr>
            <w:tcW w:w="2018" w:type="dxa"/>
          </w:tcPr>
          <w:p w14:paraId="2986331F" w14:textId="77777777" w:rsidR="00192B9B" w:rsidRPr="003B667E" w:rsidRDefault="00192B9B" w:rsidP="006C0C60">
            <w:pPr>
              <w:jc w:val="both"/>
              <w:rPr>
                <w:lang w:val="en-US"/>
              </w:rPr>
            </w:pPr>
            <w:r w:rsidRPr="003B667E">
              <w:rPr>
                <w:lang w:val="en-US"/>
              </w:rPr>
              <w:t>Cohabitation</w:t>
            </w:r>
          </w:p>
          <w:p w14:paraId="1C63FEE9" w14:textId="77777777" w:rsidR="00192B9B" w:rsidRPr="003B667E" w:rsidRDefault="00192B9B" w:rsidP="006C0C60">
            <w:pPr>
              <w:jc w:val="both"/>
              <w:rPr>
                <w:lang w:val="en-US"/>
              </w:rPr>
            </w:pPr>
          </w:p>
        </w:tc>
        <w:tc>
          <w:tcPr>
            <w:tcW w:w="1663" w:type="dxa"/>
          </w:tcPr>
          <w:p w14:paraId="4336F188" w14:textId="5568110A" w:rsidR="00192B9B" w:rsidRPr="003B667E" w:rsidRDefault="00192B9B" w:rsidP="00154435">
            <w:pPr>
              <w:jc w:val="center"/>
              <w:rPr>
                <w:lang w:val="en-US"/>
              </w:rPr>
            </w:pPr>
            <w:r w:rsidRPr="003B667E">
              <w:rPr>
                <w:lang w:val="en-US"/>
              </w:rPr>
              <w:t>0.</w:t>
            </w:r>
            <w:r w:rsidR="008213B0" w:rsidRPr="003B667E">
              <w:rPr>
                <w:lang w:val="en-US"/>
              </w:rPr>
              <w:t>1</w:t>
            </w:r>
            <w:r w:rsidR="00B83F36">
              <w:rPr>
                <w:lang w:val="en-US"/>
              </w:rPr>
              <w:t>6</w:t>
            </w:r>
          </w:p>
          <w:p w14:paraId="2DDCD3C9" w14:textId="29A8F48A" w:rsidR="008213B0" w:rsidRPr="003B667E" w:rsidRDefault="00192B9B" w:rsidP="00154435">
            <w:pPr>
              <w:jc w:val="center"/>
              <w:rPr>
                <w:lang w:val="en-US"/>
              </w:rPr>
            </w:pPr>
            <w:r w:rsidRPr="003B667E">
              <w:rPr>
                <w:lang w:val="en-US"/>
              </w:rPr>
              <w:t>(0.</w:t>
            </w:r>
            <w:r w:rsidR="00216098">
              <w:rPr>
                <w:lang w:val="en-US"/>
              </w:rPr>
              <w:t>41</w:t>
            </w:r>
            <w:r w:rsidRPr="003B667E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0BB596A5" w14:textId="71F553D3" w:rsidR="00192B9B" w:rsidRPr="009D3818" w:rsidRDefault="00192B9B" w:rsidP="00154435">
            <w:pPr>
              <w:jc w:val="center"/>
              <w:rPr>
                <w:lang w:val="en-US"/>
              </w:rPr>
            </w:pPr>
            <w:r w:rsidRPr="009D3818">
              <w:rPr>
                <w:lang w:val="en-US"/>
              </w:rPr>
              <w:t>–0.</w:t>
            </w:r>
            <w:r w:rsidR="00E834B9" w:rsidRPr="009D3818">
              <w:rPr>
                <w:lang w:val="en-US"/>
              </w:rPr>
              <w:t>002</w:t>
            </w:r>
          </w:p>
          <w:p w14:paraId="5060FC80" w14:textId="02DDBFDB" w:rsidR="00E834B9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  <w:r w:rsidRPr="009D3818">
              <w:rPr>
                <w:lang w:val="en-US"/>
              </w:rPr>
              <w:t>(0.</w:t>
            </w:r>
            <w:r w:rsidR="00D31D8D">
              <w:rPr>
                <w:lang w:val="en-US"/>
              </w:rPr>
              <w:t>07</w:t>
            </w:r>
            <w:r w:rsidRPr="009D3818"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61985647" w14:textId="77777777" w:rsidR="00722E12" w:rsidRDefault="00722E12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192B9B">
              <w:rPr>
                <w:lang w:val="en-US"/>
              </w:rPr>
              <w:t>.20</w:t>
            </w:r>
          </w:p>
          <w:p w14:paraId="79BBF4F1" w14:textId="1C80EC48" w:rsidR="00192B9B" w:rsidRPr="00FF4ACF" w:rsidRDefault="00722E12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7D1F6B">
              <w:rPr>
                <w:lang w:val="en-US"/>
              </w:rPr>
              <w:t>37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42C1507C" w14:textId="00A42E6C" w:rsidR="0093053B" w:rsidRDefault="0093053B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CD3E5E">
              <w:rPr>
                <w:lang w:val="en-US"/>
              </w:rPr>
              <w:t>.0</w:t>
            </w:r>
            <w:r w:rsidR="00AA0703">
              <w:rPr>
                <w:lang w:val="en-US"/>
              </w:rPr>
              <w:t>1</w:t>
            </w:r>
          </w:p>
          <w:p w14:paraId="5F88FCAE" w14:textId="60E8ED91" w:rsidR="00192B9B" w:rsidRPr="002052B4" w:rsidRDefault="0093053B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D17B00">
              <w:rPr>
                <w:lang w:val="en-US"/>
              </w:rPr>
              <w:t>07</w:t>
            </w:r>
            <w:r>
              <w:rPr>
                <w:lang w:val="en-US"/>
              </w:rPr>
              <w:t>)</w:t>
            </w:r>
          </w:p>
        </w:tc>
      </w:tr>
      <w:tr w:rsidR="00192B9B" w:rsidRPr="0032229D" w14:paraId="0CFF84A7" w14:textId="25528EA2" w:rsidTr="00D12B53">
        <w:tc>
          <w:tcPr>
            <w:tcW w:w="2018" w:type="dxa"/>
          </w:tcPr>
          <w:p w14:paraId="7246B1F4" w14:textId="77777777" w:rsidR="00192B9B" w:rsidRPr="0049249B" w:rsidRDefault="00192B9B" w:rsidP="006C0C60">
            <w:pPr>
              <w:jc w:val="both"/>
              <w:rPr>
                <w:lang w:val="en-US"/>
              </w:rPr>
            </w:pPr>
            <w:r w:rsidRPr="0049249B">
              <w:rPr>
                <w:lang w:val="en-US"/>
              </w:rPr>
              <w:t>Party–system fractionalization</w:t>
            </w:r>
          </w:p>
        </w:tc>
        <w:tc>
          <w:tcPr>
            <w:tcW w:w="1663" w:type="dxa"/>
          </w:tcPr>
          <w:p w14:paraId="1D25DAEC" w14:textId="5D24E458" w:rsidR="00192B9B" w:rsidRPr="0049249B" w:rsidRDefault="00192B9B" w:rsidP="00154435">
            <w:pPr>
              <w:jc w:val="center"/>
              <w:rPr>
                <w:lang w:val="en-US"/>
              </w:rPr>
            </w:pPr>
            <w:r w:rsidRPr="0049249B">
              <w:rPr>
                <w:lang w:val="en-US"/>
              </w:rPr>
              <w:t>0.</w:t>
            </w:r>
            <w:r w:rsidR="002A2FC0">
              <w:rPr>
                <w:lang w:val="en-US"/>
              </w:rPr>
              <w:t>11</w:t>
            </w:r>
          </w:p>
          <w:p w14:paraId="504C5E2F" w14:textId="4F97ADF3" w:rsidR="001C0C0E" w:rsidRPr="0049249B" w:rsidRDefault="00192B9B" w:rsidP="00154435">
            <w:pPr>
              <w:jc w:val="center"/>
              <w:rPr>
                <w:lang w:val="en-US"/>
              </w:rPr>
            </w:pPr>
            <w:r w:rsidRPr="0049249B">
              <w:rPr>
                <w:lang w:val="en-US"/>
              </w:rPr>
              <w:t>(0.0</w:t>
            </w:r>
            <w:r w:rsidR="002A2FC0">
              <w:rPr>
                <w:lang w:val="en-US"/>
              </w:rPr>
              <w:t>8</w:t>
            </w:r>
            <w:r w:rsidRPr="0049249B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1CC611BC" w14:textId="2F0A848E" w:rsidR="00192B9B" w:rsidRPr="00A37342" w:rsidRDefault="00192B9B" w:rsidP="00154435">
            <w:pPr>
              <w:jc w:val="center"/>
              <w:rPr>
                <w:lang w:val="en-US"/>
              </w:rPr>
            </w:pPr>
            <w:r w:rsidRPr="00A37342">
              <w:rPr>
                <w:lang w:val="en-US"/>
              </w:rPr>
              <w:t>0.</w:t>
            </w:r>
            <w:r w:rsidR="00D31D8D">
              <w:rPr>
                <w:lang w:val="en-US"/>
              </w:rPr>
              <w:t>06</w:t>
            </w:r>
            <w:r w:rsidRPr="00A37342">
              <w:rPr>
                <w:lang w:val="en-US"/>
              </w:rPr>
              <w:t>**</w:t>
            </w:r>
          </w:p>
          <w:p w14:paraId="75A318E8" w14:textId="367B30C3" w:rsidR="00A37342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  <w:r w:rsidRPr="00A37342">
              <w:rPr>
                <w:lang w:val="en-US"/>
              </w:rPr>
              <w:t>(0.0</w:t>
            </w:r>
            <w:r w:rsidR="00AA0DE6">
              <w:rPr>
                <w:lang w:val="en-US"/>
              </w:rPr>
              <w:t>2</w:t>
            </w:r>
            <w:r w:rsidRPr="00A37342"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1EFFC61A" w14:textId="51A0DB6A" w:rsidR="000C6533" w:rsidRDefault="00D75D0B" w:rsidP="00154435">
            <w:pPr>
              <w:jc w:val="center"/>
              <w:rPr>
                <w:lang w:val="en-US"/>
              </w:rPr>
            </w:pPr>
            <w:r w:rsidRPr="00F03210">
              <w:rPr>
                <w:lang w:val="en-US"/>
              </w:rPr>
              <w:t>–</w:t>
            </w:r>
            <w:r w:rsidR="000C6533">
              <w:rPr>
                <w:lang w:val="en-US"/>
              </w:rPr>
              <w:t>0</w:t>
            </w:r>
            <w:r w:rsidR="000C6533" w:rsidRPr="00192B9B">
              <w:rPr>
                <w:lang w:val="en-US"/>
              </w:rPr>
              <w:t>.0</w:t>
            </w:r>
            <w:r w:rsidR="000C6533">
              <w:rPr>
                <w:lang w:val="en-US"/>
              </w:rPr>
              <w:t>2</w:t>
            </w:r>
          </w:p>
          <w:p w14:paraId="27AD15F7" w14:textId="05190C17" w:rsidR="00192B9B" w:rsidRPr="00CF242B" w:rsidRDefault="000C6533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D53CE6">
              <w:rPr>
                <w:lang w:val="en-US"/>
              </w:rPr>
              <w:t>10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273EA266" w14:textId="5B8C56CA" w:rsidR="00D239B0" w:rsidRPr="00F03210" w:rsidRDefault="00D239B0" w:rsidP="00154435">
            <w:pPr>
              <w:jc w:val="center"/>
              <w:rPr>
                <w:lang w:val="en-US"/>
              </w:rPr>
            </w:pPr>
            <w:r w:rsidRPr="00F03210">
              <w:rPr>
                <w:lang w:val="en-US"/>
              </w:rPr>
              <w:t>0.</w:t>
            </w:r>
            <w:r w:rsidR="00670736">
              <w:rPr>
                <w:lang w:val="en-US"/>
              </w:rPr>
              <w:t>06</w:t>
            </w:r>
            <w:r w:rsidR="00545C0D" w:rsidRPr="00F03210">
              <w:rPr>
                <w:lang w:val="en-US"/>
              </w:rPr>
              <w:t>*</w:t>
            </w:r>
          </w:p>
          <w:p w14:paraId="6B369425" w14:textId="62E12F72" w:rsidR="00192B9B" w:rsidRPr="00F03210" w:rsidRDefault="00D239B0" w:rsidP="00154435">
            <w:pPr>
              <w:jc w:val="center"/>
              <w:rPr>
                <w:lang w:val="en-US"/>
              </w:rPr>
            </w:pPr>
            <w:r w:rsidRPr="00F03210">
              <w:rPr>
                <w:lang w:val="en-US"/>
              </w:rPr>
              <w:t>(0.0</w:t>
            </w:r>
            <w:r w:rsidR="00C06F39">
              <w:rPr>
                <w:lang w:val="en-US"/>
              </w:rPr>
              <w:t>2</w:t>
            </w:r>
            <w:r w:rsidR="001D3668" w:rsidRPr="00F03210">
              <w:rPr>
                <w:lang w:val="en-US"/>
              </w:rPr>
              <w:t>)</w:t>
            </w:r>
          </w:p>
        </w:tc>
      </w:tr>
      <w:tr w:rsidR="00192B9B" w:rsidRPr="0032229D" w14:paraId="6A2CD831" w14:textId="27DE5198" w:rsidTr="00D12B53">
        <w:tc>
          <w:tcPr>
            <w:tcW w:w="2018" w:type="dxa"/>
          </w:tcPr>
          <w:p w14:paraId="4190C49F" w14:textId="77777777" w:rsidR="00192B9B" w:rsidRPr="0032229D" w:rsidRDefault="00192B9B" w:rsidP="006C0C60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Number of coalition partners</w:t>
            </w:r>
          </w:p>
        </w:tc>
        <w:tc>
          <w:tcPr>
            <w:tcW w:w="1663" w:type="dxa"/>
          </w:tcPr>
          <w:p w14:paraId="045314B6" w14:textId="1F45CD9D" w:rsidR="00B5434B" w:rsidRPr="005566FE" w:rsidRDefault="00B5434B" w:rsidP="00154435">
            <w:pPr>
              <w:jc w:val="center"/>
              <w:rPr>
                <w:lang w:val="en-US"/>
              </w:rPr>
            </w:pPr>
            <w:r w:rsidRPr="005566FE">
              <w:rPr>
                <w:lang w:val="en-US"/>
              </w:rPr>
              <w:t>0.</w:t>
            </w:r>
            <w:r w:rsidR="008D48FB">
              <w:rPr>
                <w:lang w:val="en-US"/>
              </w:rPr>
              <w:t>14</w:t>
            </w:r>
          </w:p>
          <w:p w14:paraId="021DB021" w14:textId="633FE0E9" w:rsidR="00192B9B" w:rsidRPr="005566FE" w:rsidRDefault="00B5434B" w:rsidP="00154435">
            <w:pPr>
              <w:jc w:val="center"/>
              <w:rPr>
                <w:lang w:val="en-US"/>
              </w:rPr>
            </w:pPr>
            <w:r w:rsidRPr="005566FE">
              <w:rPr>
                <w:lang w:val="en-US"/>
              </w:rPr>
              <w:t>(0.</w:t>
            </w:r>
            <w:r w:rsidR="008D48FB">
              <w:rPr>
                <w:lang w:val="en-US"/>
              </w:rPr>
              <w:t>1</w:t>
            </w:r>
            <w:r w:rsidRPr="005566FE">
              <w:rPr>
                <w:lang w:val="en-US"/>
              </w:rPr>
              <w:t>5)</w:t>
            </w:r>
          </w:p>
        </w:tc>
        <w:tc>
          <w:tcPr>
            <w:tcW w:w="1843" w:type="dxa"/>
          </w:tcPr>
          <w:p w14:paraId="47FA8727" w14:textId="5E9CBF38" w:rsidR="00192B9B" w:rsidRPr="00CB1478" w:rsidRDefault="00192B9B" w:rsidP="00154435">
            <w:pPr>
              <w:jc w:val="center"/>
              <w:rPr>
                <w:lang w:val="en-US"/>
              </w:rPr>
            </w:pPr>
            <w:r w:rsidRPr="00CB1478">
              <w:rPr>
                <w:lang w:val="en-US"/>
              </w:rPr>
              <w:t>–0.</w:t>
            </w:r>
            <w:r w:rsidR="00B10477">
              <w:rPr>
                <w:lang w:val="en-US"/>
              </w:rPr>
              <w:t>10</w:t>
            </w:r>
          </w:p>
          <w:p w14:paraId="711FC09A" w14:textId="50C70965" w:rsidR="000B214E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  <w:r w:rsidRPr="00CB1478">
              <w:rPr>
                <w:lang w:val="en-US"/>
              </w:rPr>
              <w:t>(0.0</w:t>
            </w:r>
            <w:r w:rsidR="00B10477">
              <w:rPr>
                <w:lang w:val="en-US"/>
              </w:rPr>
              <w:t>6</w:t>
            </w:r>
            <w:r w:rsidRPr="00CB1478"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4B483B47" w14:textId="747A6DFB" w:rsidR="00633DA2" w:rsidRDefault="00633DA2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192B9B">
              <w:rPr>
                <w:lang w:val="en-US"/>
              </w:rPr>
              <w:t>.</w:t>
            </w:r>
            <w:r w:rsidR="00757F5B">
              <w:rPr>
                <w:lang w:val="en-US"/>
              </w:rPr>
              <w:t>14</w:t>
            </w:r>
          </w:p>
          <w:p w14:paraId="7C5225C5" w14:textId="2A056FDF" w:rsidR="00192B9B" w:rsidRPr="002C2925" w:rsidRDefault="00633DA2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6E2C5A">
              <w:rPr>
                <w:lang w:val="en-US"/>
              </w:rPr>
              <w:t>13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4C285E91" w14:textId="12C44ABE" w:rsidR="00DB501B" w:rsidRPr="00F03210" w:rsidRDefault="00DB501B" w:rsidP="00154435">
            <w:pPr>
              <w:jc w:val="center"/>
              <w:rPr>
                <w:lang w:val="en-US"/>
              </w:rPr>
            </w:pPr>
            <w:r w:rsidRPr="00F03210">
              <w:rPr>
                <w:lang w:val="en-US"/>
              </w:rPr>
              <w:t>–0.</w:t>
            </w:r>
            <w:r w:rsidR="003A6872">
              <w:rPr>
                <w:lang w:val="en-US"/>
              </w:rPr>
              <w:t>1</w:t>
            </w:r>
            <w:r w:rsidRPr="00F03210">
              <w:rPr>
                <w:lang w:val="en-US"/>
              </w:rPr>
              <w:t>0</w:t>
            </w:r>
          </w:p>
          <w:p w14:paraId="16ECFB54" w14:textId="7379A95E" w:rsidR="00192B9B" w:rsidRPr="00F03210" w:rsidRDefault="00DB501B" w:rsidP="00154435">
            <w:pPr>
              <w:jc w:val="center"/>
              <w:rPr>
                <w:lang w:val="en-US"/>
              </w:rPr>
            </w:pPr>
            <w:r w:rsidRPr="00F03210">
              <w:rPr>
                <w:lang w:val="en-US"/>
              </w:rPr>
              <w:t>(0.0</w:t>
            </w:r>
            <w:r w:rsidR="003A6872">
              <w:rPr>
                <w:lang w:val="en-US"/>
              </w:rPr>
              <w:t>5</w:t>
            </w:r>
            <w:r w:rsidRPr="00F03210">
              <w:rPr>
                <w:lang w:val="en-US"/>
              </w:rPr>
              <w:t>)</w:t>
            </w:r>
          </w:p>
        </w:tc>
      </w:tr>
      <w:tr w:rsidR="00B83953" w:rsidRPr="0032229D" w14:paraId="1CFBAE83" w14:textId="77777777" w:rsidTr="00D12B53">
        <w:tc>
          <w:tcPr>
            <w:tcW w:w="2018" w:type="dxa"/>
          </w:tcPr>
          <w:p w14:paraId="35AF002E" w14:textId="05172B2E" w:rsidR="00B83953" w:rsidRPr="0032229D" w:rsidRDefault="00B83953" w:rsidP="006C0C6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Proportional electoral system</w:t>
            </w:r>
          </w:p>
        </w:tc>
        <w:tc>
          <w:tcPr>
            <w:tcW w:w="1663" w:type="dxa"/>
          </w:tcPr>
          <w:p w14:paraId="024E2A37" w14:textId="718B41B9" w:rsidR="000D34D0" w:rsidRDefault="002D4B0B" w:rsidP="00154435">
            <w:pPr>
              <w:jc w:val="center"/>
              <w:rPr>
                <w:lang w:val="en-US"/>
              </w:rPr>
            </w:pPr>
            <w:r w:rsidRPr="00A961DC">
              <w:rPr>
                <w:lang w:val="en-US"/>
              </w:rPr>
              <w:t>–</w:t>
            </w:r>
            <w:r w:rsidR="00D12937">
              <w:rPr>
                <w:lang w:val="en-US"/>
              </w:rPr>
              <w:t>1</w:t>
            </w:r>
            <w:r w:rsidR="00777A97" w:rsidRPr="00BA0A4E">
              <w:rPr>
                <w:lang w:val="en-US"/>
              </w:rPr>
              <w:t>.</w:t>
            </w:r>
            <w:r w:rsidR="00D12937">
              <w:rPr>
                <w:lang w:val="en-US"/>
              </w:rPr>
              <w:t>54</w:t>
            </w:r>
          </w:p>
          <w:p w14:paraId="15A6B2B7" w14:textId="017044F9" w:rsidR="00B83953" w:rsidRPr="00CC0BE1" w:rsidRDefault="002D4B0B" w:rsidP="00154435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="00777A97" w:rsidRPr="00BA0A4E">
              <w:rPr>
                <w:lang w:val="en-US"/>
              </w:rPr>
              <w:t>.</w:t>
            </w:r>
            <w:r w:rsidR="00C87BAC">
              <w:rPr>
                <w:lang w:val="en-US"/>
              </w:rPr>
              <w:t>82</w:t>
            </w:r>
            <w:r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301C1ECA" w14:textId="44BD0D4A" w:rsidR="000F06F9" w:rsidRDefault="00D34407" w:rsidP="00154435">
            <w:pPr>
              <w:jc w:val="center"/>
              <w:rPr>
                <w:lang w:val="en-US"/>
              </w:rPr>
            </w:pPr>
            <w:r w:rsidRPr="00A961DC">
              <w:rPr>
                <w:lang w:val="en-US"/>
              </w:rPr>
              <w:t>–</w:t>
            </w:r>
            <w:r w:rsidR="000F06F9">
              <w:rPr>
                <w:lang w:val="en-US"/>
              </w:rPr>
              <w:t>0</w:t>
            </w:r>
            <w:r w:rsidR="000F06F9" w:rsidRPr="00A8697B">
              <w:rPr>
                <w:lang w:val="en-US"/>
              </w:rPr>
              <w:t>.0</w:t>
            </w:r>
            <w:r w:rsidR="00D953D0">
              <w:rPr>
                <w:lang w:val="en-US"/>
              </w:rPr>
              <w:t>7</w:t>
            </w:r>
          </w:p>
          <w:p w14:paraId="3722CD54" w14:textId="4006FE6C" w:rsidR="00B83953" w:rsidRPr="00D34407" w:rsidRDefault="000F06F9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(0.1</w:t>
            </w:r>
            <w:r w:rsidR="00D953D0">
              <w:rPr>
                <w:lang w:val="en-US"/>
              </w:rPr>
              <w:t>0</w:t>
            </w:r>
            <w:r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64A28C93" w14:textId="592FBE74" w:rsidR="00D21FE9" w:rsidRDefault="00D21FE9" w:rsidP="00154435">
            <w:pPr>
              <w:jc w:val="center"/>
              <w:rPr>
                <w:lang w:val="en-US"/>
              </w:rPr>
            </w:pPr>
            <w:r w:rsidRPr="00A961DC">
              <w:rPr>
                <w:lang w:val="en-US"/>
              </w:rPr>
              <w:t>–</w:t>
            </w:r>
            <w:r w:rsidR="00F13092">
              <w:rPr>
                <w:lang w:val="en-US"/>
              </w:rPr>
              <w:t>1.29</w:t>
            </w:r>
            <w:r>
              <w:rPr>
                <w:lang w:val="en-US"/>
              </w:rPr>
              <w:t>*</w:t>
            </w:r>
          </w:p>
          <w:p w14:paraId="4D2BE7DB" w14:textId="2750DFF7" w:rsidR="00B83953" w:rsidRDefault="00D21FE9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6E6F3E">
              <w:rPr>
                <w:lang w:val="en-US"/>
              </w:rPr>
              <w:t>66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27B416ED" w14:textId="2B29BFE7" w:rsidR="007D0E7C" w:rsidRPr="00F03210" w:rsidRDefault="00556A7C" w:rsidP="00154435">
            <w:pPr>
              <w:jc w:val="center"/>
              <w:rPr>
                <w:lang w:val="en-US"/>
              </w:rPr>
            </w:pPr>
            <w:r w:rsidRPr="00F03210">
              <w:rPr>
                <w:lang w:val="en-US"/>
              </w:rPr>
              <w:t>–</w:t>
            </w:r>
            <w:r w:rsidR="007D0E7C" w:rsidRPr="00F03210">
              <w:rPr>
                <w:lang w:val="en-US"/>
              </w:rPr>
              <w:t>0.</w:t>
            </w:r>
            <w:r w:rsidR="00D9640F">
              <w:rPr>
                <w:lang w:val="en-US"/>
              </w:rPr>
              <w:t>10</w:t>
            </w:r>
          </w:p>
          <w:p w14:paraId="286A9C52" w14:textId="37B122C4" w:rsidR="00B83953" w:rsidRPr="00F03210" w:rsidRDefault="007D0E7C" w:rsidP="00154435">
            <w:pPr>
              <w:jc w:val="center"/>
              <w:rPr>
                <w:lang w:val="en-US"/>
              </w:rPr>
            </w:pPr>
            <w:r w:rsidRPr="00F03210">
              <w:rPr>
                <w:lang w:val="en-US"/>
              </w:rPr>
              <w:t>(0.</w:t>
            </w:r>
            <w:r w:rsidR="004D2975">
              <w:rPr>
                <w:lang w:val="en-US"/>
              </w:rPr>
              <w:t>09</w:t>
            </w:r>
            <w:r w:rsidRPr="00F03210">
              <w:rPr>
                <w:lang w:val="en-US"/>
              </w:rPr>
              <w:t>)</w:t>
            </w:r>
          </w:p>
        </w:tc>
      </w:tr>
      <w:tr w:rsidR="00192B9B" w:rsidRPr="0032229D" w14:paraId="7155F736" w14:textId="1C728774" w:rsidTr="00D12B53">
        <w:tc>
          <w:tcPr>
            <w:tcW w:w="2018" w:type="dxa"/>
          </w:tcPr>
          <w:p w14:paraId="5E788886" w14:textId="77777777" w:rsidR="00192B9B" w:rsidRPr="0032229D" w:rsidRDefault="00192B9B" w:rsidP="006C0C60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Party institutionalization</w:t>
            </w:r>
          </w:p>
        </w:tc>
        <w:tc>
          <w:tcPr>
            <w:tcW w:w="1663" w:type="dxa"/>
          </w:tcPr>
          <w:p w14:paraId="6190ABA3" w14:textId="77777777" w:rsidR="00192B9B" w:rsidRDefault="00D17CDD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3.85</w:t>
            </w:r>
          </w:p>
          <w:p w14:paraId="7CD482B2" w14:textId="5FE2961D" w:rsidR="00D17CDD" w:rsidRPr="0051561D" w:rsidRDefault="00D17CDD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(3.28)</w:t>
            </w:r>
          </w:p>
        </w:tc>
        <w:tc>
          <w:tcPr>
            <w:tcW w:w="1843" w:type="dxa"/>
          </w:tcPr>
          <w:p w14:paraId="7431A64D" w14:textId="2FC5D494" w:rsidR="00192B9B" w:rsidRDefault="00F84749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0.83</w:t>
            </w:r>
          </w:p>
          <w:p w14:paraId="42CDEEFB" w14:textId="6BD83847" w:rsidR="00F84749" w:rsidRPr="00CC0BE1" w:rsidRDefault="00F84749" w:rsidP="00154435">
            <w:pPr>
              <w:jc w:val="center"/>
              <w:rPr>
                <w:highlight w:val="red"/>
                <w:lang w:val="en-US"/>
              </w:rPr>
            </w:pPr>
            <w:r w:rsidRPr="007362FA">
              <w:rPr>
                <w:lang w:val="en-US"/>
              </w:rPr>
              <w:t>(</w:t>
            </w:r>
            <w:r w:rsidR="00B7122E" w:rsidRPr="007362FA">
              <w:rPr>
                <w:lang w:val="en-US"/>
              </w:rPr>
              <w:t>0.88)</w:t>
            </w:r>
          </w:p>
        </w:tc>
        <w:tc>
          <w:tcPr>
            <w:tcW w:w="1758" w:type="dxa"/>
          </w:tcPr>
          <w:p w14:paraId="051BED9D" w14:textId="77777777" w:rsidR="00192B9B" w:rsidRDefault="003C49C1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4.23</w:t>
            </w:r>
          </w:p>
          <w:p w14:paraId="253C1FF9" w14:textId="7D5C9354" w:rsidR="003C49C1" w:rsidRPr="0004577C" w:rsidRDefault="00E67266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AE7B77">
              <w:rPr>
                <w:lang w:val="en-US"/>
              </w:rPr>
              <w:t>2.58)</w:t>
            </w:r>
          </w:p>
        </w:tc>
        <w:tc>
          <w:tcPr>
            <w:tcW w:w="2206" w:type="dxa"/>
          </w:tcPr>
          <w:p w14:paraId="364DD0D3" w14:textId="2E5332C1" w:rsidR="00684381" w:rsidRDefault="00684381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CD3E5E">
              <w:rPr>
                <w:lang w:val="en-US"/>
              </w:rPr>
              <w:t>.</w:t>
            </w:r>
            <w:r w:rsidR="00CE20EE">
              <w:rPr>
                <w:lang w:val="en-US"/>
              </w:rPr>
              <w:t>42</w:t>
            </w:r>
          </w:p>
          <w:p w14:paraId="70C340FC" w14:textId="2BBD3E89" w:rsidR="00192B9B" w:rsidRPr="00F03210" w:rsidRDefault="00684381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450C70">
              <w:rPr>
                <w:lang w:val="en-US"/>
              </w:rPr>
              <w:t>74</w:t>
            </w:r>
            <w:r>
              <w:rPr>
                <w:lang w:val="en-US"/>
              </w:rPr>
              <w:t>)</w:t>
            </w:r>
          </w:p>
        </w:tc>
      </w:tr>
      <w:tr w:rsidR="00192B9B" w:rsidRPr="0032229D" w14:paraId="6A31D193" w14:textId="0DA0E734" w:rsidTr="00D12B53">
        <w:tc>
          <w:tcPr>
            <w:tcW w:w="2018" w:type="dxa"/>
          </w:tcPr>
          <w:p w14:paraId="09F9BF44" w14:textId="77777777" w:rsidR="00192B9B" w:rsidRPr="0032229D" w:rsidRDefault="00192B9B" w:rsidP="006C0C60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Bicameralism</w:t>
            </w:r>
          </w:p>
        </w:tc>
        <w:tc>
          <w:tcPr>
            <w:tcW w:w="1663" w:type="dxa"/>
          </w:tcPr>
          <w:p w14:paraId="4D2B55DD" w14:textId="5C7410AD" w:rsidR="00192B9B" w:rsidRPr="003D4674" w:rsidRDefault="00192B9B" w:rsidP="00154435">
            <w:pPr>
              <w:jc w:val="center"/>
              <w:rPr>
                <w:lang w:val="en-US"/>
              </w:rPr>
            </w:pPr>
            <w:r w:rsidRPr="003D4674">
              <w:rPr>
                <w:lang w:val="en-US"/>
              </w:rPr>
              <w:t>0.</w:t>
            </w:r>
            <w:r w:rsidR="008C411C" w:rsidRPr="003D4674">
              <w:rPr>
                <w:lang w:val="en-US"/>
              </w:rPr>
              <w:t>1</w:t>
            </w:r>
            <w:r w:rsidR="007D6499">
              <w:rPr>
                <w:lang w:val="en-US"/>
              </w:rPr>
              <w:t>4</w:t>
            </w:r>
          </w:p>
          <w:p w14:paraId="1289E80A" w14:textId="44C94BE2" w:rsidR="00192B9B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  <w:r w:rsidRPr="003D4674">
              <w:rPr>
                <w:lang w:val="en-US"/>
              </w:rPr>
              <w:t>(0.</w:t>
            </w:r>
            <w:r w:rsidR="007D6499">
              <w:rPr>
                <w:lang w:val="en-US"/>
              </w:rPr>
              <w:t>49</w:t>
            </w:r>
            <w:r w:rsidR="008C411C" w:rsidRPr="003D4674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125B1D48" w14:textId="09B6B346" w:rsidR="00930A74" w:rsidRPr="00A8373A" w:rsidRDefault="00930A74" w:rsidP="00154435">
            <w:pPr>
              <w:jc w:val="center"/>
              <w:rPr>
                <w:lang w:val="en-US"/>
              </w:rPr>
            </w:pPr>
            <w:r w:rsidRPr="00A8373A">
              <w:rPr>
                <w:lang w:val="en-US"/>
              </w:rPr>
              <w:t>–</w:t>
            </w:r>
            <w:r w:rsidR="00A8373A" w:rsidRPr="00A8373A">
              <w:rPr>
                <w:lang w:val="en-US"/>
              </w:rPr>
              <w:t>0.</w:t>
            </w:r>
            <w:r w:rsidR="008A1AA0">
              <w:rPr>
                <w:lang w:val="en-US"/>
              </w:rPr>
              <w:t>07</w:t>
            </w:r>
          </w:p>
          <w:p w14:paraId="00F8F73F" w14:textId="72447D3C" w:rsidR="00192B9B" w:rsidRPr="00CC0BE1" w:rsidRDefault="00930A74" w:rsidP="00154435">
            <w:pPr>
              <w:jc w:val="center"/>
              <w:rPr>
                <w:highlight w:val="red"/>
                <w:lang w:val="en-US"/>
              </w:rPr>
            </w:pPr>
            <w:r w:rsidRPr="00A8373A">
              <w:rPr>
                <w:lang w:val="en-US"/>
              </w:rPr>
              <w:t>(0.1</w:t>
            </w:r>
            <w:r w:rsidR="008A1AA0">
              <w:rPr>
                <w:lang w:val="en-US"/>
              </w:rPr>
              <w:t>2</w:t>
            </w:r>
            <w:r w:rsidRPr="00A8373A"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20CCDE0D" w14:textId="22DC6112" w:rsidR="00F75532" w:rsidRDefault="00F75532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192B9B">
              <w:rPr>
                <w:lang w:val="en-US"/>
              </w:rPr>
              <w:t>.</w:t>
            </w:r>
            <w:r w:rsidR="00871BD2">
              <w:rPr>
                <w:lang w:val="en-US"/>
              </w:rPr>
              <w:t>21</w:t>
            </w:r>
          </w:p>
          <w:p w14:paraId="2E1AD47E" w14:textId="531393B1" w:rsidR="00192B9B" w:rsidRPr="00AB0C74" w:rsidRDefault="00F75532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DD1B4C">
              <w:rPr>
                <w:lang w:val="en-US"/>
              </w:rPr>
              <w:t>3</w:t>
            </w:r>
            <w:r w:rsidR="00871BD2">
              <w:rPr>
                <w:lang w:val="en-US"/>
              </w:rPr>
              <w:t>9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4CAB483F" w14:textId="1AAC5205" w:rsidR="00096F19" w:rsidRDefault="004135A7" w:rsidP="00154435">
            <w:pPr>
              <w:jc w:val="center"/>
              <w:rPr>
                <w:lang w:val="en-US"/>
              </w:rPr>
            </w:pPr>
            <w:r w:rsidRPr="00A961DC">
              <w:rPr>
                <w:lang w:val="en-US"/>
              </w:rPr>
              <w:t>–</w:t>
            </w:r>
            <w:r w:rsidR="00096F19">
              <w:rPr>
                <w:lang w:val="en-US"/>
              </w:rPr>
              <w:t>0</w:t>
            </w:r>
            <w:r w:rsidR="00096F19" w:rsidRPr="00CD3E5E">
              <w:rPr>
                <w:lang w:val="en-US"/>
              </w:rPr>
              <w:t>.</w:t>
            </w:r>
            <w:r w:rsidR="00367E79">
              <w:rPr>
                <w:lang w:val="en-US"/>
              </w:rPr>
              <w:t>04</w:t>
            </w:r>
          </w:p>
          <w:p w14:paraId="70D27FD8" w14:textId="4781254B" w:rsidR="00192B9B" w:rsidRPr="004B7332" w:rsidRDefault="00096F19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(0.1</w:t>
            </w:r>
            <w:r w:rsidR="00367E79">
              <w:rPr>
                <w:lang w:val="en-US"/>
              </w:rPr>
              <w:t>1</w:t>
            </w:r>
            <w:r>
              <w:rPr>
                <w:lang w:val="en-US"/>
              </w:rPr>
              <w:t>)</w:t>
            </w:r>
          </w:p>
        </w:tc>
      </w:tr>
      <w:tr w:rsidR="00192B9B" w:rsidRPr="0032229D" w14:paraId="594EE5DE" w14:textId="567F6606" w:rsidTr="00D12B53">
        <w:tc>
          <w:tcPr>
            <w:tcW w:w="2018" w:type="dxa"/>
          </w:tcPr>
          <w:p w14:paraId="3DAB857A" w14:textId="4A1818C9" w:rsidR="00192B9B" w:rsidRPr="0032229D" w:rsidRDefault="00192B9B" w:rsidP="006C0C60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Age of democracy</w:t>
            </w:r>
            <w:r w:rsidR="00F96EDB">
              <w:rPr>
                <w:lang w:val="en-US"/>
              </w:rPr>
              <w:t xml:space="preserve"> (=third-wave democracy)</w:t>
            </w:r>
          </w:p>
        </w:tc>
        <w:tc>
          <w:tcPr>
            <w:tcW w:w="1663" w:type="dxa"/>
          </w:tcPr>
          <w:p w14:paraId="782C6751" w14:textId="4A87C400" w:rsidR="00192B9B" w:rsidRPr="00FC0DAD" w:rsidRDefault="000504FD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</w:t>
            </w:r>
            <w:r w:rsidR="00192B9B" w:rsidRPr="00FC0DAD">
              <w:rPr>
                <w:lang w:val="en-US"/>
              </w:rPr>
              <w:t>***</w:t>
            </w:r>
          </w:p>
          <w:p w14:paraId="5A849200" w14:textId="7179C67D" w:rsidR="00192B9B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  <w:r w:rsidRPr="00FC0DAD">
              <w:rPr>
                <w:lang w:val="en-US"/>
              </w:rPr>
              <w:t>(0.</w:t>
            </w:r>
            <w:r w:rsidR="00CD0605">
              <w:rPr>
                <w:lang w:val="en-US"/>
              </w:rPr>
              <w:t>60</w:t>
            </w:r>
            <w:r w:rsidRPr="00FC0DAD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14:paraId="2AE1E258" w14:textId="738B9B3E" w:rsidR="00192B9B" w:rsidRPr="00F46D9E" w:rsidRDefault="00192B9B" w:rsidP="00154435">
            <w:pPr>
              <w:jc w:val="center"/>
              <w:rPr>
                <w:lang w:val="en-US"/>
              </w:rPr>
            </w:pPr>
            <w:r w:rsidRPr="00F46D9E">
              <w:rPr>
                <w:lang w:val="en-US"/>
              </w:rPr>
              <w:t>0.</w:t>
            </w:r>
            <w:r w:rsidR="002A0C88">
              <w:rPr>
                <w:lang w:val="en-US"/>
              </w:rPr>
              <w:t>21</w:t>
            </w:r>
          </w:p>
          <w:p w14:paraId="36B5035D" w14:textId="7F220449" w:rsidR="00192B9B" w:rsidRPr="00F46D9E" w:rsidRDefault="00192B9B" w:rsidP="00154435">
            <w:pPr>
              <w:jc w:val="center"/>
              <w:rPr>
                <w:lang w:val="en-US"/>
              </w:rPr>
            </w:pPr>
            <w:r w:rsidRPr="00F46D9E">
              <w:rPr>
                <w:lang w:val="en-US"/>
              </w:rPr>
              <w:t>(0.1</w:t>
            </w:r>
            <w:r w:rsidR="002A0C88">
              <w:rPr>
                <w:lang w:val="en-US"/>
              </w:rPr>
              <w:t>2</w:t>
            </w:r>
            <w:r w:rsidRPr="00F46D9E">
              <w:rPr>
                <w:lang w:val="en-US"/>
              </w:rPr>
              <w:t>)</w:t>
            </w:r>
          </w:p>
        </w:tc>
        <w:tc>
          <w:tcPr>
            <w:tcW w:w="1758" w:type="dxa"/>
          </w:tcPr>
          <w:p w14:paraId="60311476" w14:textId="7DD420D5" w:rsidR="00AB0C74" w:rsidRDefault="00E849FC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2.68</w:t>
            </w:r>
            <w:r w:rsidR="00AB0C74">
              <w:rPr>
                <w:lang w:val="en-US"/>
              </w:rPr>
              <w:t>***</w:t>
            </w:r>
          </w:p>
          <w:p w14:paraId="5416B45A" w14:textId="2CBD8BB0" w:rsidR="00192B9B" w:rsidRPr="00502A7A" w:rsidRDefault="00AB0C74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03146A">
              <w:rPr>
                <w:lang w:val="en-US"/>
              </w:rPr>
              <w:t>50</w:t>
            </w:r>
            <w:r>
              <w:rPr>
                <w:lang w:val="en-US"/>
              </w:rPr>
              <w:t>)</w:t>
            </w:r>
          </w:p>
        </w:tc>
        <w:tc>
          <w:tcPr>
            <w:tcW w:w="2206" w:type="dxa"/>
          </w:tcPr>
          <w:p w14:paraId="3B79975B" w14:textId="61E79AB9" w:rsidR="000B4BFE" w:rsidRDefault="002A6C21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CD3E5E">
              <w:rPr>
                <w:lang w:val="en-US"/>
              </w:rPr>
              <w:t>.</w:t>
            </w:r>
            <w:r w:rsidR="003B3643">
              <w:rPr>
                <w:lang w:val="en-US"/>
              </w:rPr>
              <w:t>23</w:t>
            </w:r>
            <w:r>
              <w:rPr>
                <w:lang w:val="en-US"/>
              </w:rPr>
              <w:t>*</w:t>
            </w:r>
          </w:p>
          <w:p w14:paraId="7079C506" w14:textId="5612068F" w:rsidR="00192B9B" w:rsidRPr="00B9156F" w:rsidRDefault="000B4BFE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(0.</w:t>
            </w:r>
            <w:r w:rsidR="003B3643">
              <w:rPr>
                <w:lang w:val="en-US"/>
              </w:rPr>
              <w:t>09</w:t>
            </w:r>
            <w:r>
              <w:rPr>
                <w:lang w:val="en-US"/>
              </w:rPr>
              <w:t>)</w:t>
            </w:r>
          </w:p>
        </w:tc>
      </w:tr>
      <w:tr w:rsidR="00964C15" w:rsidRPr="0032229D" w14:paraId="7296849A" w14:textId="77777777" w:rsidTr="00D12B53">
        <w:tc>
          <w:tcPr>
            <w:tcW w:w="2018" w:type="dxa"/>
          </w:tcPr>
          <w:p w14:paraId="0169A6E5" w14:textId="6FF27386" w:rsidR="00964C15" w:rsidRPr="0032229D" w:rsidRDefault="00964C15" w:rsidP="006C0C6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 of countries</w:t>
            </w:r>
          </w:p>
        </w:tc>
        <w:tc>
          <w:tcPr>
            <w:tcW w:w="1663" w:type="dxa"/>
          </w:tcPr>
          <w:p w14:paraId="4D3448ED" w14:textId="7EC2F0DA" w:rsidR="00964C15" w:rsidRPr="00BA0A4E" w:rsidRDefault="00DE4B1C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43" w:type="dxa"/>
          </w:tcPr>
          <w:p w14:paraId="69DE8C9B" w14:textId="50D0623C" w:rsidR="00964C15" w:rsidRPr="00F46D9E" w:rsidRDefault="00A860D6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758" w:type="dxa"/>
          </w:tcPr>
          <w:p w14:paraId="19C4F9D1" w14:textId="52FC3733" w:rsidR="00964C15" w:rsidRPr="00192B9B" w:rsidRDefault="00E26771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206" w:type="dxa"/>
          </w:tcPr>
          <w:p w14:paraId="34B082CB" w14:textId="612D466F" w:rsidR="00964C15" w:rsidRPr="00CD3E5E" w:rsidRDefault="002639CA" w:rsidP="00154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192B9B" w:rsidRPr="0032229D" w14:paraId="7A14F526" w14:textId="0A887703" w:rsidTr="00D12B53">
        <w:tc>
          <w:tcPr>
            <w:tcW w:w="2018" w:type="dxa"/>
          </w:tcPr>
          <w:p w14:paraId="42D562BF" w14:textId="77777777" w:rsidR="00192B9B" w:rsidRPr="0032229D" w:rsidRDefault="00192B9B" w:rsidP="006C0C60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N observations</w:t>
            </w:r>
          </w:p>
        </w:tc>
        <w:tc>
          <w:tcPr>
            <w:tcW w:w="1663" w:type="dxa"/>
          </w:tcPr>
          <w:p w14:paraId="0F39FED9" w14:textId="3522314A" w:rsidR="00192B9B" w:rsidRPr="00CC0BE1" w:rsidRDefault="001F5331" w:rsidP="00154435">
            <w:pPr>
              <w:jc w:val="center"/>
              <w:rPr>
                <w:highlight w:val="red"/>
                <w:lang w:val="en-US"/>
              </w:rPr>
            </w:pPr>
            <w:r w:rsidRPr="00BA0A4E">
              <w:rPr>
                <w:lang w:val="en-US"/>
              </w:rPr>
              <w:t>597</w:t>
            </w:r>
          </w:p>
        </w:tc>
        <w:tc>
          <w:tcPr>
            <w:tcW w:w="1843" w:type="dxa"/>
          </w:tcPr>
          <w:p w14:paraId="3EF28CEB" w14:textId="1FD6C4F9" w:rsidR="00192B9B" w:rsidRPr="00F46D9E" w:rsidRDefault="00A8697B" w:rsidP="00154435">
            <w:pPr>
              <w:jc w:val="center"/>
              <w:rPr>
                <w:lang w:val="en-US"/>
              </w:rPr>
            </w:pPr>
            <w:r w:rsidRPr="00F46D9E">
              <w:rPr>
                <w:lang w:val="en-US"/>
              </w:rPr>
              <w:t>335</w:t>
            </w:r>
          </w:p>
        </w:tc>
        <w:tc>
          <w:tcPr>
            <w:tcW w:w="1758" w:type="dxa"/>
          </w:tcPr>
          <w:p w14:paraId="716768DA" w14:textId="63FA2292" w:rsidR="00192B9B" w:rsidRPr="00CC0BE1" w:rsidRDefault="00236E55" w:rsidP="00154435">
            <w:pPr>
              <w:jc w:val="center"/>
              <w:rPr>
                <w:highlight w:val="red"/>
                <w:lang w:val="en-US"/>
              </w:rPr>
            </w:pPr>
            <w:r w:rsidRPr="00192B9B">
              <w:rPr>
                <w:lang w:val="en-US"/>
              </w:rPr>
              <w:t>887</w:t>
            </w:r>
          </w:p>
        </w:tc>
        <w:tc>
          <w:tcPr>
            <w:tcW w:w="2206" w:type="dxa"/>
          </w:tcPr>
          <w:p w14:paraId="304A5D12" w14:textId="236E30C6" w:rsidR="00192B9B" w:rsidRPr="00A961DC" w:rsidRDefault="00CD3E5E" w:rsidP="00154435">
            <w:pPr>
              <w:jc w:val="center"/>
              <w:rPr>
                <w:lang w:val="en-US"/>
              </w:rPr>
            </w:pPr>
            <w:r w:rsidRPr="00CD3E5E">
              <w:rPr>
                <w:lang w:val="en-US"/>
              </w:rPr>
              <w:t>385</w:t>
            </w:r>
          </w:p>
        </w:tc>
      </w:tr>
      <w:tr w:rsidR="00192B9B" w:rsidRPr="0032229D" w14:paraId="4733DEE6" w14:textId="2FE1511C" w:rsidTr="00D12B53">
        <w:tc>
          <w:tcPr>
            <w:tcW w:w="2018" w:type="dxa"/>
          </w:tcPr>
          <w:p w14:paraId="110DB495" w14:textId="77777777" w:rsidR="00192B9B" w:rsidRPr="0032229D" w:rsidRDefault="00192B9B" w:rsidP="006C0C60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Log pseudolikelihood</w:t>
            </w:r>
          </w:p>
        </w:tc>
        <w:tc>
          <w:tcPr>
            <w:tcW w:w="1663" w:type="dxa"/>
          </w:tcPr>
          <w:p w14:paraId="55D582AE" w14:textId="4ABB2978" w:rsidR="00192B9B" w:rsidRPr="00CC0BE1" w:rsidRDefault="00192B9B" w:rsidP="00154435">
            <w:pPr>
              <w:jc w:val="center"/>
              <w:rPr>
                <w:highlight w:val="red"/>
                <w:lang w:val="en-US"/>
              </w:rPr>
            </w:pPr>
            <w:r w:rsidRPr="00223F4D">
              <w:rPr>
                <w:lang w:val="en-US"/>
              </w:rPr>
              <w:t>–</w:t>
            </w:r>
            <w:r w:rsidR="00621AA8">
              <w:rPr>
                <w:lang w:val="en-US"/>
              </w:rPr>
              <w:t>327.41</w:t>
            </w:r>
          </w:p>
        </w:tc>
        <w:tc>
          <w:tcPr>
            <w:tcW w:w="1843" w:type="dxa"/>
          </w:tcPr>
          <w:p w14:paraId="7B034325" w14:textId="38BCC2E0" w:rsidR="00192B9B" w:rsidRPr="00F46D9E" w:rsidRDefault="00192B9B" w:rsidP="00154435">
            <w:pPr>
              <w:jc w:val="center"/>
              <w:rPr>
                <w:lang w:val="en-US"/>
              </w:rPr>
            </w:pPr>
            <w:r w:rsidRPr="00F46D9E">
              <w:rPr>
                <w:lang w:val="en-US"/>
              </w:rPr>
              <w:t>–</w:t>
            </w:r>
            <w:r w:rsidR="000E4BFD">
              <w:rPr>
                <w:lang w:val="en-US"/>
              </w:rPr>
              <w:t>121.23</w:t>
            </w:r>
          </w:p>
        </w:tc>
        <w:tc>
          <w:tcPr>
            <w:tcW w:w="1758" w:type="dxa"/>
          </w:tcPr>
          <w:p w14:paraId="3B222C68" w14:textId="542C8A70" w:rsidR="00192B9B" w:rsidRPr="00CC0BE1" w:rsidRDefault="00CD3E5E" w:rsidP="00154435">
            <w:pPr>
              <w:jc w:val="center"/>
              <w:rPr>
                <w:highlight w:val="red"/>
                <w:lang w:val="en-US"/>
              </w:rPr>
            </w:pPr>
            <w:r w:rsidRPr="00EE38E5">
              <w:rPr>
                <w:lang w:val="en-US"/>
              </w:rPr>
              <w:t>–</w:t>
            </w:r>
            <w:r w:rsidR="00EB088A">
              <w:rPr>
                <w:lang w:val="en-US"/>
              </w:rPr>
              <w:t>448.29</w:t>
            </w:r>
          </w:p>
        </w:tc>
        <w:tc>
          <w:tcPr>
            <w:tcW w:w="2206" w:type="dxa"/>
          </w:tcPr>
          <w:p w14:paraId="71F16347" w14:textId="1247BB86" w:rsidR="00192B9B" w:rsidRPr="00A961DC" w:rsidRDefault="00CD3E5E" w:rsidP="00154435">
            <w:pPr>
              <w:jc w:val="center"/>
              <w:rPr>
                <w:lang w:val="en-US"/>
              </w:rPr>
            </w:pPr>
            <w:r w:rsidRPr="00A961DC">
              <w:rPr>
                <w:lang w:val="en-US"/>
              </w:rPr>
              <w:t>–</w:t>
            </w:r>
            <w:r w:rsidR="004458E4">
              <w:rPr>
                <w:lang w:val="en-US"/>
              </w:rPr>
              <w:t>137.43</w:t>
            </w:r>
          </w:p>
        </w:tc>
      </w:tr>
    </w:tbl>
    <w:p w14:paraId="7CECF9DA" w14:textId="6CC0AEC9" w:rsidR="003D076B" w:rsidRPr="0032229D" w:rsidRDefault="003D076B" w:rsidP="003D076B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 xml:space="preserve">Note: robust standard errors </w:t>
      </w:r>
      <w:r w:rsidR="00CF6CA2">
        <w:rPr>
          <w:lang w:val="en-US"/>
        </w:rPr>
        <w:t xml:space="preserve">cluster by country </w:t>
      </w:r>
      <w:r w:rsidR="00FF16BF">
        <w:rPr>
          <w:lang w:val="en-US"/>
        </w:rPr>
        <w:t xml:space="preserve">are </w:t>
      </w:r>
      <w:r w:rsidRPr="0032229D">
        <w:rPr>
          <w:lang w:val="en-US"/>
        </w:rPr>
        <w:t>in parentheses.</w:t>
      </w:r>
    </w:p>
    <w:p w14:paraId="2A3A19E1" w14:textId="77777777" w:rsidR="003D076B" w:rsidRPr="0032229D" w:rsidRDefault="003D076B" w:rsidP="003D076B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>*** p &lt; 0.001; ** p &lt; 0.01, * p &lt; 0.05</w:t>
      </w:r>
    </w:p>
    <w:p w14:paraId="11FFA5FB" w14:textId="77777777" w:rsidR="003D076B" w:rsidRPr="0032229D" w:rsidRDefault="003D076B" w:rsidP="003D076B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>Source: authors’ calculation.</w:t>
      </w:r>
    </w:p>
    <w:p w14:paraId="41C882F5" w14:textId="754F640A" w:rsidR="00D75D0B" w:rsidRDefault="00D75D0B" w:rsidP="00D75D0B">
      <w:pPr>
        <w:spacing w:line="360" w:lineRule="auto"/>
        <w:jc w:val="both"/>
        <w:rPr>
          <w:lang w:val="en-US"/>
        </w:rPr>
      </w:pPr>
    </w:p>
    <w:p w14:paraId="6C72FE38" w14:textId="7D66C4E7" w:rsidR="00955954" w:rsidRPr="00001EE1" w:rsidRDefault="00E13B11" w:rsidP="00955954">
      <w:pPr>
        <w:spacing w:line="360" w:lineRule="auto"/>
        <w:ind w:firstLine="708"/>
        <w:jc w:val="both"/>
        <w:rPr>
          <w:color w:val="000000" w:themeColor="text1"/>
          <w:lang w:val="en-US"/>
        </w:rPr>
      </w:pPr>
      <w:r w:rsidRPr="00F34F4D">
        <w:rPr>
          <w:lang w:val="en-US"/>
        </w:rPr>
        <w:t xml:space="preserve">Another operationalization of presidential power </w:t>
      </w:r>
      <w:r w:rsidR="00E577CF" w:rsidRPr="00F34F4D">
        <w:rPr>
          <w:lang w:val="en-US"/>
        </w:rPr>
        <w:t xml:space="preserve">we used was the types of semi-presidentialism </w:t>
      </w:r>
      <w:r w:rsidR="004D40B7" w:rsidRPr="00F34F4D">
        <w:rPr>
          <w:lang w:val="en-US"/>
        </w:rPr>
        <w:t xml:space="preserve">developed </w:t>
      </w:r>
      <w:r w:rsidR="00955954" w:rsidRPr="00F34F4D">
        <w:rPr>
          <w:lang w:val="en-US"/>
        </w:rPr>
        <w:t>by Shugart and Carey (1992). Based on this and subsequent work (Samuels and Shugart 2010), there are two subtypes of semi-presidentialism. The first is President-parliamentarism, where the prime minister and cabinet are collectively responsible to both the legislature and the president. The second is Premier-presidentialism, where the prime minister and cabinet are collectively responsible to the legislature only. Our results show that premier-</w:t>
      </w:r>
      <w:r w:rsidR="00955954">
        <w:rPr>
          <w:lang w:val="en-US"/>
        </w:rPr>
        <w:t>presidentialism has a strong positive effect on the magnitude of non-partisan appointments, while the effect of president-parliamentarism is nonsignificant</w:t>
      </w:r>
      <w:r w:rsidR="00F34F4D">
        <w:rPr>
          <w:lang w:val="en-US"/>
        </w:rPr>
        <w:t xml:space="preserve"> (Figures </w:t>
      </w:r>
      <w:r w:rsidR="00DE2EB8">
        <w:rPr>
          <w:lang w:val="en-US"/>
        </w:rPr>
        <w:t>A8-A9</w:t>
      </w:r>
      <w:r w:rsidR="008B7E3A">
        <w:rPr>
          <w:lang w:val="en-US"/>
        </w:rPr>
        <w:t>)</w:t>
      </w:r>
      <w:r w:rsidR="00955954">
        <w:rPr>
          <w:lang w:val="en-US"/>
        </w:rPr>
        <w:t>. The effect of the PM’s dissolution power remains the same</w:t>
      </w:r>
      <w:r w:rsidR="00895393">
        <w:rPr>
          <w:lang w:val="en-US"/>
        </w:rPr>
        <w:t xml:space="preserve"> (Table </w:t>
      </w:r>
      <w:r w:rsidR="00541B51">
        <w:rPr>
          <w:lang w:val="en-US"/>
        </w:rPr>
        <w:t>A2</w:t>
      </w:r>
      <w:r w:rsidR="00895393">
        <w:rPr>
          <w:lang w:val="en-US"/>
        </w:rPr>
        <w:t xml:space="preserve">, Model </w:t>
      </w:r>
      <w:r w:rsidR="00541B51">
        <w:rPr>
          <w:lang w:val="en-US"/>
        </w:rPr>
        <w:t>I</w:t>
      </w:r>
      <w:r w:rsidR="00895393">
        <w:rPr>
          <w:lang w:val="en-US"/>
        </w:rPr>
        <w:t>)</w:t>
      </w:r>
      <w:r w:rsidR="00955954">
        <w:rPr>
          <w:lang w:val="en-US"/>
        </w:rPr>
        <w:t xml:space="preserve">. </w:t>
      </w:r>
    </w:p>
    <w:p w14:paraId="2F265FCB" w14:textId="128FA0A9" w:rsidR="007E5CC1" w:rsidRDefault="007E5CC1" w:rsidP="00381B88">
      <w:pPr>
        <w:spacing w:line="360" w:lineRule="auto"/>
        <w:jc w:val="both"/>
        <w:rPr>
          <w:lang w:val="en-US"/>
        </w:rPr>
      </w:pPr>
    </w:p>
    <w:p w14:paraId="1DA27398" w14:textId="6E77116B" w:rsidR="007E5CC1" w:rsidRDefault="00233DF9" w:rsidP="00381B88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Table </w:t>
      </w:r>
      <w:r w:rsidR="00B7487B">
        <w:rPr>
          <w:lang w:val="en-US"/>
        </w:rPr>
        <w:t>A2</w:t>
      </w:r>
      <w:r>
        <w:rPr>
          <w:lang w:val="en-US"/>
        </w:rPr>
        <w:t xml:space="preserve">: </w:t>
      </w:r>
      <w:r w:rsidR="002060E7">
        <w:rPr>
          <w:lang w:val="en-US"/>
        </w:rPr>
        <w:t xml:space="preserve">The effects of </w:t>
      </w:r>
      <w:r w:rsidR="0059560B">
        <w:rPr>
          <w:lang w:val="en-US"/>
        </w:rPr>
        <w:t xml:space="preserve">subtypes of </w:t>
      </w:r>
      <w:r w:rsidR="005C7C86">
        <w:rPr>
          <w:lang w:val="en-US"/>
        </w:rPr>
        <w:t>semi-presidentialism</w:t>
      </w:r>
      <w:r w:rsidR="0059560B">
        <w:rPr>
          <w:lang w:val="en-US"/>
        </w:rPr>
        <w:t xml:space="preserve"> and </w:t>
      </w:r>
      <w:r w:rsidR="00F84168">
        <w:rPr>
          <w:lang w:val="en-US"/>
        </w:rPr>
        <w:t xml:space="preserve">the PM’s power to dissolve the parliament </w:t>
      </w:r>
      <w:r w:rsidR="00A316BE">
        <w:rPr>
          <w:lang w:val="en-US"/>
        </w:rPr>
        <w:t>on the likelihood and magnitude of non-partisan ministerial appointments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397"/>
        <w:gridCol w:w="2977"/>
        <w:gridCol w:w="2410"/>
      </w:tblGrid>
      <w:tr w:rsidR="00C3377D" w:rsidRPr="00564F14" w14:paraId="7BBD8A40" w14:textId="77777777" w:rsidTr="001B18F9">
        <w:trPr>
          <w:trHeight w:val="401"/>
        </w:trPr>
        <w:tc>
          <w:tcPr>
            <w:tcW w:w="3397" w:type="dxa"/>
          </w:tcPr>
          <w:p w14:paraId="3B8A8240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Determinants</w:t>
            </w:r>
          </w:p>
        </w:tc>
        <w:tc>
          <w:tcPr>
            <w:tcW w:w="5387" w:type="dxa"/>
            <w:gridSpan w:val="2"/>
          </w:tcPr>
          <w:p w14:paraId="4BB3A2EC" w14:textId="2EC7835F" w:rsidR="00C3377D" w:rsidRDefault="00C3377D" w:rsidP="00506281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 xml:space="preserve">Model </w:t>
            </w:r>
            <w:r w:rsidR="00D00A40">
              <w:rPr>
                <w:lang w:val="en-US"/>
              </w:rPr>
              <w:t>I</w:t>
            </w:r>
          </w:p>
          <w:p w14:paraId="457E1120" w14:textId="417E9D72" w:rsidR="00C3377D" w:rsidRPr="0032229D" w:rsidRDefault="00C3377D" w:rsidP="00C3377D">
            <w:pPr>
              <w:rPr>
                <w:lang w:val="en-US"/>
              </w:rPr>
            </w:pPr>
          </w:p>
        </w:tc>
      </w:tr>
      <w:tr w:rsidR="00C3377D" w:rsidRPr="0032229D" w14:paraId="2A1E6B8B" w14:textId="77777777" w:rsidTr="001B18F9">
        <w:tc>
          <w:tcPr>
            <w:tcW w:w="3397" w:type="dxa"/>
          </w:tcPr>
          <w:p w14:paraId="316DC07F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</w:p>
        </w:tc>
        <w:tc>
          <w:tcPr>
            <w:tcW w:w="2977" w:type="dxa"/>
          </w:tcPr>
          <w:p w14:paraId="5A7E9CBB" w14:textId="77777777" w:rsidR="00C3377D" w:rsidRPr="0032229D" w:rsidRDefault="00C3377D" w:rsidP="00506281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Presence</w:t>
            </w:r>
          </w:p>
          <w:p w14:paraId="464F8E8B" w14:textId="77777777" w:rsidR="00C3377D" w:rsidRPr="0032229D" w:rsidRDefault="00C3377D" w:rsidP="00506281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(Binary part)</w:t>
            </w:r>
          </w:p>
        </w:tc>
        <w:tc>
          <w:tcPr>
            <w:tcW w:w="2410" w:type="dxa"/>
          </w:tcPr>
          <w:p w14:paraId="751C57D0" w14:textId="77777777" w:rsidR="00C3377D" w:rsidRPr="0032229D" w:rsidRDefault="00C3377D" w:rsidP="00506281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Magnitude</w:t>
            </w:r>
          </w:p>
          <w:p w14:paraId="5B61C74A" w14:textId="77777777" w:rsidR="00C3377D" w:rsidRPr="0032229D" w:rsidRDefault="00C3377D" w:rsidP="00506281">
            <w:pPr>
              <w:jc w:val="center"/>
              <w:rPr>
                <w:lang w:val="en-US"/>
              </w:rPr>
            </w:pPr>
            <w:r w:rsidRPr="0032229D">
              <w:rPr>
                <w:lang w:val="en-US"/>
              </w:rPr>
              <w:t>(Fractional part)</w:t>
            </w:r>
          </w:p>
        </w:tc>
      </w:tr>
      <w:tr w:rsidR="00C3377D" w:rsidRPr="0032229D" w14:paraId="718F1B4C" w14:textId="77777777" w:rsidTr="001B18F9">
        <w:tc>
          <w:tcPr>
            <w:tcW w:w="3397" w:type="dxa"/>
          </w:tcPr>
          <w:p w14:paraId="6C107847" w14:textId="1C552A38" w:rsidR="00C3377D" w:rsidRPr="0032229D" w:rsidRDefault="00C3377D" w:rsidP="005062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President-</w:t>
            </w:r>
            <w:r w:rsidR="001B18F9">
              <w:rPr>
                <w:lang w:val="en-US"/>
              </w:rPr>
              <w:t>parliamentarism</w:t>
            </w:r>
          </w:p>
        </w:tc>
        <w:tc>
          <w:tcPr>
            <w:tcW w:w="2977" w:type="dxa"/>
          </w:tcPr>
          <w:p w14:paraId="09157C56" w14:textId="77777777" w:rsidR="003E0201" w:rsidRDefault="003E0201" w:rsidP="00506281">
            <w:pPr>
              <w:jc w:val="center"/>
              <w:rPr>
                <w:lang w:val="en-US"/>
              </w:rPr>
            </w:pPr>
            <w:r w:rsidRPr="003E0201">
              <w:rPr>
                <w:lang w:val="en-US"/>
              </w:rPr>
              <w:t>1.</w:t>
            </w:r>
            <w:r>
              <w:rPr>
                <w:lang w:val="en-US"/>
              </w:rPr>
              <w:t>30</w:t>
            </w:r>
          </w:p>
          <w:p w14:paraId="7D0BC831" w14:textId="620AE23D" w:rsidR="00C3377D" w:rsidRPr="00BE2907" w:rsidRDefault="003E020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3E0201">
              <w:rPr>
                <w:lang w:val="en-US"/>
              </w:rPr>
              <w:t>.82</w:t>
            </w:r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147ABC44" w14:textId="094AA494" w:rsidR="003C471D" w:rsidRDefault="003C471D" w:rsidP="00506281">
            <w:pPr>
              <w:jc w:val="center"/>
              <w:rPr>
                <w:lang w:val="en-US"/>
              </w:rPr>
            </w:pPr>
            <w:r w:rsidRPr="003C471D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3C471D">
              <w:rPr>
                <w:lang w:val="en-US"/>
              </w:rPr>
              <w:t>.10</w:t>
            </w:r>
            <w:r w:rsidR="00B75CC9">
              <w:rPr>
                <w:lang w:val="en-US"/>
              </w:rPr>
              <w:t>†</w:t>
            </w:r>
          </w:p>
          <w:p w14:paraId="102F4F1D" w14:textId="68A40928" w:rsidR="00C3377D" w:rsidRPr="001E1909" w:rsidRDefault="003C471D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3C471D">
              <w:rPr>
                <w:lang w:val="en-US"/>
              </w:rPr>
              <w:t>.10</w:t>
            </w:r>
            <w:r>
              <w:rPr>
                <w:lang w:val="en-US"/>
              </w:rPr>
              <w:t>)</w:t>
            </w:r>
          </w:p>
        </w:tc>
      </w:tr>
      <w:tr w:rsidR="00C3377D" w:rsidRPr="0032229D" w14:paraId="09C09702" w14:textId="77777777" w:rsidTr="001B18F9">
        <w:tc>
          <w:tcPr>
            <w:tcW w:w="3397" w:type="dxa"/>
          </w:tcPr>
          <w:p w14:paraId="2742D43B" w14:textId="2E9D4582" w:rsidR="00C3377D" w:rsidRDefault="00C3377D" w:rsidP="005062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Premier-presidentialism</w:t>
            </w:r>
          </w:p>
        </w:tc>
        <w:tc>
          <w:tcPr>
            <w:tcW w:w="2977" w:type="dxa"/>
          </w:tcPr>
          <w:p w14:paraId="26738BF2" w14:textId="77777777" w:rsidR="00190034" w:rsidRDefault="00190034" w:rsidP="00506281">
            <w:pPr>
              <w:jc w:val="center"/>
              <w:rPr>
                <w:lang w:val="en-US"/>
              </w:rPr>
            </w:pPr>
            <w:r w:rsidRPr="00190034">
              <w:rPr>
                <w:lang w:val="en-US"/>
              </w:rPr>
              <w:t>1.42</w:t>
            </w:r>
            <w:r>
              <w:rPr>
                <w:lang w:val="en-US"/>
              </w:rPr>
              <w:t>***</w:t>
            </w:r>
          </w:p>
          <w:p w14:paraId="49D4AE9B" w14:textId="048C2C01" w:rsidR="00C3377D" w:rsidRPr="00BA0A4E" w:rsidRDefault="00190034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190034">
              <w:rPr>
                <w:lang w:val="en-US"/>
              </w:rPr>
              <w:t>.31</w:t>
            </w:r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4BA88DC6" w14:textId="77777777" w:rsidR="00625F51" w:rsidRDefault="00625F51" w:rsidP="00506281">
            <w:pPr>
              <w:jc w:val="center"/>
              <w:rPr>
                <w:lang w:val="en-US"/>
              </w:rPr>
            </w:pPr>
            <w:r w:rsidRPr="00625F51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625F51">
              <w:rPr>
                <w:lang w:val="en-US"/>
              </w:rPr>
              <w:t>.00</w:t>
            </w:r>
            <w:r>
              <w:rPr>
                <w:lang w:val="en-US"/>
              </w:rPr>
              <w:t>3</w:t>
            </w:r>
          </w:p>
          <w:p w14:paraId="7F3B3B9C" w14:textId="584D70D5" w:rsidR="00C3377D" w:rsidRPr="00CE7E4D" w:rsidRDefault="00625F5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625F51">
              <w:rPr>
                <w:lang w:val="en-US"/>
              </w:rPr>
              <w:t>.0</w:t>
            </w:r>
            <w:r>
              <w:rPr>
                <w:lang w:val="en-US"/>
              </w:rPr>
              <w:t>9)</w:t>
            </w:r>
          </w:p>
        </w:tc>
      </w:tr>
      <w:tr w:rsidR="00C3377D" w:rsidRPr="0032229D" w14:paraId="62370DF7" w14:textId="77777777" w:rsidTr="001B18F9">
        <w:tc>
          <w:tcPr>
            <w:tcW w:w="3397" w:type="dxa"/>
          </w:tcPr>
          <w:p w14:paraId="3E39F2DA" w14:textId="1052993A" w:rsidR="00C3377D" w:rsidRDefault="00C3377D" w:rsidP="005062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PM’s dissolution power</w:t>
            </w:r>
          </w:p>
        </w:tc>
        <w:tc>
          <w:tcPr>
            <w:tcW w:w="2977" w:type="dxa"/>
          </w:tcPr>
          <w:p w14:paraId="681F9FBF" w14:textId="77777777" w:rsidR="00AF52AE" w:rsidRDefault="00AF52AE" w:rsidP="00506281">
            <w:pPr>
              <w:jc w:val="center"/>
              <w:rPr>
                <w:lang w:val="en-US"/>
              </w:rPr>
            </w:pPr>
            <w:r w:rsidRPr="00AF52AE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AF52AE">
              <w:rPr>
                <w:lang w:val="en-US"/>
              </w:rPr>
              <w:t>.8</w:t>
            </w:r>
            <w:r>
              <w:rPr>
                <w:lang w:val="en-US"/>
              </w:rPr>
              <w:t>8</w:t>
            </w:r>
          </w:p>
          <w:p w14:paraId="50266824" w14:textId="29B535DA" w:rsidR="00C3377D" w:rsidRPr="00BA0A4E" w:rsidRDefault="00AF52AE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AF52AE">
              <w:rPr>
                <w:lang w:val="en-US"/>
              </w:rPr>
              <w:t>.5</w:t>
            </w:r>
            <w:r>
              <w:rPr>
                <w:lang w:val="en-US"/>
              </w:rPr>
              <w:t>9)</w:t>
            </w:r>
          </w:p>
        </w:tc>
        <w:tc>
          <w:tcPr>
            <w:tcW w:w="2410" w:type="dxa"/>
          </w:tcPr>
          <w:p w14:paraId="7D9184CA" w14:textId="51EEA727" w:rsidR="00BF371C" w:rsidRDefault="00BF371C" w:rsidP="00506281">
            <w:pPr>
              <w:jc w:val="center"/>
              <w:rPr>
                <w:lang w:val="en-US"/>
              </w:rPr>
            </w:pPr>
            <w:r w:rsidRPr="00BF371C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BF371C">
              <w:rPr>
                <w:lang w:val="en-US"/>
              </w:rPr>
              <w:t>.2</w:t>
            </w:r>
            <w:r>
              <w:rPr>
                <w:lang w:val="en-US"/>
              </w:rPr>
              <w:t>6</w:t>
            </w:r>
            <w:r w:rsidR="007C44EF">
              <w:rPr>
                <w:lang w:val="en-US"/>
              </w:rPr>
              <w:t>*</w:t>
            </w:r>
          </w:p>
          <w:p w14:paraId="6C7609D6" w14:textId="62ED1B90" w:rsidR="00C3377D" w:rsidRPr="00184AA0" w:rsidRDefault="00BF371C" w:rsidP="00506281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(0</w:t>
            </w:r>
            <w:r w:rsidRPr="00BF371C">
              <w:rPr>
                <w:lang w:val="en-US"/>
              </w:rPr>
              <w:t>.10</w:t>
            </w:r>
            <w:r>
              <w:rPr>
                <w:lang w:val="en-US"/>
              </w:rPr>
              <w:t>)</w:t>
            </w:r>
          </w:p>
        </w:tc>
      </w:tr>
      <w:tr w:rsidR="00C3377D" w:rsidRPr="0032229D" w14:paraId="71FDE491" w14:textId="77777777" w:rsidTr="001B18F9">
        <w:tc>
          <w:tcPr>
            <w:tcW w:w="3397" w:type="dxa"/>
          </w:tcPr>
          <w:p w14:paraId="1A17149E" w14:textId="77777777" w:rsidR="00C3377D" w:rsidRPr="0032229D" w:rsidRDefault="00C3377D" w:rsidP="00506281">
            <w:pPr>
              <w:jc w:val="both"/>
              <w:rPr>
                <w:i/>
                <w:iCs/>
                <w:lang w:val="en-US"/>
              </w:rPr>
            </w:pPr>
            <w:r w:rsidRPr="0032229D">
              <w:rPr>
                <w:i/>
                <w:iCs/>
                <w:lang w:val="en-US"/>
              </w:rPr>
              <w:t>Control variables</w:t>
            </w:r>
          </w:p>
        </w:tc>
        <w:tc>
          <w:tcPr>
            <w:tcW w:w="2977" w:type="dxa"/>
          </w:tcPr>
          <w:p w14:paraId="027EBB5B" w14:textId="77777777" w:rsidR="00C3377D" w:rsidRPr="00CC0BE1" w:rsidRDefault="00C3377D" w:rsidP="00506281">
            <w:pPr>
              <w:jc w:val="center"/>
              <w:rPr>
                <w:highlight w:val="red"/>
                <w:lang w:val="en-US"/>
              </w:rPr>
            </w:pPr>
          </w:p>
        </w:tc>
        <w:tc>
          <w:tcPr>
            <w:tcW w:w="2410" w:type="dxa"/>
          </w:tcPr>
          <w:p w14:paraId="52E65040" w14:textId="77777777" w:rsidR="00C3377D" w:rsidRPr="00CC0BE1" w:rsidRDefault="00C3377D" w:rsidP="00506281">
            <w:pPr>
              <w:jc w:val="center"/>
              <w:rPr>
                <w:highlight w:val="red"/>
                <w:lang w:val="en-US"/>
              </w:rPr>
            </w:pPr>
          </w:p>
        </w:tc>
      </w:tr>
      <w:tr w:rsidR="00C3377D" w:rsidRPr="0032229D" w14:paraId="5292E0ED" w14:textId="77777777" w:rsidTr="001B18F9">
        <w:tc>
          <w:tcPr>
            <w:tcW w:w="3397" w:type="dxa"/>
          </w:tcPr>
          <w:p w14:paraId="34367CBF" w14:textId="77777777" w:rsidR="00C3377D" w:rsidRPr="008735F7" w:rsidRDefault="00C3377D" w:rsidP="00506281">
            <w:pPr>
              <w:jc w:val="both"/>
              <w:rPr>
                <w:lang w:val="en-US"/>
              </w:rPr>
            </w:pPr>
            <w:r w:rsidRPr="008735F7">
              <w:rPr>
                <w:lang w:val="en-US"/>
              </w:rPr>
              <w:t>Minority cabinet</w:t>
            </w:r>
          </w:p>
          <w:p w14:paraId="295C7EC9" w14:textId="77777777" w:rsidR="00C3377D" w:rsidRPr="008735F7" w:rsidRDefault="00C3377D" w:rsidP="00506281">
            <w:pPr>
              <w:jc w:val="both"/>
              <w:rPr>
                <w:lang w:val="en-US"/>
              </w:rPr>
            </w:pPr>
          </w:p>
        </w:tc>
        <w:tc>
          <w:tcPr>
            <w:tcW w:w="2977" w:type="dxa"/>
          </w:tcPr>
          <w:p w14:paraId="3BFC0DED" w14:textId="341511E5" w:rsidR="00C138B8" w:rsidRDefault="00C138B8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C138B8">
              <w:rPr>
                <w:lang w:val="en-US"/>
              </w:rPr>
              <w:t>.91</w:t>
            </w:r>
            <w:r>
              <w:rPr>
                <w:lang w:val="en-US"/>
              </w:rPr>
              <w:t>***</w:t>
            </w:r>
          </w:p>
          <w:p w14:paraId="1A7366D2" w14:textId="624CFB5F" w:rsidR="00C3377D" w:rsidRPr="008735F7" w:rsidRDefault="0004284D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="00C138B8" w:rsidRPr="00C138B8">
              <w:rPr>
                <w:lang w:val="en-US"/>
              </w:rPr>
              <w:t>.2</w:t>
            </w:r>
            <w:r>
              <w:rPr>
                <w:lang w:val="en-US"/>
              </w:rPr>
              <w:t>2)</w:t>
            </w:r>
          </w:p>
        </w:tc>
        <w:tc>
          <w:tcPr>
            <w:tcW w:w="2410" w:type="dxa"/>
          </w:tcPr>
          <w:p w14:paraId="2C04F5F1" w14:textId="77777777" w:rsidR="00770297" w:rsidRDefault="00770297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770297">
              <w:rPr>
                <w:lang w:val="en-US"/>
              </w:rPr>
              <w:t>.0</w:t>
            </w:r>
            <w:r>
              <w:rPr>
                <w:lang w:val="en-US"/>
              </w:rPr>
              <w:t>2</w:t>
            </w:r>
          </w:p>
          <w:p w14:paraId="18AF0F52" w14:textId="4CCFDFDC" w:rsidR="00C3377D" w:rsidRPr="00CC0BE1" w:rsidRDefault="00770297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770297">
              <w:rPr>
                <w:lang w:val="en-US"/>
              </w:rPr>
              <w:t>.0</w:t>
            </w:r>
            <w:r>
              <w:rPr>
                <w:lang w:val="en-US"/>
              </w:rPr>
              <w:t>7)</w:t>
            </w:r>
          </w:p>
        </w:tc>
      </w:tr>
      <w:tr w:rsidR="00C3377D" w:rsidRPr="0032229D" w14:paraId="527F07C9" w14:textId="77777777" w:rsidTr="001B18F9">
        <w:tc>
          <w:tcPr>
            <w:tcW w:w="3397" w:type="dxa"/>
          </w:tcPr>
          <w:p w14:paraId="67CBCABF" w14:textId="77777777" w:rsidR="00C3377D" w:rsidRPr="006326D1" w:rsidRDefault="00C3377D" w:rsidP="00506281">
            <w:pPr>
              <w:jc w:val="both"/>
              <w:rPr>
                <w:lang w:val="en-US"/>
              </w:rPr>
            </w:pPr>
            <w:r w:rsidRPr="006326D1">
              <w:rPr>
                <w:lang w:val="en-US"/>
              </w:rPr>
              <w:t>Caretaker cabinet</w:t>
            </w:r>
          </w:p>
          <w:p w14:paraId="102DFBBF" w14:textId="77777777" w:rsidR="00C3377D" w:rsidRPr="006326D1" w:rsidRDefault="00C3377D" w:rsidP="00506281">
            <w:pPr>
              <w:jc w:val="both"/>
              <w:rPr>
                <w:lang w:val="en-US"/>
              </w:rPr>
            </w:pPr>
          </w:p>
        </w:tc>
        <w:tc>
          <w:tcPr>
            <w:tcW w:w="2977" w:type="dxa"/>
          </w:tcPr>
          <w:p w14:paraId="3CE6D099" w14:textId="77777777" w:rsidR="001964D7" w:rsidRDefault="001964D7" w:rsidP="00506281">
            <w:pPr>
              <w:jc w:val="center"/>
              <w:rPr>
                <w:lang w:val="en-US"/>
              </w:rPr>
            </w:pPr>
            <w:r w:rsidRPr="00007AA0">
              <w:rPr>
                <w:lang w:val="en-US"/>
              </w:rPr>
              <w:t>1.</w:t>
            </w:r>
            <w:r>
              <w:rPr>
                <w:lang w:val="en-US"/>
              </w:rPr>
              <w:t>50**</w:t>
            </w:r>
          </w:p>
          <w:p w14:paraId="0A5503F7" w14:textId="4B9E8A4A" w:rsidR="00C3377D" w:rsidRPr="006326D1" w:rsidRDefault="001964D7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007AA0">
              <w:rPr>
                <w:lang w:val="en-US"/>
              </w:rPr>
              <w:t>.5</w:t>
            </w:r>
            <w:r w:rsidR="00B80D67">
              <w:rPr>
                <w:lang w:val="en-US"/>
              </w:rPr>
              <w:t>4</w:t>
            </w:r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3B78651E" w14:textId="77777777" w:rsidR="00887979" w:rsidRDefault="00887979" w:rsidP="00506281">
            <w:pPr>
              <w:jc w:val="center"/>
              <w:rPr>
                <w:lang w:val="en-US"/>
              </w:rPr>
            </w:pPr>
            <w:r w:rsidRPr="00887979">
              <w:rPr>
                <w:lang w:val="en-US"/>
              </w:rPr>
              <w:t>1.1</w:t>
            </w:r>
            <w:r>
              <w:rPr>
                <w:lang w:val="en-US"/>
              </w:rPr>
              <w:t>5***</w:t>
            </w:r>
          </w:p>
          <w:p w14:paraId="79E5BD31" w14:textId="5F13B14D" w:rsidR="00C3377D" w:rsidRPr="00CC0BE1" w:rsidRDefault="00887979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887979">
              <w:rPr>
                <w:lang w:val="en-US"/>
              </w:rPr>
              <w:t>.31</w:t>
            </w:r>
            <w:r>
              <w:rPr>
                <w:lang w:val="en-US"/>
              </w:rPr>
              <w:t>)</w:t>
            </w:r>
          </w:p>
        </w:tc>
      </w:tr>
      <w:tr w:rsidR="00C3377D" w:rsidRPr="0032229D" w14:paraId="2E46C264" w14:textId="77777777" w:rsidTr="001B18F9">
        <w:tc>
          <w:tcPr>
            <w:tcW w:w="3397" w:type="dxa"/>
          </w:tcPr>
          <w:p w14:paraId="6E5A92C4" w14:textId="77777777" w:rsidR="00C3377D" w:rsidRPr="003B667E" w:rsidRDefault="00C3377D" w:rsidP="00506281">
            <w:pPr>
              <w:jc w:val="both"/>
              <w:rPr>
                <w:lang w:val="en-US"/>
              </w:rPr>
            </w:pPr>
            <w:r w:rsidRPr="003B667E">
              <w:rPr>
                <w:lang w:val="en-US"/>
              </w:rPr>
              <w:t>Cohabitation</w:t>
            </w:r>
          </w:p>
          <w:p w14:paraId="23BD66DC" w14:textId="77777777" w:rsidR="00C3377D" w:rsidRPr="003B667E" w:rsidRDefault="00C3377D" w:rsidP="00506281">
            <w:pPr>
              <w:jc w:val="both"/>
              <w:rPr>
                <w:lang w:val="en-US"/>
              </w:rPr>
            </w:pPr>
          </w:p>
        </w:tc>
        <w:tc>
          <w:tcPr>
            <w:tcW w:w="2977" w:type="dxa"/>
          </w:tcPr>
          <w:p w14:paraId="74EC9991" w14:textId="77777777" w:rsidR="00FC066C" w:rsidRDefault="00FC066C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FC066C">
              <w:rPr>
                <w:lang w:val="en-US"/>
              </w:rPr>
              <w:t>.6</w:t>
            </w:r>
            <w:r>
              <w:rPr>
                <w:lang w:val="en-US"/>
              </w:rPr>
              <w:t>3*</w:t>
            </w:r>
          </w:p>
          <w:p w14:paraId="439EE71E" w14:textId="2DF2E8C9" w:rsidR="00C3377D" w:rsidRPr="003B667E" w:rsidRDefault="00FC066C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FC066C">
              <w:rPr>
                <w:lang w:val="en-US"/>
              </w:rPr>
              <w:t>.28</w:t>
            </w:r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246A5F7E" w14:textId="77777777" w:rsidR="002C1EBC" w:rsidRDefault="002C1EBC" w:rsidP="00506281">
            <w:pPr>
              <w:jc w:val="center"/>
              <w:rPr>
                <w:lang w:val="en-US"/>
              </w:rPr>
            </w:pPr>
            <w:r w:rsidRPr="002C1EBC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2C1EBC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</w:p>
          <w:p w14:paraId="464FEA43" w14:textId="7A2A9F8C" w:rsidR="00C3377D" w:rsidRPr="00CC0BE1" w:rsidRDefault="002C1EBC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2C1EBC">
              <w:rPr>
                <w:lang w:val="en-US"/>
              </w:rPr>
              <w:t>.0</w:t>
            </w:r>
            <w:r>
              <w:rPr>
                <w:lang w:val="en-US"/>
              </w:rPr>
              <w:t>8)</w:t>
            </w:r>
          </w:p>
        </w:tc>
      </w:tr>
      <w:tr w:rsidR="00C3377D" w:rsidRPr="0032229D" w14:paraId="51EC0CE2" w14:textId="77777777" w:rsidTr="001B18F9">
        <w:tc>
          <w:tcPr>
            <w:tcW w:w="3397" w:type="dxa"/>
          </w:tcPr>
          <w:p w14:paraId="6B9C3531" w14:textId="77777777" w:rsidR="00C3377D" w:rsidRPr="0049249B" w:rsidRDefault="00C3377D" w:rsidP="00506281">
            <w:pPr>
              <w:jc w:val="both"/>
              <w:rPr>
                <w:lang w:val="en-US"/>
              </w:rPr>
            </w:pPr>
            <w:r w:rsidRPr="0049249B">
              <w:rPr>
                <w:lang w:val="en-US"/>
              </w:rPr>
              <w:t>Party–system fractionalization</w:t>
            </w:r>
          </w:p>
        </w:tc>
        <w:tc>
          <w:tcPr>
            <w:tcW w:w="2977" w:type="dxa"/>
          </w:tcPr>
          <w:p w14:paraId="492FD440" w14:textId="77777777" w:rsidR="00A34AAB" w:rsidRDefault="00A34AAB" w:rsidP="00506281">
            <w:pPr>
              <w:jc w:val="center"/>
              <w:rPr>
                <w:lang w:val="en-US"/>
              </w:rPr>
            </w:pPr>
            <w:r w:rsidRPr="00A34AAB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A34AAB">
              <w:rPr>
                <w:lang w:val="en-US"/>
              </w:rPr>
              <w:t>.12</w:t>
            </w:r>
          </w:p>
          <w:p w14:paraId="4ECF5525" w14:textId="1C652EF1" w:rsidR="00C3377D" w:rsidRPr="0049249B" w:rsidRDefault="00A34AAB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A34AAB">
              <w:rPr>
                <w:lang w:val="en-US"/>
              </w:rPr>
              <w:t>.09</w:t>
            </w:r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5E1D53CC" w14:textId="77777777" w:rsidR="00EE1D7E" w:rsidRDefault="00EE1D7E" w:rsidP="00506281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0</w:t>
            </w:r>
            <w:r w:rsidRPr="00EE1D7E">
              <w:rPr>
                <w:lang w:val="en-US"/>
              </w:rPr>
              <w:t>.0</w:t>
            </w:r>
            <w:r>
              <w:rPr>
                <w:lang w:val="en-US"/>
              </w:rPr>
              <w:t>6**</w:t>
            </w:r>
          </w:p>
          <w:p w14:paraId="0C7105C0" w14:textId="5B99E41E" w:rsidR="00C3377D" w:rsidRPr="00CC0BE1" w:rsidRDefault="00EE1D7E" w:rsidP="00506281">
            <w:pPr>
              <w:jc w:val="center"/>
              <w:rPr>
                <w:highlight w:val="red"/>
                <w:lang w:val="en-US"/>
              </w:rPr>
            </w:pPr>
            <w:r>
              <w:t>(0</w:t>
            </w:r>
            <w:r w:rsidRPr="00EE1D7E">
              <w:rPr>
                <w:lang w:val="en-US"/>
              </w:rPr>
              <w:t>.0</w:t>
            </w:r>
            <w:r>
              <w:rPr>
                <w:lang w:val="en-US"/>
              </w:rPr>
              <w:t>2)</w:t>
            </w:r>
          </w:p>
        </w:tc>
      </w:tr>
      <w:tr w:rsidR="00C3377D" w:rsidRPr="0032229D" w14:paraId="5CB8B38A" w14:textId="77777777" w:rsidTr="001B18F9">
        <w:tc>
          <w:tcPr>
            <w:tcW w:w="3397" w:type="dxa"/>
          </w:tcPr>
          <w:p w14:paraId="67B72C37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Number of coalition partners</w:t>
            </w:r>
          </w:p>
        </w:tc>
        <w:tc>
          <w:tcPr>
            <w:tcW w:w="2977" w:type="dxa"/>
          </w:tcPr>
          <w:p w14:paraId="3B2B5D9C" w14:textId="77777777" w:rsidR="00166421" w:rsidRDefault="0016642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166421">
              <w:rPr>
                <w:lang w:val="en-US"/>
              </w:rPr>
              <w:t>.2</w:t>
            </w:r>
            <w:r>
              <w:rPr>
                <w:lang w:val="en-US"/>
              </w:rPr>
              <w:t>4*</w:t>
            </w:r>
          </w:p>
          <w:p w14:paraId="153926AD" w14:textId="690AB4DA" w:rsidR="00C3377D" w:rsidRPr="005566FE" w:rsidRDefault="0016642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166421">
              <w:rPr>
                <w:lang w:val="en-US"/>
              </w:rPr>
              <w:t>.11</w:t>
            </w:r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11B51896" w14:textId="77777777" w:rsidR="000C30E2" w:rsidRDefault="000C30E2" w:rsidP="00506281">
            <w:pPr>
              <w:jc w:val="center"/>
              <w:rPr>
                <w:lang w:val="en-US"/>
              </w:rPr>
            </w:pPr>
            <w:r w:rsidRPr="000C30E2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0C30E2">
              <w:rPr>
                <w:lang w:val="en-US"/>
              </w:rPr>
              <w:t>.1</w:t>
            </w:r>
            <w:r>
              <w:rPr>
                <w:lang w:val="en-US"/>
              </w:rPr>
              <w:t>2*</w:t>
            </w:r>
          </w:p>
          <w:p w14:paraId="680500E0" w14:textId="343638F3" w:rsidR="00C3377D" w:rsidRPr="00CC0BE1" w:rsidRDefault="000C30E2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0C30E2">
              <w:rPr>
                <w:lang w:val="en-US"/>
              </w:rPr>
              <w:t>.0</w:t>
            </w:r>
            <w:r>
              <w:rPr>
                <w:lang w:val="en-US"/>
              </w:rPr>
              <w:t>5)</w:t>
            </w:r>
          </w:p>
        </w:tc>
      </w:tr>
      <w:tr w:rsidR="00C3377D" w:rsidRPr="0032229D" w14:paraId="080BFDE2" w14:textId="77777777" w:rsidTr="001B18F9">
        <w:tc>
          <w:tcPr>
            <w:tcW w:w="3397" w:type="dxa"/>
          </w:tcPr>
          <w:p w14:paraId="34CC8E99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Proportional electoral system</w:t>
            </w:r>
          </w:p>
        </w:tc>
        <w:tc>
          <w:tcPr>
            <w:tcW w:w="2977" w:type="dxa"/>
          </w:tcPr>
          <w:p w14:paraId="11156F4A" w14:textId="77777777" w:rsidR="002E7693" w:rsidRDefault="002E7693" w:rsidP="00506281">
            <w:pPr>
              <w:jc w:val="center"/>
              <w:rPr>
                <w:lang w:val="en-US"/>
              </w:rPr>
            </w:pPr>
            <w:r w:rsidRPr="002E7693">
              <w:rPr>
                <w:lang w:val="en-US"/>
              </w:rPr>
              <w:t>-1.51</w:t>
            </w:r>
            <w:r>
              <w:rPr>
                <w:lang w:val="en-US"/>
              </w:rPr>
              <w:t>**</w:t>
            </w:r>
          </w:p>
          <w:p w14:paraId="316591ED" w14:textId="73FF14F0" w:rsidR="00C3377D" w:rsidRPr="00CC0BE1" w:rsidRDefault="002E7693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2E7693">
              <w:rPr>
                <w:lang w:val="en-US"/>
              </w:rPr>
              <w:t>.55</w:t>
            </w:r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19A4C9C0" w14:textId="77777777" w:rsidR="00BE145E" w:rsidRDefault="00BE145E" w:rsidP="00506281">
            <w:pPr>
              <w:jc w:val="center"/>
              <w:rPr>
                <w:lang w:val="en-US"/>
              </w:rPr>
            </w:pPr>
            <w:r w:rsidRPr="00BE145E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BE145E">
              <w:rPr>
                <w:lang w:val="en-US"/>
              </w:rPr>
              <w:t>.14</w:t>
            </w:r>
          </w:p>
          <w:p w14:paraId="1B570224" w14:textId="2D4BDF7D" w:rsidR="00C3377D" w:rsidRPr="00D34407" w:rsidRDefault="00BE145E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BE145E">
              <w:rPr>
                <w:lang w:val="en-US"/>
              </w:rPr>
              <w:t>.0</w:t>
            </w:r>
            <w:r>
              <w:rPr>
                <w:lang w:val="en-US"/>
              </w:rPr>
              <w:t>9)</w:t>
            </w:r>
          </w:p>
        </w:tc>
      </w:tr>
      <w:tr w:rsidR="00C3377D" w:rsidRPr="0032229D" w14:paraId="3CD287EB" w14:textId="77777777" w:rsidTr="001B18F9">
        <w:tc>
          <w:tcPr>
            <w:tcW w:w="3397" w:type="dxa"/>
          </w:tcPr>
          <w:p w14:paraId="4F178CEF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Party institutionalization</w:t>
            </w:r>
          </w:p>
        </w:tc>
        <w:tc>
          <w:tcPr>
            <w:tcW w:w="2977" w:type="dxa"/>
          </w:tcPr>
          <w:p w14:paraId="23CB1734" w14:textId="77777777" w:rsidR="00B63151" w:rsidRDefault="00B63151" w:rsidP="00506281">
            <w:pPr>
              <w:jc w:val="center"/>
              <w:rPr>
                <w:lang w:val="en-US"/>
              </w:rPr>
            </w:pPr>
            <w:r w:rsidRPr="00B63151">
              <w:rPr>
                <w:lang w:val="en-US"/>
              </w:rPr>
              <w:t>3.3</w:t>
            </w:r>
            <w:r>
              <w:rPr>
                <w:lang w:val="en-US"/>
              </w:rPr>
              <w:t>2</w:t>
            </w:r>
          </w:p>
          <w:p w14:paraId="2692664B" w14:textId="20DB20A0" w:rsidR="00C3377D" w:rsidRPr="0051561D" w:rsidRDefault="00B6315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B63151">
              <w:rPr>
                <w:lang w:val="en-US"/>
              </w:rPr>
              <w:t>2.</w:t>
            </w:r>
            <w:r>
              <w:rPr>
                <w:lang w:val="en-US"/>
              </w:rPr>
              <w:t>40)</w:t>
            </w:r>
          </w:p>
        </w:tc>
        <w:tc>
          <w:tcPr>
            <w:tcW w:w="2410" w:type="dxa"/>
          </w:tcPr>
          <w:p w14:paraId="7E8EB297" w14:textId="77777777" w:rsidR="0005483C" w:rsidRDefault="0005483C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05483C">
              <w:rPr>
                <w:lang w:val="en-US"/>
              </w:rPr>
              <w:t>.62</w:t>
            </w:r>
          </w:p>
          <w:p w14:paraId="793F0AED" w14:textId="15EA0D68" w:rsidR="00C3377D" w:rsidRPr="009D4B72" w:rsidRDefault="0005483C" w:rsidP="00506281">
            <w:pPr>
              <w:jc w:val="center"/>
              <w:rPr>
                <w:highlight w:val="red"/>
              </w:rPr>
            </w:pPr>
            <w:r>
              <w:rPr>
                <w:lang w:val="en-US"/>
              </w:rPr>
              <w:t>(0</w:t>
            </w:r>
            <w:r w:rsidRPr="0005483C">
              <w:rPr>
                <w:lang w:val="en-US"/>
              </w:rPr>
              <w:t>.6</w:t>
            </w:r>
            <w:r>
              <w:rPr>
                <w:lang w:val="en-US"/>
              </w:rPr>
              <w:t>1)</w:t>
            </w:r>
          </w:p>
        </w:tc>
      </w:tr>
      <w:tr w:rsidR="00C3377D" w:rsidRPr="0032229D" w14:paraId="49842487" w14:textId="77777777" w:rsidTr="001B18F9">
        <w:tc>
          <w:tcPr>
            <w:tcW w:w="3397" w:type="dxa"/>
          </w:tcPr>
          <w:p w14:paraId="73B50FD8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Bicameralism</w:t>
            </w:r>
          </w:p>
        </w:tc>
        <w:tc>
          <w:tcPr>
            <w:tcW w:w="2977" w:type="dxa"/>
          </w:tcPr>
          <w:p w14:paraId="1F2D5439" w14:textId="77777777" w:rsidR="009C7F4E" w:rsidRDefault="009C7F4E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9C7F4E">
              <w:rPr>
                <w:lang w:val="en-US"/>
              </w:rPr>
              <w:t>.2</w:t>
            </w:r>
            <w:r>
              <w:rPr>
                <w:lang w:val="en-US"/>
              </w:rPr>
              <w:t>5</w:t>
            </w:r>
          </w:p>
          <w:p w14:paraId="6BC35163" w14:textId="6A14AC57" w:rsidR="00C3377D" w:rsidRPr="00CC0BE1" w:rsidRDefault="009C7F4E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9C7F4E">
              <w:rPr>
                <w:lang w:val="en-US"/>
              </w:rPr>
              <w:t>.32</w:t>
            </w:r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14:paraId="03A4884C" w14:textId="77777777" w:rsidR="00903C2D" w:rsidRDefault="00903C2D" w:rsidP="00506281">
            <w:pPr>
              <w:jc w:val="center"/>
              <w:rPr>
                <w:lang w:val="en-US"/>
              </w:rPr>
            </w:pPr>
            <w:r w:rsidRPr="00903C2D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903C2D">
              <w:rPr>
                <w:lang w:val="en-US"/>
              </w:rPr>
              <w:t>.03</w:t>
            </w:r>
          </w:p>
          <w:p w14:paraId="4FE5AACA" w14:textId="61DCED5A" w:rsidR="00C3377D" w:rsidRPr="00CC0BE1" w:rsidRDefault="00903C2D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903C2D">
              <w:rPr>
                <w:lang w:val="en-US"/>
              </w:rPr>
              <w:t>.0</w:t>
            </w:r>
            <w:r>
              <w:rPr>
                <w:lang w:val="en-US"/>
              </w:rPr>
              <w:t>9)</w:t>
            </w:r>
          </w:p>
        </w:tc>
      </w:tr>
      <w:tr w:rsidR="00C3377D" w:rsidRPr="0032229D" w14:paraId="6DF365AB" w14:textId="77777777" w:rsidTr="001B18F9">
        <w:tc>
          <w:tcPr>
            <w:tcW w:w="3397" w:type="dxa"/>
          </w:tcPr>
          <w:p w14:paraId="6D7A1F10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Age of democracy</w:t>
            </w:r>
          </w:p>
        </w:tc>
        <w:tc>
          <w:tcPr>
            <w:tcW w:w="2977" w:type="dxa"/>
          </w:tcPr>
          <w:p w14:paraId="0CB4C2D9" w14:textId="77777777" w:rsidR="00D66C06" w:rsidRDefault="00D66C06" w:rsidP="00506281">
            <w:pPr>
              <w:jc w:val="center"/>
              <w:rPr>
                <w:lang w:val="en-US"/>
              </w:rPr>
            </w:pPr>
            <w:r w:rsidRPr="00D66C06">
              <w:rPr>
                <w:lang w:val="en-US"/>
              </w:rPr>
              <w:t>2.35</w:t>
            </w:r>
            <w:r>
              <w:rPr>
                <w:lang w:val="en-US"/>
              </w:rPr>
              <w:t>***</w:t>
            </w:r>
          </w:p>
          <w:p w14:paraId="778350B7" w14:textId="6CAAB6E3" w:rsidR="00C3377D" w:rsidRPr="00CC0BE1" w:rsidRDefault="00D66C06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D66C06">
              <w:rPr>
                <w:lang w:val="en-US"/>
              </w:rPr>
              <w:t>.4</w:t>
            </w:r>
            <w:r>
              <w:rPr>
                <w:lang w:val="en-US"/>
              </w:rPr>
              <w:t>9)</w:t>
            </w:r>
          </w:p>
        </w:tc>
        <w:tc>
          <w:tcPr>
            <w:tcW w:w="2410" w:type="dxa"/>
          </w:tcPr>
          <w:p w14:paraId="2CA790ED" w14:textId="77777777" w:rsidR="0002682B" w:rsidRDefault="0002682B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02682B">
              <w:rPr>
                <w:lang w:val="en-US"/>
              </w:rPr>
              <w:t>.25</w:t>
            </w:r>
            <w:r>
              <w:rPr>
                <w:lang w:val="en-US"/>
              </w:rPr>
              <w:t>**</w:t>
            </w:r>
          </w:p>
          <w:p w14:paraId="6EBADD4B" w14:textId="75972FA0" w:rsidR="00C3377D" w:rsidRPr="00F46D9E" w:rsidRDefault="0002682B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02682B">
              <w:rPr>
                <w:lang w:val="en-US"/>
              </w:rPr>
              <w:t>.08</w:t>
            </w:r>
            <w:r>
              <w:rPr>
                <w:lang w:val="en-US"/>
              </w:rPr>
              <w:t>)</w:t>
            </w:r>
          </w:p>
        </w:tc>
      </w:tr>
      <w:tr w:rsidR="00C3377D" w:rsidRPr="0032229D" w14:paraId="7653E844" w14:textId="77777777" w:rsidTr="001B18F9">
        <w:tc>
          <w:tcPr>
            <w:tcW w:w="3397" w:type="dxa"/>
          </w:tcPr>
          <w:p w14:paraId="2D90360D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N observations</w:t>
            </w:r>
          </w:p>
        </w:tc>
        <w:tc>
          <w:tcPr>
            <w:tcW w:w="2977" w:type="dxa"/>
          </w:tcPr>
          <w:p w14:paraId="10765DFA" w14:textId="5FA73CB8" w:rsidR="00C3377D" w:rsidRPr="00CC0BE1" w:rsidRDefault="00824774" w:rsidP="00506281">
            <w:pPr>
              <w:jc w:val="center"/>
              <w:rPr>
                <w:highlight w:val="red"/>
                <w:lang w:val="en-US"/>
              </w:rPr>
            </w:pPr>
            <w:r w:rsidRPr="00007AA0">
              <w:rPr>
                <w:lang w:val="en-US"/>
              </w:rPr>
              <w:t>975</w:t>
            </w:r>
          </w:p>
        </w:tc>
        <w:tc>
          <w:tcPr>
            <w:tcW w:w="2410" w:type="dxa"/>
          </w:tcPr>
          <w:p w14:paraId="27FFFDB6" w14:textId="7B59895F" w:rsidR="00C3377D" w:rsidRPr="00F46D9E" w:rsidRDefault="00F85CE3" w:rsidP="00506281">
            <w:pPr>
              <w:jc w:val="center"/>
              <w:rPr>
                <w:lang w:val="en-US"/>
              </w:rPr>
            </w:pPr>
            <w:r w:rsidRPr="00EB7AC3">
              <w:rPr>
                <w:lang w:val="en-US"/>
              </w:rPr>
              <w:t>435</w:t>
            </w:r>
          </w:p>
        </w:tc>
      </w:tr>
      <w:tr w:rsidR="0036322F" w:rsidRPr="0032229D" w14:paraId="54897502" w14:textId="77777777" w:rsidTr="001B18F9">
        <w:tc>
          <w:tcPr>
            <w:tcW w:w="3397" w:type="dxa"/>
          </w:tcPr>
          <w:p w14:paraId="799D90D2" w14:textId="7E267F93" w:rsidR="0036322F" w:rsidRPr="0032229D" w:rsidRDefault="0036322F" w:rsidP="005062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 of countries</w:t>
            </w:r>
          </w:p>
        </w:tc>
        <w:tc>
          <w:tcPr>
            <w:tcW w:w="2977" w:type="dxa"/>
          </w:tcPr>
          <w:p w14:paraId="2CC9B5C3" w14:textId="32220249" w:rsidR="0036322F" w:rsidRPr="00007AA0" w:rsidRDefault="001D0F74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410" w:type="dxa"/>
          </w:tcPr>
          <w:p w14:paraId="514EBBDA" w14:textId="5461C263" w:rsidR="0036322F" w:rsidRPr="00F46D9E" w:rsidRDefault="00307343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C3377D" w:rsidRPr="0032229D" w14:paraId="0D6AF59C" w14:textId="77777777" w:rsidTr="001B18F9">
        <w:tc>
          <w:tcPr>
            <w:tcW w:w="3397" w:type="dxa"/>
          </w:tcPr>
          <w:p w14:paraId="0C02740A" w14:textId="77777777" w:rsidR="00C3377D" w:rsidRPr="0032229D" w:rsidRDefault="00C3377D" w:rsidP="00506281">
            <w:pPr>
              <w:jc w:val="both"/>
              <w:rPr>
                <w:lang w:val="en-US"/>
              </w:rPr>
            </w:pPr>
            <w:r w:rsidRPr="0032229D">
              <w:rPr>
                <w:lang w:val="en-US"/>
              </w:rPr>
              <w:t>Log pseudolikelihood</w:t>
            </w:r>
          </w:p>
        </w:tc>
        <w:tc>
          <w:tcPr>
            <w:tcW w:w="2977" w:type="dxa"/>
          </w:tcPr>
          <w:p w14:paraId="552A5682" w14:textId="046C21D6" w:rsidR="00C3377D" w:rsidRPr="00CC0BE1" w:rsidRDefault="00824774" w:rsidP="00506281">
            <w:pPr>
              <w:jc w:val="center"/>
              <w:rPr>
                <w:highlight w:val="red"/>
                <w:lang w:val="en-US"/>
              </w:rPr>
            </w:pPr>
            <w:r w:rsidRPr="00007AA0">
              <w:rPr>
                <w:lang w:val="en-US"/>
              </w:rPr>
              <w:t>-</w:t>
            </w:r>
            <w:r w:rsidR="008547E2">
              <w:rPr>
                <w:lang w:val="en-US"/>
              </w:rPr>
              <w:t>479.58</w:t>
            </w:r>
          </w:p>
        </w:tc>
        <w:tc>
          <w:tcPr>
            <w:tcW w:w="2410" w:type="dxa"/>
          </w:tcPr>
          <w:p w14:paraId="54459FE1" w14:textId="17D5CC0F" w:rsidR="00C3377D" w:rsidRPr="00F46D9E" w:rsidRDefault="00392242" w:rsidP="00506281">
            <w:pPr>
              <w:jc w:val="center"/>
              <w:rPr>
                <w:lang w:val="en-US"/>
              </w:rPr>
            </w:pPr>
            <w:r w:rsidRPr="00EB7AC3">
              <w:rPr>
                <w:lang w:val="en-US"/>
              </w:rPr>
              <w:t>-</w:t>
            </w:r>
            <w:r w:rsidR="00D52618">
              <w:rPr>
                <w:lang w:val="en-US"/>
              </w:rPr>
              <w:t>156.64</w:t>
            </w:r>
          </w:p>
        </w:tc>
      </w:tr>
    </w:tbl>
    <w:p w14:paraId="4BAA8D43" w14:textId="34EBBD7C" w:rsidR="001506AB" w:rsidRDefault="00F82BEA" w:rsidP="00381B88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Robust </w:t>
      </w:r>
      <w:r w:rsidR="00AE40BE">
        <w:rPr>
          <w:lang w:val="en-US"/>
        </w:rPr>
        <w:t>s</w:t>
      </w:r>
      <w:r w:rsidR="00BB4AB4">
        <w:rPr>
          <w:lang w:val="en-US"/>
        </w:rPr>
        <w:t>tandard errors cluster</w:t>
      </w:r>
      <w:r w:rsidR="00ED176D">
        <w:rPr>
          <w:lang w:val="en-US"/>
        </w:rPr>
        <w:t>ed</w:t>
      </w:r>
      <w:r w:rsidR="00BB4AB4">
        <w:rPr>
          <w:lang w:val="en-US"/>
        </w:rPr>
        <w:t xml:space="preserve"> by countries</w:t>
      </w:r>
    </w:p>
    <w:p w14:paraId="76D68872" w14:textId="33402167" w:rsidR="007A5AA8" w:rsidRPr="0032229D" w:rsidRDefault="007A5AA8" w:rsidP="007A5AA8">
      <w:pPr>
        <w:spacing w:line="360" w:lineRule="auto"/>
        <w:jc w:val="both"/>
        <w:rPr>
          <w:lang w:val="en-US"/>
        </w:rPr>
      </w:pPr>
      <w:r w:rsidRPr="0032229D">
        <w:rPr>
          <w:lang w:val="en-US"/>
        </w:rPr>
        <w:t>*** p &lt; 0.001; ** p &lt; 0.01, * p &lt; 0.05</w:t>
      </w:r>
      <w:r>
        <w:rPr>
          <w:lang w:val="en-US"/>
        </w:rPr>
        <w:t xml:space="preserve">, </w:t>
      </w:r>
      <w:r w:rsidR="008012BC">
        <w:rPr>
          <w:lang w:val="en-US"/>
        </w:rPr>
        <w:t>† p &lt; 0.5</w:t>
      </w:r>
    </w:p>
    <w:p w14:paraId="5D5E4FFE" w14:textId="77777777" w:rsidR="00712A15" w:rsidRDefault="00712A15" w:rsidP="00381B88">
      <w:pPr>
        <w:spacing w:line="360" w:lineRule="auto"/>
        <w:jc w:val="both"/>
        <w:rPr>
          <w:lang w:val="en-US"/>
        </w:rPr>
      </w:pPr>
    </w:p>
    <w:p w14:paraId="6BA227BE" w14:textId="3319B1E4" w:rsidR="005323EE" w:rsidRDefault="005323EE" w:rsidP="00381B88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Figure </w:t>
      </w:r>
      <w:r w:rsidR="00DB0FF8">
        <w:rPr>
          <w:lang w:val="en-US"/>
        </w:rPr>
        <w:t>A8</w:t>
      </w:r>
      <w:r>
        <w:rPr>
          <w:lang w:val="en-US"/>
        </w:rPr>
        <w:t xml:space="preserve">: </w:t>
      </w:r>
      <w:r w:rsidR="002C7BBB">
        <w:rPr>
          <w:lang w:val="en-US"/>
        </w:rPr>
        <w:t xml:space="preserve">Marginal effects of </w:t>
      </w:r>
      <w:r w:rsidR="00392FB9">
        <w:rPr>
          <w:lang w:val="en-US"/>
        </w:rPr>
        <w:t xml:space="preserve">the </w:t>
      </w:r>
      <w:r w:rsidR="006836F6">
        <w:rPr>
          <w:lang w:val="en-US"/>
        </w:rPr>
        <w:t xml:space="preserve">types of semi-presidentialism and the PM’s </w:t>
      </w:r>
      <w:r w:rsidR="00063451">
        <w:rPr>
          <w:lang w:val="en-US"/>
        </w:rPr>
        <w:t xml:space="preserve">dissolution power on </w:t>
      </w:r>
      <w:r w:rsidR="00E07951">
        <w:rPr>
          <w:lang w:val="en-US"/>
        </w:rPr>
        <w:t xml:space="preserve">the likelihood of </w:t>
      </w:r>
      <w:r w:rsidR="005302E5">
        <w:rPr>
          <w:lang w:val="en-US"/>
        </w:rPr>
        <w:t>non-partisan ministerial appointments</w:t>
      </w:r>
    </w:p>
    <w:p w14:paraId="7B8BF27E" w14:textId="3F95691B" w:rsidR="00381B88" w:rsidRDefault="009D4B72" w:rsidP="00381B88">
      <w:pPr>
        <w:spacing w:line="360" w:lineRule="auto"/>
        <w:jc w:val="both"/>
        <w:rPr>
          <w:lang w:val="en-US"/>
        </w:rPr>
      </w:pPr>
      <w:r w:rsidRPr="009D4B72">
        <w:rPr>
          <w:noProof/>
          <w:lang w:val="en-US"/>
        </w:rPr>
        <w:drawing>
          <wp:inline distT="0" distB="0" distL="0" distR="0" wp14:anchorId="61EE0DCB" wp14:editId="1A28B2C2">
            <wp:extent cx="6031230" cy="3618865"/>
            <wp:effectExtent l="0" t="0" r="1270" b="635"/>
            <wp:docPr id="20751591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5919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2B8DF" w14:textId="3AB77CBB" w:rsidR="00381B88" w:rsidRPr="00572842" w:rsidRDefault="000162FE" w:rsidP="00381B88">
      <w:pPr>
        <w:spacing w:line="360" w:lineRule="auto"/>
        <w:jc w:val="both"/>
        <w:rPr>
          <w:lang w:val="en-US"/>
        </w:rPr>
      </w:pPr>
      <w:r w:rsidRPr="00572842">
        <w:rPr>
          <w:lang w:val="en-US"/>
        </w:rPr>
        <w:t xml:space="preserve">Based on </w:t>
      </w:r>
      <w:r w:rsidR="00EA78B9" w:rsidRPr="00572842">
        <w:rPr>
          <w:lang w:val="en-US"/>
        </w:rPr>
        <w:t>Table 7</w:t>
      </w:r>
      <w:r w:rsidRPr="00572842">
        <w:rPr>
          <w:lang w:val="en-US"/>
        </w:rPr>
        <w:t xml:space="preserve"> (Model </w:t>
      </w:r>
      <w:r w:rsidR="00EA78B9" w:rsidRPr="00572842">
        <w:rPr>
          <w:lang w:val="en-US"/>
        </w:rPr>
        <w:t>V</w:t>
      </w:r>
      <w:r w:rsidRPr="00572842">
        <w:rPr>
          <w:lang w:val="en-US"/>
        </w:rPr>
        <w:t>, binary part)</w:t>
      </w:r>
    </w:p>
    <w:p w14:paraId="27EF489D" w14:textId="77777777" w:rsidR="00BD0DD8" w:rsidRDefault="00BD0DD8" w:rsidP="00381B88">
      <w:pPr>
        <w:spacing w:line="360" w:lineRule="auto"/>
        <w:jc w:val="both"/>
        <w:rPr>
          <w:lang w:val="en-US"/>
        </w:rPr>
      </w:pPr>
    </w:p>
    <w:p w14:paraId="16720864" w14:textId="1C90C75C" w:rsidR="00BE4AB5" w:rsidRDefault="00BE4AB5" w:rsidP="00381B88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Figure </w:t>
      </w:r>
      <w:r w:rsidR="00F05AB0">
        <w:rPr>
          <w:lang w:val="en-US"/>
        </w:rPr>
        <w:t>A9</w:t>
      </w:r>
      <w:r>
        <w:rPr>
          <w:lang w:val="en-US"/>
        </w:rPr>
        <w:t xml:space="preserve">: </w:t>
      </w:r>
      <w:r w:rsidR="00C2348D">
        <w:rPr>
          <w:lang w:val="en-US"/>
        </w:rPr>
        <w:t>Marginal effects of the types of semi-presidentialism and the PM’s dissolution power on the magnitude of non-partisan ministerial appointments</w:t>
      </w:r>
    </w:p>
    <w:p w14:paraId="22737541" w14:textId="149B24D6" w:rsidR="00381B88" w:rsidRDefault="00BD78BE" w:rsidP="00381B88">
      <w:pPr>
        <w:spacing w:line="360" w:lineRule="auto"/>
        <w:jc w:val="both"/>
        <w:rPr>
          <w:lang w:val="en-US"/>
        </w:rPr>
      </w:pPr>
      <w:r w:rsidRPr="00BD78BE">
        <w:rPr>
          <w:noProof/>
          <w:lang w:val="en-US"/>
        </w:rPr>
        <w:drawing>
          <wp:inline distT="0" distB="0" distL="0" distR="0" wp14:anchorId="1EE0D805" wp14:editId="68B5FF58">
            <wp:extent cx="6031230" cy="3618865"/>
            <wp:effectExtent l="0" t="0" r="1270" b="635"/>
            <wp:docPr id="8815929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9292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1A49D" w14:textId="2620F99E" w:rsidR="00572842" w:rsidRPr="00C51BBB" w:rsidRDefault="00572842" w:rsidP="00572842">
      <w:pPr>
        <w:spacing w:line="360" w:lineRule="auto"/>
        <w:jc w:val="both"/>
        <w:rPr>
          <w:lang w:val="en-US"/>
        </w:rPr>
      </w:pPr>
      <w:r w:rsidRPr="00C51BBB">
        <w:rPr>
          <w:lang w:val="en-US"/>
        </w:rPr>
        <w:t>Based on Table 7 (Model V, fractional part)</w:t>
      </w:r>
    </w:p>
    <w:p w14:paraId="68C27DF1" w14:textId="77777777" w:rsidR="004E04C1" w:rsidRDefault="004E04C1" w:rsidP="00D75D0B">
      <w:pPr>
        <w:spacing w:line="360" w:lineRule="auto"/>
        <w:jc w:val="both"/>
        <w:rPr>
          <w:lang w:val="en-US"/>
        </w:rPr>
      </w:pPr>
    </w:p>
    <w:p w14:paraId="378960C5" w14:textId="79984A68" w:rsidR="00F21852" w:rsidRDefault="00C10F52" w:rsidP="00F21852">
      <w:pPr>
        <w:pStyle w:val="textnormal"/>
        <w:widowControl w:val="0"/>
        <w:suppressAutoHyphens w:val="0"/>
        <w:adjustRightInd w:val="0"/>
        <w:snapToGrid w:val="0"/>
        <w:ind w:firstLine="360"/>
        <w:rPr>
          <w:sz w:val="24"/>
          <w:szCs w:val="24"/>
          <w:lang w:val="en-US"/>
        </w:rPr>
      </w:pPr>
      <w:r w:rsidRPr="00FF18C1">
        <w:rPr>
          <w:lang w:val="en-US"/>
        </w:rPr>
        <w:t xml:space="preserve">Finally, </w:t>
      </w:r>
      <w:r w:rsidR="00FF18C1" w:rsidRPr="00FF18C1">
        <w:rPr>
          <w:lang w:val="en-US"/>
        </w:rPr>
        <w:t xml:space="preserve">we </w:t>
      </w:r>
      <w:r w:rsidR="009B65D5">
        <w:rPr>
          <w:lang w:val="en-US"/>
        </w:rPr>
        <w:t xml:space="preserve">tested the effects of </w:t>
      </w:r>
      <w:r w:rsidR="00E545A4">
        <w:rPr>
          <w:lang w:val="en-US"/>
        </w:rPr>
        <w:t>the president’s power to dismiss cabinets</w:t>
      </w:r>
      <w:r w:rsidR="00F21852">
        <w:rPr>
          <w:lang w:val="en-US"/>
        </w:rPr>
        <w:t xml:space="preserve"> on non-partisan ministerial appointments. Such power is granted to </w:t>
      </w:r>
      <w:r w:rsidR="00F21852" w:rsidRPr="0077121B">
        <w:rPr>
          <w:sz w:val="24"/>
          <w:szCs w:val="24"/>
          <w:lang w:val="en-US"/>
        </w:rPr>
        <w:t xml:space="preserve">presidents in Austria, Iceland, and </w:t>
      </w:r>
      <w:r w:rsidR="00F21852">
        <w:rPr>
          <w:sz w:val="24"/>
          <w:szCs w:val="24"/>
          <w:lang w:val="en-US"/>
        </w:rPr>
        <w:t xml:space="preserve">(with different qualifications at different times) </w:t>
      </w:r>
      <w:r w:rsidR="00F21852" w:rsidRPr="0077121B">
        <w:rPr>
          <w:sz w:val="24"/>
          <w:szCs w:val="24"/>
          <w:lang w:val="en-US"/>
        </w:rPr>
        <w:t>Portugal</w:t>
      </w:r>
      <w:r w:rsidR="00F21852">
        <w:rPr>
          <w:sz w:val="24"/>
          <w:szCs w:val="24"/>
          <w:lang w:val="en-US"/>
        </w:rPr>
        <w:t>, for example</w:t>
      </w:r>
      <w:r w:rsidR="00F21852" w:rsidRPr="0077121B">
        <w:rPr>
          <w:sz w:val="24"/>
          <w:szCs w:val="24"/>
          <w:lang w:val="en-US"/>
        </w:rPr>
        <w:t xml:space="preserve">. Again, Austrian presidents have never used this power </w:t>
      </w:r>
      <w:r w:rsidR="008A7A19">
        <w:rPr>
          <w:sz w:val="24"/>
          <w:szCs w:val="24"/>
          <w:lang w:val="en-US"/>
        </w:rPr>
        <w:t>in</w:t>
      </w:r>
      <w:r w:rsidR="00F21852" w:rsidRPr="0077121B">
        <w:rPr>
          <w:sz w:val="24"/>
          <w:szCs w:val="24"/>
          <w:lang w:val="en-US"/>
        </w:rPr>
        <w:t xml:space="preserve"> </w:t>
      </w:r>
      <w:r w:rsidR="00F21852">
        <w:rPr>
          <w:sz w:val="24"/>
          <w:szCs w:val="24"/>
          <w:lang w:val="en-US"/>
        </w:rPr>
        <w:t>our</w:t>
      </w:r>
      <w:r w:rsidR="00F21852" w:rsidRPr="0077121B">
        <w:rPr>
          <w:sz w:val="24"/>
          <w:szCs w:val="24"/>
          <w:lang w:val="en-US"/>
        </w:rPr>
        <w:t xml:space="preserve"> observation period. In Portugal, the 1976 </w:t>
      </w:r>
      <w:r w:rsidR="00F21852">
        <w:rPr>
          <w:sz w:val="24"/>
          <w:szCs w:val="24"/>
          <w:lang w:val="en-US"/>
        </w:rPr>
        <w:t>c</w:t>
      </w:r>
      <w:r w:rsidR="00F21852" w:rsidRPr="0077121B">
        <w:rPr>
          <w:sz w:val="24"/>
          <w:szCs w:val="24"/>
          <w:lang w:val="en-US"/>
        </w:rPr>
        <w:t>onstitution</w:t>
      </w:r>
      <w:r w:rsidR="00F21852">
        <w:rPr>
          <w:sz w:val="24"/>
          <w:szCs w:val="24"/>
          <w:lang w:val="en-US"/>
        </w:rPr>
        <w:t xml:space="preserve"> granted </w:t>
      </w:r>
      <w:r w:rsidR="00F21852" w:rsidRPr="0077121B">
        <w:rPr>
          <w:sz w:val="24"/>
          <w:szCs w:val="24"/>
          <w:lang w:val="en-US"/>
        </w:rPr>
        <w:t xml:space="preserve">the president </w:t>
      </w:r>
      <w:r w:rsidR="00300C54">
        <w:rPr>
          <w:sz w:val="24"/>
          <w:szCs w:val="24"/>
          <w:lang w:val="en-US"/>
        </w:rPr>
        <w:t xml:space="preserve">the </w:t>
      </w:r>
      <w:r w:rsidR="00F21852">
        <w:rPr>
          <w:sz w:val="24"/>
          <w:szCs w:val="24"/>
          <w:lang w:val="en-US"/>
        </w:rPr>
        <w:t>power to</w:t>
      </w:r>
      <w:r w:rsidR="00F21852" w:rsidRPr="0077121B">
        <w:rPr>
          <w:sz w:val="24"/>
          <w:szCs w:val="24"/>
          <w:lang w:val="en-US"/>
        </w:rPr>
        <w:t xml:space="preserve"> force the cabinet to resign by withdrawing his confidence (Neto and </w:t>
      </w:r>
      <w:r w:rsidR="00F21852">
        <w:rPr>
          <w:sz w:val="24"/>
          <w:szCs w:val="24"/>
          <w:lang w:val="en-US"/>
        </w:rPr>
        <w:br/>
        <w:t xml:space="preserve">Costa </w:t>
      </w:r>
      <w:r w:rsidR="00F21852" w:rsidRPr="0077121B">
        <w:rPr>
          <w:sz w:val="24"/>
          <w:szCs w:val="24"/>
          <w:lang w:val="en-US"/>
        </w:rPr>
        <w:t>Lobo 2009, 238)</w:t>
      </w:r>
      <w:r w:rsidR="00F21852">
        <w:rPr>
          <w:sz w:val="24"/>
          <w:szCs w:val="24"/>
          <w:lang w:val="en-US"/>
        </w:rPr>
        <w:t xml:space="preserve">; that power was tempered in </w:t>
      </w:r>
      <w:r w:rsidR="00F21852" w:rsidRPr="0077121B">
        <w:rPr>
          <w:sz w:val="24"/>
          <w:szCs w:val="24"/>
          <w:lang w:val="en-US"/>
        </w:rPr>
        <w:t>1982</w:t>
      </w:r>
      <w:r w:rsidR="00F21852">
        <w:rPr>
          <w:sz w:val="24"/>
          <w:szCs w:val="24"/>
          <w:lang w:val="en-US"/>
        </w:rPr>
        <w:t>, allowing presidential dismissal of the</w:t>
      </w:r>
      <w:r w:rsidR="00F21852" w:rsidRPr="0077121B">
        <w:rPr>
          <w:sz w:val="24"/>
          <w:szCs w:val="24"/>
          <w:lang w:val="en-US"/>
        </w:rPr>
        <w:t xml:space="preserve"> government </w:t>
      </w:r>
      <w:r w:rsidR="00F21852">
        <w:rPr>
          <w:sz w:val="24"/>
          <w:szCs w:val="24"/>
          <w:lang w:val="en-US"/>
        </w:rPr>
        <w:t>only</w:t>
      </w:r>
      <w:r w:rsidR="00F21852" w:rsidRPr="0077121B">
        <w:rPr>
          <w:sz w:val="24"/>
          <w:szCs w:val="24"/>
          <w:lang w:val="en-US"/>
        </w:rPr>
        <w:t xml:space="preserve"> “to ensure the normal functioning of the democratic institutions and after first consulting the Council of State” (Portugal, Constitution, Article 195.2) (Neto and </w:t>
      </w:r>
      <w:r w:rsidR="00F21852">
        <w:rPr>
          <w:sz w:val="24"/>
          <w:szCs w:val="24"/>
          <w:lang w:val="en-US"/>
        </w:rPr>
        <w:t xml:space="preserve">Costa </w:t>
      </w:r>
      <w:r w:rsidR="00F21852" w:rsidRPr="0077121B">
        <w:rPr>
          <w:sz w:val="24"/>
          <w:szCs w:val="24"/>
          <w:lang w:val="en-US"/>
        </w:rPr>
        <w:t>Lobo 2009, 240; Grimaldi 2023</w:t>
      </w:r>
      <w:r w:rsidR="00F21852">
        <w:rPr>
          <w:sz w:val="24"/>
          <w:szCs w:val="24"/>
          <w:lang w:val="en-US"/>
        </w:rPr>
        <w:t>b</w:t>
      </w:r>
      <w:r w:rsidR="00F21852" w:rsidRPr="0077121B">
        <w:rPr>
          <w:sz w:val="24"/>
          <w:szCs w:val="24"/>
          <w:lang w:val="en-US"/>
        </w:rPr>
        <w:t>, 176).</w:t>
      </w:r>
    </w:p>
    <w:p w14:paraId="68A7C7CA" w14:textId="2039973E" w:rsidR="002E7943" w:rsidRDefault="006E0283" w:rsidP="002E7943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Using the president’s power to dismiss cabinets </w:t>
      </w:r>
      <w:r w:rsidR="00CA106F">
        <w:rPr>
          <w:lang w:val="en-US"/>
        </w:rPr>
        <w:t>suppo</w:t>
      </w:r>
      <w:r w:rsidR="00502252">
        <w:rPr>
          <w:lang w:val="en-US"/>
        </w:rPr>
        <w:t xml:space="preserve">rts our finding. The effect of the president’s dissolution powers </w:t>
      </w:r>
      <w:r w:rsidR="00AF5FF1">
        <w:rPr>
          <w:lang w:val="en-US"/>
        </w:rPr>
        <w:t>becomes</w:t>
      </w:r>
      <w:r w:rsidR="00502252">
        <w:rPr>
          <w:lang w:val="en-US"/>
        </w:rPr>
        <w:t xml:space="preserve"> even </w:t>
      </w:r>
      <w:r w:rsidR="00D37E1C">
        <w:rPr>
          <w:lang w:val="en-US"/>
        </w:rPr>
        <w:t xml:space="preserve">more significant than in our </w:t>
      </w:r>
      <w:r w:rsidR="001C6655">
        <w:rPr>
          <w:lang w:val="en-US"/>
        </w:rPr>
        <w:t xml:space="preserve">models without this </w:t>
      </w:r>
      <w:r w:rsidR="00AF5FF1">
        <w:rPr>
          <w:lang w:val="en-US"/>
        </w:rPr>
        <w:t>power</w:t>
      </w:r>
      <w:r w:rsidR="005B73AE">
        <w:rPr>
          <w:lang w:val="en-US"/>
        </w:rPr>
        <w:t xml:space="preserve"> (Table </w:t>
      </w:r>
      <w:r w:rsidR="005621FE">
        <w:rPr>
          <w:lang w:val="en-US"/>
        </w:rPr>
        <w:t>A3</w:t>
      </w:r>
      <w:r w:rsidR="005B73AE">
        <w:rPr>
          <w:lang w:val="en-US"/>
        </w:rPr>
        <w:t xml:space="preserve">, Figure </w:t>
      </w:r>
      <w:r w:rsidR="007E389B">
        <w:rPr>
          <w:lang w:val="en-US"/>
        </w:rPr>
        <w:t>A10-A11</w:t>
      </w:r>
      <w:r w:rsidR="004D0C54">
        <w:rPr>
          <w:lang w:val="en-US"/>
        </w:rPr>
        <w:t>).</w:t>
      </w:r>
      <w:r w:rsidR="002E7943">
        <w:rPr>
          <w:lang w:val="en-US"/>
        </w:rPr>
        <w:t xml:space="preserve"> </w:t>
      </w:r>
      <w:r w:rsidR="00300C54">
        <w:rPr>
          <w:lang w:val="en-US"/>
        </w:rPr>
        <w:t>The p</w:t>
      </w:r>
      <w:r w:rsidR="002E7943">
        <w:rPr>
          <w:lang w:val="en-US"/>
        </w:rPr>
        <w:t>residential</w:t>
      </w:r>
      <w:r w:rsidR="002E7943" w:rsidRPr="003F09DB">
        <w:rPr>
          <w:lang w:val="en-US"/>
        </w:rPr>
        <w:t xml:space="preserve"> power to dismiss </w:t>
      </w:r>
      <w:r w:rsidR="002E7943">
        <w:rPr>
          <w:lang w:val="en-US"/>
        </w:rPr>
        <w:t xml:space="preserve">the </w:t>
      </w:r>
      <w:r w:rsidR="002E7943" w:rsidRPr="003F09DB">
        <w:rPr>
          <w:lang w:val="en-US"/>
        </w:rPr>
        <w:t xml:space="preserve">PM </w:t>
      </w:r>
      <w:r w:rsidR="002E7943">
        <w:rPr>
          <w:lang w:val="en-US"/>
        </w:rPr>
        <w:t>and cabinet has no</w:t>
      </w:r>
      <w:r w:rsidR="002E7943" w:rsidRPr="003F09DB">
        <w:rPr>
          <w:lang w:val="en-US"/>
        </w:rPr>
        <w:t xml:space="preserve"> effect on </w:t>
      </w:r>
      <w:r w:rsidR="002E7943">
        <w:rPr>
          <w:lang w:val="en-US"/>
        </w:rPr>
        <w:t xml:space="preserve">the likelihood of </w:t>
      </w:r>
      <w:r w:rsidR="002E7943" w:rsidRPr="003F09DB">
        <w:rPr>
          <w:lang w:val="en-US"/>
        </w:rPr>
        <w:t xml:space="preserve">non-partisan appointments (Schleiter and Morgan-Jones 2010 </w:t>
      </w:r>
      <w:r w:rsidR="002E7943">
        <w:rPr>
          <w:lang w:val="en-US"/>
        </w:rPr>
        <w:t xml:space="preserve">also </w:t>
      </w:r>
      <w:r w:rsidR="002E7943" w:rsidRPr="003F09DB">
        <w:rPr>
          <w:lang w:val="en-US"/>
        </w:rPr>
        <w:t>found no effect</w:t>
      </w:r>
      <w:r w:rsidR="002E7943" w:rsidRPr="0044737F">
        <w:rPr>
          <w:color w:val="000000" w:themeColor="text1"/>
          <w:lang w:val="en-US"/>
        </w:rPr>
        <w:t xml:space="preserve">). It </w:t>
      </w:r>
      <w:r w:rsidR="00300C54">
        <w:rPr>
          <w:color w:val="000000" w:themeColor="text1"/>
          <w:lang w:val="en-US"/>
        </w:rPr>
        <w:t>goes into</w:t>
      </w:r>
      <w:r w:rsidR="002E7943" w:rsidRPr="0044737F">
        <w:rPr>
          <w:color w:val="000000" w:themeColor="text1"/>
          <w:lang w:val="en-US"/>
        </w:rPr>
        <w:t xml:space="preserve"> the expected direction for </w:t>
      </w:r>
      <w:r w:rsidR="00832ED4" w:rsidRPr="0044737F">
        <w:rPr>
          <w:color w:val="000000" w:themeColor="text1"/>
          <w:lang w:val="en-US"/>
        </w:rPr>
        <w:t>magnitude</w:t>
      </w:r>
      <w:r w:rsidR="00832ED4">
        <w:rPr>
          <w:color w:val="000000" w:themeColor="text1"/>
          <w:lang w:val="en-US"/>
        </w:rPr>
        <w:t xml:space="preserve"> but</w:t>
      </w:r>
      <w:r w:rsidR="002E7943" w:rsidRPr="0044737F">
        <w:rPr>
          <w:color w:val="000000" w:themeColor="text1"/>
          <w:lang w:val="en-US"/>
        </w:rPr>
        <w:t xml:space="preserve"> fails the marginality test. In general, this constitutional power is rare in European democracies (Table 1) and, in all cases, is granted in those </w:t>
      </w:r>
      <w:r w:rsidR="002E7943" w:rsidRPr="003F09DB">
        <w:rPr>
          <w:lang w:val="en-US"/>
        </w:rPr>
        <w:t xml:space="preserve">systems where presidents </w:t>
      </w:r>
      <w:r w:rsidR="002E7943">
        <w:rPr>
          <w:lang w:val="en-US"/>
        </w:rPr>
        <w:t xml:space="preserve">also </w:t>
      </w:r>
      <w:r w:rsidR="002E7943" w:rsidRPr="003F09DB">
        <w:rPr>
          <w:lang w:val="en-US"/>
        </w:rPr>
        <w:t>have discretiona</w:t>
      </w:r>
      <w:r w:rsidR="002E7943">
        <w:rPr>
          <w:lang w:val="en-US"/>
        </w:rPr>
        <w:t>ry</w:t>
      </w:r>
      <w:r w:rsidR="002E7943" w:rsidRPr="003F09DB">
        <w:rPr>
          <w:lang w:val="en-US"/>
        </w:rPr>
        <w:t xml:space="preserve"> dissolution power. </w:t>
      </w:r>
      <w:r w:rsidR="002E7943">
        <w:rPr>
          <w:lang w:val="en-US"/>
        </w:rPr>
        <w:t>The power to dissolve the parliament outweighs the effect of dismissing the cabinet. These</w:t>
      </w:r>
      <w:r w:rsidR="002E7943" w:rsidRPr="003F09DB">
        <w:rPr>
          <w:lang w:val="en-US"/>
        </w:rPr>
        <w:t xml:space="preserve"> two variables </w:t>
      </w:r>
      <w:r w:rsidR="002E7943">
        <w:rPr>
          <w:lang w:val="en-US"/>
        </w:rPr>
        <w:t xml:space="preserve">are able to </w:t>
      </w:r>
      <w:r w:rsidR="002E7943" w:rsidRPr="003F09DB">
        <w:rPr>
          <w:lang w:val="en-US"/>
        </w:rPr>
        <w:t xml:space="preserve">jointly capture the effect </w:t>
      </w:r>
      <w:r w:rsidR="002E7943">
        <w:rPr>
          <w:lang w:val="en-US"/>
        </w:rPr>
        <w:t xml:space="preserve">that previous, </w:t>
      </w:r>
      <w:r w:rsidR="002E7943" w:rsidRPr="003F09DB">
        <w:rPr>
          <w:lang w:val="en-US"/>
        </w:rPr>
        <w:t>less complex</w:t>
      </w:r>
      <w:r w:rsidR="002E7943">
        <w:rPr>
          <w:lang w:val="en-US"/>
        </w:rPr>
        <w:t>,</w:t>
      </w:r>
      <w:r w:rsidR="002E7943" w:rsidRPr="003F09DB">
        <w:rPr>
          <w:lang w:val="en-US"/>
        </w:rPr>
        <w:t xml:space="preserve"> model</w:t>
      </w:r>
      <w:r w:rsidR="002E7943">
        <w:rPr>
          <w:lang w:val="en-US"/>
        </w:rPr>
        <w:t>s</w:t>
      </w:r>
      <w:r w:rsidR="002E7943" w:rsidRPr="003F09DB">
        <w:rPr>
          <w:lang w:val="en-US"/>
        </w:rPr>
        <w:t xml:space="preserve"> attributed to semi-presidentialism</w:t>
      </w:r>
      <w:r w:rsidR="002E7943">
        <w:rPr>
          <w:lang w:val="en-US"/>
        </w:rPr>
        <w:t xml:space="preserve"> (for example, Tavits 2009, 51)</w:t>
      </w:r>
      <w:r w:rsidR="002E7943" w:rsidRPr="003F09DB">
        <w:rPr>
          <w:lang w:val="en-US"/>
        </w:rPr>
        <w:t>.</w:t>
      </w:r>
    </w:p>
    <w:p w14:paraId="65D3DF8B" w14:textId="07A87AEF" w:rsidR="000F4AA3" w:rsidRPr="00DB3B61" w:rsidRDefault="000F4AA3" w:rsidP="00F21852">
      <w:pPr>
        <w:pStyle w:val="textnormal"/>
        <w:widowControl w:val="0"/>
        <w:suppressAutoHyphens w:val="0"/>
        <w:adjustRightInd w:val="0"/>
        <w:snapToGrid w:val="0"/>
        <w:ind w:firstLine="360"/>
        <w:rPr>
          <w:sz w:val="24"/>
          <w:szCs w:val="24"/>
          <w:lang w:val="en-US"/>
        </w:rPr>
      </w:pPr>
    </w:p>
    <w:p w14:paraId="67B16581" w14:textId="2C522DCC" w:rsidR="0040153E" w:rsidRPr="00FF18C1" w:rsidRDefault="0040153E" w:rsidP="00D75D0B">
      <w:pPr>
        <w:spacing w:line="360" w:lineRule="auto"/>
        <w:jc w:val="both"/>
        <w:rPr>
          <w:lang w:val="en-US"/>
        </w:rPr>
      </w:pPr>
    </w:p>
    <w:p w14:paraId="3B797E9A" w14:textId="09D64A80" w:rsidR="000C6C41" w:rsidRPr="001A70BF" w:rsidRDefault="00AF5FF1" w:rsidP="000C6C41">
      <w:pPr>
        <w:rPr>
          <w:lang w:val="en-US"/>
        </w:rPr>
      </w:pPr>
      <w:r w:rsidRPr="001A70BF">
        <w:rPr>
          <w:lang w:val="en-US"/>
        </w:rPr>
        <w:t xml:space="preserve">Table </w:t>
      </w:r>
      <w:r w:rsidR="008214B8">
        <w:rPr>
          <w:lang w:val="en-US"/>
        </w:rPr>
        <w:t>A3</w:t>
      </w:r>
      <w:r w:rsidRPr="001A70BF">
        <w:rPr>
          <w:lang w:val="en-US"/>
        </w:rPr>
        <w:t xml:space="preserve">: The effects of </w:t>
      </w:r>
      <w:r w:rsidR="001A70BF">
        <w:rPr>
          <w:lang w:val="en-US"/>
        </w:rPr>
        <w:t>constitutional and institutional factors on the likelihood and magnitude of non-partisan appointments</w:t>
      </w:r>
    </w:p>
    <w:tbl>
      <w:tblPr>
        <w:tblStyle w:val="TableGrid"/>
        <w:tblW w:w="5421" w:type="dxa"/>
        <w:tblLook w:val="04A0" w:firstRow="1" w:lastRow="0" w:firstColumn="1" w:lastColumn="0" w:noHBand="0" w:noVBand="1"/>
      </w:tblPr>
      <w:tblGrid>
        <w:gridCol w:w="2019"/>
        <w:gridCol w:w="1560"/>
        <w:gridCol w:w="1842"/>
      </w:tblGrid>
      <w:tr w:rsidR="000C6C41" w:rsidRPr="0093411E" w14:paraId="2681D043" w14:textId="77777777" w:rsidTr="000C6C41">
        <w:trPr>
          <w:trHeight w:val="401"/>
        </w:trPr>
        <w:tc>
          <w:tcPr>
            <w:tcW w:w="2019" w:type="dxa"/>
          </w:tcPr>
          <w:p w14:paraId="3EFAB762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Determinants</w:t>
            </w:r>
          </w:p>
        </w:tc>
        <w:tc>
          <w:tcPr>
            <w:tcW w:w="3402" w:type="dxa"/>
            <w:gridSpan w:val="2"/>
          </w:tcPr>
          <w:p w14:paraId="1C91F572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93411E">
              <w:rPr>
                <w:lang w:val="en-US"/>
              </w:rPr>
              <w:t>Model II</w:t>
            </w:r>
          </w:p>
        </w:tc>
      </w:tr>
      <w:tr w:rsidR="000C6C41" w:rsidRPr="0093411E" w14:paraId="0B252960" w14:textId="77777777" w:rsidTr="000C6C41">
        <w:tc>
          <w:tcPr>
            <w:tcW w:w="2019" w:type="dxa"/>
          </w:tcPr>
          <w:p w14:paraId="5D1F5681" w14:textId="77777777" w:rsidR="000C6C41" w:rsidRPr="0093411E" w:rsidRDefault="000C6C41" w:rsidP="00506281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7AB38421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Presence</w:t>
            </w:r>
          </w:p>
          <w:p w14:paraId="53E0CCA4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(Binary part)</w:t>
            </w:r>
          </w:p>
        </w:tc>
        <w:tc>
          <w:tcPr>
            <w:tcW w:w="1842" w:type="dxa"/>
          </w:tcPr>
          <w:p w14:paraId="721783B8" w14:textId="77777777" w:rsidR="000C6C41" w:rsidRPr="0093411E" w:rsidRDefault="000C6C41" w:rsidP="00506281">
            <w:pPr>
              <w:jc w:val="center"/>
              <w:rPr>
                <w:lang w:val="en-US"/>
              </w:rPr>
            </w:pPr>
            <w:r w:rsidRPr="0093411E">
              <w:rPr>
                <w:lang w:val="en-US"/>
              </w:rPr>
              <w:t>Magnitude (Fractional part)</w:t>
            </w:r>
          </w:p>
        </w:tc>
      </w:tr>
      <w:tr w:rsidR="000C6C41" w:rsidRPr="0093411E" w14:paraId="27D47128" w14:textId="77777777" w:rsidTr="000C6C41">
        <w:tc>
          <w:tcPr>
            <w:tcW w:w="2019" w:type="dxa"/>
          </w:tcPr>
          <w:p w14:paraId="2BB10159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Popularly elected president</w:t>
            </w:r>
          </w:p>
        </w:tc>
        <w:tc>
          <w:tcPr>
            <w:tcW w:w="1560" w:type="dxa"/>
          </w:tcPr>
          <w:p w14:paraId="19EBA7D8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1.14***</w:t>
            </w:r>
          </w:p>
          <w:p w14:paraId="0092C065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(0.30)</w:t>
            </w:r>
          </w:p>
        </w:tc>
        <w:tc>
          <w:tcPr>
            <w:tcW w:w="1842" w:type="dxa"/>
          </w:tcPr>
          <w:p w14:paraId="18EB9BA4" w14:textId="77777777" w:rsidR="000C6C41" w:rsidRDefault="000C6C41" w:rsidP="00506281">
            <w:pPr>
              <w:jc w:val="center"/>
              <w:rPr>
                <w:lang w:val="en-US"/>
              </w:rPr>
            </w:pPr>
            <w:r w:rsidRPr="00B246EC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.0</w:t>
            </w:r>
            <w:r>
              <w:rPr>
                <w:lang w:val="en-US"/>
              </w:rPr>
              <w:t>8</w:t>
            </w:r>
          </w:p>
          <w:p w14:paraId="21BE97DB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.09</w:t>
            </w:r>
            <w:r>
              <w:rPr>
                <w:lang w:val="en-US"/>
              </w:rPr>
              <w:t>)</w:t>
            </w:r>
          </w:p>
        </w:tc>
      </w:tr>
      <w:tr w:rsidR="000C6C41" w:rsidRPr="0093411E" w14:paraId="176109FB" w14:textId="77777777" w:rsidTr="000C6C41">
        <w:tc>
          <w:tcPr>
            <w:tcW w:w="2019" w:type="dxa"/>
          </w:tcPr>
          <w:p w14:paraId="1C05DD65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PM’s dissolution power</w:t>
            </w:r>
          </w:p>
        </w:tc>
        <w:tc>
          <w:tcPr>
            <w:tcW w:w="1560" w:type="dxa"/>
          </w:tcPr>
          <w:p w14:paraId="0A48CC7C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-0.52</w:t>
            </w:r>
          </w:p>
          <w:p w14:paraId="25D97921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(0.58)</w:t>
            </w:r>
          </w:p>
        </w:tc>
        <w:tc>
          <w:tcPr>
            <w:tcW w:w="1842" w:type="dxa"/>
          </w:tcPr>
          <w:p w14:paraId="2308B6CA" w14:textId="77777777" w:rsidR="000C6C41" w:rsidRDefault="000C6C41" w:rsidP="00506281">
            <w:pPr>
              <w:jc w:val="center"/>
              <w:rPr>
                <w:lang w:val="en-US"/>
              </w:rPr>
            </w:pPr>
            <w:r w:rsidRPr="00B246EC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.23</w:t>
            </w:r>
            <w:r>
              <w:rPr>
                <w:lang w:val="en-US"/>
              </w:rPr>
              <w:t>*</w:t>
            </w:r>
          </w:p>
          <w:p w14:paraId="20592805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.09</w:t>
            </w:r>
            <w:r>
              <w:rPr>
                <w:lang w:val="en-US"/>
              </w:rPr>
              <w:t>)</w:t>
            </w:r>
          </w:p>
        </w:tc>
      </w:tr>
      <w:tr w:rsidR="000C6C41" w:rsidRPr="0093411E" w14:paraId="4A5A6949" w14:textId="77777777" w:rsidTr="000C6C41">
        <w:tc>
          <w:tcPr>
            <w:tcW w:w="2019" w:type="dxa"/>
          </w:tcPr>
          <w:p w14:paraId="00C8A493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 xml:space="preserve">President’s dissolution power </w:t>
            </w:r>
          </w:p>
        </w:tc>
        <w:tc>
          <w:tcPr>
            <w:tcW w:w="1560" w:type="dxa"/>
          </w:tcPr>
          <w:p w14:paraId="65A193C0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1.05*</w:t>
            </w:r>
          </w:p>
          <w:p w14:paraId="02AE234A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(0.48)</w:t>
            </w:r>
          </w:p>
        </w:tc>
        <w:tc>
          <w:tcPr>
            <w:tcW w:w="1842" w:type="dxa"/>
          </w:tcPr>
          <w:p w14:paraId="6D8C8EFE" w14:textId="77777777" w:rsidR="000C6C41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.26</w:t>
            </w:r>
            <w:r>
              <w:rPr>
                <w:lang w:val="en-US"/>
              </w:rPr>
              <w:t>*</w:t>
            </w:r>
          </w:p>
          <w:p w14:paraId="4456A08F" w14:textId="77777777" w:rsidR="000C6C41" w:rsidRPr="0093411E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.1</w:t>
            </w:r>
            <w:r>
              <w:rPr>
                <w:lang w:val="en-US"/>
              </w:rPr>
              <w:t>2)</w:t>
            </w:r>
          </w:p>
        </w:tc>
      </w:tr>
      <w:tr w:rsidR="000C6C41" w:rsidRPr="0093411E" w14:paraId="6AF46E6B" w14:textId="77777777" w:rsidTr="000C6C41">
        <w:tc>
          <w:tcPr>
            <w:tcW w:w="2019" w:type="dxa"/>
          </w:tcPr>
          <w:p w14:paraId="0985FF79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President’s cabinet dismissal power</w:t>
            </w:r>
          </w:p>
        </w:tc>
        <w:tc>
          <w:tcPr>
            <w:tcW w:w="1560" w:type="dxa"/>
          </w:tcPr>
          <w:p w14:paraId="06B623FF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-0.55</w:t>
            </w:r>
          </w:p>
          <w:p w14:paraId="148F9D25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(0.87)</w:t>
            </w:r>
          </w:p>
        </w:tc>
        <w:tc>
          <w:tcPr>
            <w:tcW w:w="1842" w:type="dxa"/>
          </w:tcPr>
          <w:p w14:paraId="648C4E0F" w14:textId="77777777" w:rsidR="000C6C41" w:rsidRDefault="000C6C41" w:rsidP="00506281">
            <w:pPr>
              <w:jc w:val="center"/>
              <w:rPr>
                <w:lang w:val="en-US"/>
              </w:rPr>
            </w:pPr>
            <w:r w:rsidRPr="00B246EC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.2</w:t>
            </w:r>
            <w:r>
              <w:rPr>
                <w:lang w:val="en-US"/>
              </w:rPr>
              <w:t>2</w:t>
            </w:r>
          </w:p>
          <w:p w14:paraId="759B896F" w14:textId="77777777" w:rsidR="000C6C41" w:rsidRPr="0093411E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.11</w:t>
            </w:r>
            <w:r>
              <w:rPr>
                <w:lang w:val="en-US"/>
              </w:rPr>
              <w:t>)</w:t>
            </w:r>
          </w:p>
        </w:tc>
      </w:tr>
      <w:tr w:rsidR="000C6C41" w:rsidRPr="0093411E" w14:paraId="196DFCEB" w14:textId="77777777" w:rsidTr="000C6C41">
        <w:tc>
          <w:tcPr>
            <w:tcW w:w="2019" w:type="dxa"/>
          </w:tcPr>
          <w:p w14:paraId="3E3CEBE4" w14:textId="77777777" w:rsidR="000C6C41" w:rsidRPr="0093411E" w:rsidRDefault="000C6C41" w:rsidP="00506281">
            <w:pPr>
              <w:rPr>
                <w:i/>
                <w:iCs/>
                <w:lang w:val="en-US"/>
              </w:rPr>
            </w:pPr>
            <w:r w:rsidRPr="0093411E">
              <w:rPr>
                <w:i/>
                <w:iCs/>
                <w:lang w:val="en-US"/>
              </w:rPr>
              <w:t>Control variables</w:t>
            </w:r>
          </w:p>
        </w:tc>
        <w:tc>
          <w:tcPr>
            <w:tcW w:w="1560" w:type="dxa"/>
          </w:tcPr>
          <w:p w14:paraId="774444F3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2" w:type="dxa"/>
          </w:tcPr>
          <w:p w14:paraId="111623F4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</w:p>
        </w:tc>
      </w:tr>
      <w:tr w:rsidR="000C6C41" w:rsidRPr="0093411E" w14:paraId="385428A9" w14:textId="77777777" w:rsidTr="000C6C41">
        <w:tc>
          <w:tcPr>
            <w:tcW w:w="2019" w:type="dxa"/>
          </w:tcPr>
          <w:p w14:paraId="2B8C7C78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Minority cabinet</w:t>
            </w:r>
          </w:p>
          <w:p w14:paraId="478FCACE" w14:textId="77777777" w:rsidR="000C6C41" w:rsidRPr="0093411E" w:rsidRDefault="000C6C41" w:rsidP="00506281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3532A8EA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0.84***</w:t>
            </w:r>
          </w:p>
          <w:p w14:paraId="7386DDB7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(0.23)</w:t>
            </w:r>
          </w:p>
        </w:tc>
        <w:tc>
          <w:tcPr>
            <w:tcW w:w="1842" w:type="dxa"/>
          </w:tcPr>
          <w:p w14:paraId="17F4A4FA" w14:textId="77777777" w:rsidR="000C6C41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</w:p>
          <w:p w14:paraId="1F69C917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.06</w:t>
            </w:r>
            <w:r>
              <w:rPr>
                <w:lang w:val="en-US"/>
              </w:rPr>
              <w:t>)</w:t>
            </w:r>
          </w:p>
        </w:tc>
      </w:tr>
      <w:tr w:rsidR="000C6C41" w:rsidRPr="0093411E" w14:paraId="77D2B9E1" w14:textId="77777777" w:rsidTr="000C6C41">
        <w:tc>
          <w:tcPr>
            <w:tcW w:w="2019" w:type="dxa"/>
          </w:tcPr>
          <w:p w14:paraId="0FA8A2CE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Caretaker cabinet</w:t>
            </w:r>
          </w:p>
          <w:p w14:paraId="537A7048" w14:textId="77777777" w:rsidR="000C6C41" w:rsidRPr="0093411E" w:rsidRDefault="000C6C41" w:rsidP="00506281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78CBB4FA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1.46**</w:t>
            </w:r>
          </w:p>
          <w:p w14:paraId="39EACE23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(0.54)</w:t>
            </w:r>
          </w:p>
        </w:tc>
        <w:tc>
          <w:tcPr>
            <w:tcW w:w="1842" w:type="dxa"/>
          </w:tcPr>
          <w:p w14:paraId="7FF2DD2B" w14:textId="77777777" w:rsidR="000C6C41" w:rsidRDefault="000C6C41" w:rsidP="00506281">
            <w:pPr>
              <w:jc w:val="center"/>
              <w:rPr>
                <w:lang w:val="en-US"/>
              </w:rPr>
            </w:pPr>
            <w:r w:rsidRPr="00B246EC">
              <w:rPr>
                <w:lang w:val="en-US"/>
              </w:rPr>
              <w:t>1.12</w:t>
            </w:r>
            <w:r>
              <w:rPr>
                <w:lang w:val="en-US"/>
              </w:rPr>
              <w:t>***</w:t>
            </w:r>
          </w:p>
          <w:p w14:paraId="231BAD43" w14:textId="77777777" w:rsidR="000C6C41" w:rsidRPr="00EA3863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.30</w:t>
            </w:r>
            <w:r>
              <w:rPr>
                <w:lang w:val="en-US"/>
              </w:rPr>
              <w:t>)</w:t>
            </w:r>
          </w:p>
        </w:tc>
      </w:tr>
      <w:tr w:rsidR="000C6C41" w:rsidRPr="0093411E" w14:paraId="6EF4EA79" w14:textId="77777777" w:rsidTr="000C6C41">
        <w:tc>
          <w:tcPr>
            <w:tcW w:w="2019" w:type="dxa"/>
          </w:tcPr>
          <w:p w14:paraId="6A31E512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Cohabitation</w:t>
            </w:r>
          </w:p>
          <w:p w14:paraId="172DD8F4" w14:textId="77777777" w:rsidR="000C6C41" w:rsidRPr="0093411E" w:rsidRDefault="000C6C41" w:rsidP="00506281">
            <w:pPr>
              <w:rPr>
                <w:lang w:val="en-US"/>
              </w:rPr>
            </w:pPr>
          </w:p>
        </w:tc>
        <w:tc>
          <w:tcPr>
            <w:tcW w:w="1560" w:type="dxa"/>
          </w:tcPr>
          <w:p w14:paraId="55B5C861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0.50</w:t>
            </w:r>
          </w:p>
          <w:p w14:paraId="39D507EE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(0.28)</w:t>
            </w:r>
          </w:p>
        </w:tc>
        <w:tc>
          <w:tcPr>
            <w:tcW w:w="1842" w:type="dxa"/>
          </w:tcPr>
          <w:p w14:paraId="3C9E155F" w14:textId="77777777" w:rsidR="000C6C41" w:rsidRDefault="000C6C41" w:rsidP="00506281">
            <w:pPr>
              <w:jc w:val="center"/>
              <w:rPr>
                <w:lang w:val="en-US"/>
              </w:rPr>
            </w:pPr>
            <w:r w:rsidRPr="00B246EC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.0</w:t>
            </w:r>
            <w:r>
              <w:rPr>
                <w:lang w:val="en-US"/>
              </w:rPr>
              <w:t>8</w:t>
            </w:r>
          </w:p>
          <w:p w14:paraId="17A6A42C" w14:textId="77777777" w:rsidR="000C6C41" w:rsidRPr="00F343A6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.06</w:t>
            </w:r>
            <w:r>
              <w:rPr>
                <w:lang w:val="en-US"/>
              </w:rPr>
              <w:t>)</w:t>
            </w:r>
          </w:p>
        </w:tc>
      </w:tr>
      <w:tr w:rsidR="000C6C41" w:rsidRPr="0093411E" w14:paraId="7218F5EF" w14:textId="77777777" w:rsidTr="000C6C41">
        <w:tc>
          <w:tcPr>
            <w:tcW w:w="2019" w:type="dxa"/>
          </w:tcPr>
          <w:p w14:paraId="44D41087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Party</w:t>
            </w:r>
            <w:r>
              <w:rPr>
                <w:lang w:val="en-US"/>
              </w:rPr>
              <w:t>-</w:t>
            </w:r>
            <w:r w:rsidRPr="0093411E">
              <w:rPr>
                <w:lang w:val="en-US"/>
              </w:rPr>
              <w:t>system fractionalization</w:t>
            </w:r>
          </w:p>
        </w:tc>
        <w:tc>
          <w:tcPr>
            <w:tcW w:w="1560" w:type="dxa"/>
          </w:tcPr>
          <w:p w14:paraId="4B25E8D8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-0.08</w:t>
            </w:r>
          </w:p>
          <w:p w14:paraId="08627AB1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(0.10)</w:t>
            </w:r>
          </w:p>
        </w:tc>
        <w:tc>
          <w:tcPr>
            <w:tcW w:w="1842" w:type="dxa"/>
          </w:tcPr>
          <w:p w14:paraId="45099212" w14:textId="77777777" w:rsidR="000C6C41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.06</w:t>
            </w:r>
            <w:r>
              <w:rPr>
                <w:lang w:val="en-US"/>
              </w:rPr>
              <w:t>**</w:t>
            </w:r>
          </w:p>
          <w:p w14:paraId="1B35981B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.0</w:t>
            </w:r>
            <w:r>
              <w:rPr>
                <w:lang w:val="en-US"/>
              </w:rPr>
              <w:t>2)</w:t>
            </w:r>
          </w:p>
        </w:tc>
      </w:tr>
      <w:tr w:rsidR="000C6C41" w:rsidRPr="0093411E" w14:paraId="1C59A08A" w14:textId="77777777" w:rsidTr="000C6C41">
        <w:tc>
          <w:tcPr>
            <w:tcW w:w="2019" w:type="dxa"/>
          </w:tcPr>
          <w:p w14:paraId="429FBF85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Number of coalition partners</w:t>
            </w:r>
          </w:p>
        </w:tc>
        <w:tc>
          <w:tcPr>
            <w:tcW w:w="1560" w:type="dxa"/>
          </w:tcPr>
          <w:p w14:paraId="16A5FB99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0.23*</w:t>
            </w:r>
          </w:p>
          <w:p w14:paraId="78B1D4C6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(0.11)</w:t>
            </w:r>
          </w:p>
        </w:tc>
        <w:tc>
          <w:tcPr>
            <w:tcW w:w="1842" w:type="dxa"/>
          </w:tcPr>
          <w:p w14:paraId="593CB8F9" w14:textId="77777777" w:rsidR="000C6C41" w:rsidRDefault="000C6C41" w:rsidP="00506281">
            <w:pPr>
              <w:jc w:val="center"/>
              <w:rPr>
                <w:lang w:val="en-US"/>
              </w:rPr>
            </w:pPr>
            <w:r w:rsidRPr="00B246EC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.12</w:t>
            </w:r>
            <w:r>
              <w:rPr>
                <w:lang w:val="en-US"/>
              </w:rPr>
              <w:t>**</w:t>
            </w:r>
          </w:p>
          <w:p w14:paraId="09910AD7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.04</w:t>
            </w:r>
            <w:r>
              <w:rPr>
                <w:lang w:val="en-US"/>
              </w:rPr>
              <w:t>)</w:t>
            </w:r>
          </w:p>
        </w:tc>
      </w:tr>
      <w:tr w:rsidR="000C6C41" w:rsidRPr="00C5346C" w14:paraId="569262E8" w14:textId="77777777" w:rsidTr="000C6C41">
        <w:tc>
          <w:tcPr>
            <w:tcW w:w="2019" w:type="dxa"/>
          </w:tcPr>
          <w:p w14:paraId="35709E15" w14:textId="77777777" w:rsidR="000C6C41" w:rsidRPr="00C5346C" w:rsidRDefault="000C6C41" w:rsidP="00506281">
            <w:pPr>
              <w:rPr>
                <w:color w:val="FF0000"/>
                <w:lang w:val="en-US"/>
              </w:rPr>
            </w:pPr>
            <w:r w:rsidRPr="00CA4B4E">
              <w:rPr>
                <w:lang w:val="en-US"/>
              </w:rPr>
              <w:t>Proportional electoral system</w:t>
            </w:r>
          </w:p>
        </w:tc>
        <w:tc>
          <w:tcPr>
            <w:tcW w:w="1560" w:type="dxa"/>
          </w:tcPr>
          <w:p w14:paraId="2185D2E0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-1.32*</w:t>
            </w:r>
          </w:p>
          <w:p w14:paraId="25F7AB53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(0.57)</w:t>
            </w:r>
          </w:p>
        </w:tc>
        <w:tc>
          <w:tcPr>
            <w:tcW w:w="1842" w:type="dxa"/>
          </w:tcPr>
          <w:p w14:paraId="297461BA" w14:textId="77777777" w:rsidR="000C6C41" w:rsidRDefault="000C6C41" w:rsidP="00506281">
            <w:pPr>
              <w:jc w:val="center"/>
              <w:rPr>
                <w:lang w:val="en-US"/>
              </w:rPr>
            </w:pPr>
            <w:r w:rsidRPr="00B246EC">
              <w:rPr>
                <w:lang w:val="en-US"/>
              </w:rPr>
              <w:t>-</w:t>
            </w: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.08</w:t>
            </w:r>
          </w:p>
          <w:p w14:paraId="70D5D67D" w14:textId="77777777" w:rsidR="000C6C41" w:rsidRPr="00C5346C" w:rsidRDefault="000C6C41" w:rsidP="00506281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.0</w:t>
            </w:r>
            <w:r>
              <w:rPr>
                <w:lang w:val="en-US"/>
              </w:rPr>
              <w:t>8)</w:t>
            </w:r>
          </w:p>
        </w:tc>
      </w:tr>
      <w:tr w:rsidR="000C6C41" w:rsidRPr="0093411E" w14:paraId="7298DA71" w14:textId="77777777" w:rsidTr="000C6C41">
        <w:tc>
          <w:tcPr>
            <w:tcW w:w="2019" w:type="dxa"/>
          </w:tcPr>
          <w:p w14:paraId="48E954E4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Party institutionalization</w:t>
            </w:r>
          </w:p>
        </w:tc>
        <w:tc>
          <w:tcPr>
            <w:tcW w:w="1560" w:type="dxa"/>
          </w:tcPr>
          <w:p w14:paraId="3FF209C7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3.72</w:t>
            </w:r>
          </w:p>
          <w:p w14:paraId="436DEE96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(2.58)</w:t>
            </w:r>
          </w:p>
        </w:tc>
        <w:tc>
          <w:tcPr>
            <w:tcW w:w="1842" w:type="dxa"/>
          </w:tcPr>
          <w:p w14:paraId="6B66BB6B" w14:textId="77777777" w:rsidR="000C6C41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.3</w:t>
            </w:r>
            <w:r>
              <w:rPr>
                <w:lang w:val="en-US"/>
              </w:rPr>
              <w:t>5</w:t>
            </w:r>
          </w:p>
          <w:p w14:paraId="5F30EA49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.6</w:t>
            </w:r>
            <w:r>
              <w:rPr>
                <w:lang w:val="en-US"/>
              </w:rPr>
              <w:t>6)</w:t>
            </w:r>
          </w:p>
        </w:tc>
      </w:tr>
      <w:tr w:rsidR="000C6C41" w:rsidRPr="0093411E" w14:paraId="35AFB023" w14:textId="77777777" w:rsidTr="000C6C41">
        <w:tc>
          <w:tcPr>
            <w:tcW w:w="2019" w:type="dxa"/>
          </w:tcPr>
          <w:p w14:paraId="6D011EC7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Bicameralism</w:t>
            </w:r>
          </w:p>
        </w:tc>
        <w:tc>
          <w:tcPr>
            <w:tcW w:w="1560" w:type="dxa"/>
          </w:tcPr>
          <w:p w14:paraId="7260D935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0.29</w:t>
            </w:r>
          </w:p>
          <w:p w14:paraId="0879AFAF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(0.29)</w:t>
            </w:r>
          </w:p>
        </w:tc>
        <w:tc>
          <w:tcPr>
            <w:tcW w:w="1842" w:type="dxa"/>
          </w:tcPr>
          <w:p w14:paraId="3F556F91" w14:textId="77777777" w:rsidR="000C6C41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.0</w:t>
            </w:r>
            <w:r>
              <w:rPr>
                <w:lang w:val="en-US"/>
              </w:rPr>
              <w:t>1</w:t>
            </w:r>
          </w:p>
          <w:p w14:paraId="4BA5E0D9" w14:textId="77777777" w:rsidR="000C6C41" w:rsidRPr="0093411E" w:rsidRDefault="000C6C41" w:rsidP="00506281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.09</w:t>
            </w:r>
            <w:r>
              <w:rPr>
                <w:lang w:val="en-US"/>
              </w:rPr>
              <w:t>)</w:t>
            </w:r>
          </w:p>
        </w:tc>
      </w:tr>
      <w:tr w:rsidR="000C6C41" w:rsidRPr="00404CFA" w14:paraId="7B13B08C" w14:textId="77777777" w:rsidTr="000C6C41">
        <w:tc>
          <w:tcPr>
            <w:tcW w:w="2019" w:type="dxa"/>
          </w:tcPr>
          <w:p w14:paraId="3004F73F" w14:textId="77777777" w:rsidR="000C6C41" w:rsidRDefault="000C6C41" w:rsidP="00506281">
            <w:pPr>
              <w:rPr>
                <w:lang w:val="en-US"/>
              </w:rPr>
            </w:pPr>
            <w:r w:rsidRPr="008C31D4">
              <w:rPr>
                <w:lang w:val="en-US"/>
              </w:rPr>
              <w:t>Age of democracy</w:t>
            </w:r>
          </w:p>
          <w:p w14:paraId="498DFF22" w14:textId="77777777" w:rsidR="000C6C41" w:rsidRPr="004C785B" w:rsidRDefault="000C6C41" w:rsidP="00506281">
            <w:pPr>
              <w:rPr>
                <w:lang w:val="en-US"/>
              </w:rPr>
            </w:pPr>
            <w:r>
              <w:rPr>
                <w:lang w:val="en-US"/>
              </w:rPr>
              <w:t>(=third wave)</w:t>
            </w:r>
          </w:p>
        </w:tc>
        <w:tc>
          <w:tcPr>
            <w:tcW w:w="1560" w:type="dxa"/>
          </w:tcPr>
          <w:p w14:paraId="7D50DA6E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2.75***</w:t>
            </w:r>
          </w:p>
          <w:p w14:paraId="21D8A9D2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(0.51)</w:t>
            </w:r>
          </w:p>
        </w:tc>
        <w:tc>
          <w:tcPr>
            <w:tcW w:w="1842" w:type="dxa"/>
          </w:tcPr>
          <w:p w14:paraId="0FF79A82" w14:textId="77777777" w:rsidR="000C6C41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B246EC">
              <w:rPr>
                <w:lang w:val="en-US"/>
              </w:rPr>
              <w:t>.3</w:t>
            </w:r>
            <w:r>
              <w:rPr>
                <w:lang w:val="en-US"/>
              </w:rPr>
              <w:t>8***</w:t>
            </w:r>
          </w:p>
          <w:p w14:paraId="28EF3010" w14:textId="77777777" w:rsidR="000C6C41" w:rsidRPr="00404CFA" w:rsidRDefault="000C6C41" w:rsidP="00506281">
            <w:pPr>
              <w:jc w:val="center"/>
              <w:rPr>
                <w:highlight w:val="red"/>
                <w:lang w:val="en-US"/>
              </w:rPr>
            </w:pPr>
            <w:r>
              <w:rPr>
                <w:lang w:val="en-US"/>
              </w:rPr>
              <w:t>(0</w:t>
            </w:r>
            <w:r w:rsidRPr="00B246EC">
              <w:rPr>
                <w:lang w:val="en-US"/>
              </w:rPr>
              <w:t>.1</w:t>
            </w:r>
            <w:r>
              <w:rPr>
                <w:lang w:val="en-US"/>
              </w:rPr>
              <w:t>1)</w:t>
            </w:r>
          </w:p>
        </w:tc>
      </w:tr>
      <w:tr w:rsidR="000C6C41" w:rsidRPr="0093411E" w14:paraId="340163EE" w14:textId="77777777" w:rsidTr="000C6C41">
        <w:tc>
          <w:tcPr>
            <w:tcW w:w="2019" w:type="dxa"/>
          </w:tcPr>
          <w:p w14:paraId="3D68E9CA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N observations</w:t>
            </w:r>
          </w:p>
        </w:tc>
        <w:tc>
          <w:tcPr>
            <w:tcW w:w="1560" w:type="dxa"/>
          </w:tcPr>
          <w:p w14:paraId="2389D366" w14:textId="77777777" w:rsidR="000C6C41" w:rsidRPr="00271910" w:rsidRDefault="000C6C41" w:rsidP="00506281">
            <w:pPr>
              <w:jc w:val="center"/>
              <w:rPr>
                <w:color w:val="FF0000"/>
                <w:lang w:val="en-US"/>
              </w:rPr>
            </w:pPr>
            <w:r w:rsidRPr="00271910">
              <w:rPr>
                <w:lang w:val="en-US"/>
              </w:rPr>
              <w:t>975</w:t>
            </w:r>
          </w:p>
        </w:tc>
        <w:tc>
          <w:tcPr>
            <w:tcW w:w="1842" w:type="dxa"/>
          </w:tcPr>
          <w:p w14:paraId="797FB9A2" w14:textId="77777777" w:rsidR="000C6C41" w:rsidRPr="0093411E" w:rsidRDefault="000C6C41" w:rsidP="00506281">
            <w:pPr>
              <w:jc w:val="center"/>
              <w:rPr>
                <w:lang w:val="en-US"/>
              </w:rPr>
            </w:pPr>
            <w:r w:rsidRPr="002012B3">
              <w:rPr>
                <w:lang w:val="en-US"/>
              </w:rPr>
              <w:t>435</w:t>
            </w:r>
          </w:p>
        </w:tc>
      </w:tr>
      <w:tr w:rsidR="000C6C41" w:rsidRPr="0077121B" w14:paraId="085616CA" w14:textId="77777777" w:rsidTr="000C6C41">
        <w:tc>
          <w:tcPr>
            <w:tcW w:w="2019" w:type="dxa"/>
          </w:tcPr>
          <w:p w14:paraId="3463607A" w14:textId="77777777" w:rsidR="000C6C41" w:rsidRPr="0093411E" w:rsidRDefault="000C6C41" w:rsidP="00506281">
            <w:pPr>
              <w:rPr>
                <w:lang w:val="en-US"/>
              </w:rPr>
            </w:pPr>
            <w:r>
              <w:rPr>
                <w:lang w:val="en-US"/>
              </w:rPr>
              <w:t>N of countries</w:t>
            </w:r>
          </w:p>
        </w:tc>
        <w:tc>
          <w:tcPr>
            <w:tcW w:w="1560" w:type="dxa"/>
          </w:tcPr>
          <w:p w14:paraId="3431A384" w14:textId="77777777" w:rsidR="000C6C41" w:rsidRPr="00271910" w:rsidRDefault="000C6C41" w:rsidP="00506281">
            <w:pPr>
              <w:jc w:val="center"/>
              <w:rPr>
                <w:lang w:val="en-US"/>
              </w:rPr>
            </w:pPr>
            <w:r w:rsidRPr="00271910">
              <w:rPr>
                <w:lang w:val="en-US"/>
              </w:rPr>
              <w:t>30</w:t>
            </w:r>
          </w:p>
        </w:tc>
        <w:tc>
          <w:tcPr>
            <w:tcW w:w="1842" w:type="dxa"/>
          </w:tcPr>
          <w:p w14:paraId="6F5AC575" w14:textId="77777777" w:rsidR="000C6C41" w:rsidRPr="0093411E" w:rsidRDefault="000C6C41" w:rsidP="005062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0C6C41" w:rsidRPr="0077121B" w14:paraId="47FE54E6" w14:textId="77777777" w:rsidTr="000C6C41">
        <w:tc>
          <w:tcPr>
            <w:tcW w:w="2019" w:type="dxa"/>
          </w:tcPr>
          <w:p w14:paraId="69B4EB78" w14:textId="77777777" w:rsidR="000C6C41" w:rsidRPr="0093411E" w:rsidRDefault="000C6C41" w:rsidP="00506281">
            <w:pPr>
              <w:rPr>
                <w:lang w:val="en-US"/>
              </w:rPr>
            </w:pPr>
            <w:r w:rsidRPr="0093411E">
              <w:rPr>
                <w:lang w:val="en-US"/>
              </w:rPr>
              <w:t>Log pseudolikelihood</w:t>
            </w:r>
          </w:p>
        </w:tc>
        <w:tc>
          <w:tcPr>
            <w:tcW w:w="1560" w:type="dxa"/>
          </w:tcPr>
          <w:p w14:paraId="19964F14" w14:textId="77777777" w:rsidR="000C6C41" w:rsidRPr="00317CA5" w:rsidRDefault="000C6C41" w:rsidP="00506281">
            <w:pPr>
              <w:jc w:val="center"/>
              <w:rPr>
                <w:highlight w:val="yellow"/>
                <w:lang w:val="en-US"/>
              </w:rPr>
            </w:pPr>
            <w:r w:rsidRPr="00317CA5">
              <w:rPr>
                <w:lang w:val="en-US"/>
              </w:rPr>
              <w:t>-470.2</w:t>
            </w:r>
            <w:r>
              <w:rPr>
                <w:lang w:val="en-US"/>
              </w:rPr>
              <w:t>2</w:t>
            </w:r>
          </w:p>
        </w:tc>
        <w:tc>
          <w:tcPr>
            <w:tcW w:w="1842" w:type="dxa"/>
          </w:tcPr>
          <w:p w14:paraId="36647C39" w14:textId="77777777" w:rsidR="000C6C41" w:rsidRPr="0093411E" w:rsidRDefault="000C6C41" w:rsidP="00506281">
            <w:pPr>
              <w:jc w:val="center"/>
              <w:rPr>
                <w:lang w:val="en-US"/>
              </w:rPr>
            </w:pPr>
            <w:r w:rsidRPr="00B246EC">
              <w:rPr>
                <w:lang w:val="en-US"/>
              </w:rPr>
              <w:t>-155.8</w:t>
            </w:r>
            <w:r>
              <w:rPr>
                <w:lang w:val="en-US"/>
              </w:rPr>
              <w:t>8</w:t>
            </w:r>
          </w:p>
        </w:tc>
      </w:tr>
    </w:tbl>
    <w:p w14:paraId="1458A4FC" w14:textId="77777777" w:rsidR="000C6C41" w:rsidRDefault="000C6C41" w:rsidP="000C6C41">
      <w:pPr>
        <w:rPr>
          <w:lang w:val="en-US"/>
        </w:rPr>
      </w:pPr>
    </w:p>
    <w:p w14:paraId="27BE0D0C" w14:textId="77777777" w:rsidR="000C6C41" w:rsidRDefault="000C6C41" w:rsidP="000C6C41">
      <w:pPr>
        <w:rPr>
          <w:lang w:val="en-US"/>
        </w:rPr>
      </w:pPr>
    </w:p>
    <w:p w14:paraId="5115CDA2" w14:textId="7E476EC7" w:rsidR="000C6C41" w:rsidRPr="0077343D" w:rsidRDefault="000C6C41" w:rsidP="000C6C41">
      <w:pPr>
        <w:spacing w:line="360" w:lineRule="auto"/>
        <w:jc w:val="both"/>
        <w:rPr>
          <w:lang w:val="en-US"/>
        </w:rPr>
      </w:pPr>
      <w:r w:rsidRPr="00C54C04">
        <w:rPr>
          <w:lang w:val="en-US"/>
        </w:rPr>
        <w:t xml:space="preserve">Figure </w:t>
      </w:r>
      <w:r w:rsidR="008A6B8E">
        <w:rPr>
          <w:lang w:val="en-US"/>
        </w:rPr>
        <w:t>A10</w:t>
      </w:r>
      <w:r w:rsidRPr="00C54C04">
        <w:rPr>
          <w:lang w:val="en-US"/>
        </w:rPr>
        <w:t>: Average marginal effects of constitutional rules on the likelihood of non-partisan appointments (in percentage points</w:t>
      </w:r>
      <w:r>
        <w:rPr>
          <w:lang w:val="en-US"/>
        </w:rPr>
        <w:t>, with 95% CIs</w:t>
      </w:r>
      <w:r w:rsidRPr="00C54C04">
        <w:rPr>
          <w:lang w:val="en-US"/>
        </w:rPr>
        <w:t>)</w:t>
      </w:r>
    </w:p>
    <w:p w14:paraId="4C7E9831" w14:textId="77777777" w:rsidR="000C6C41" w:rsidRDefault="000C6C41" w:rsidP="000C6C41">
      <w:pPr>
        <w:spacing w:line="360" w:lineRule="auto"/>
        <w:jc w:val="both"/>
        <w:rPr>
          <w:lang w:val="en-US"/>
        </w:rPr>
      </w:pPr>
      <w:r w:rsidRPr="00ED31FA">
        <w:rPr>
          <w:noProof/>
          <w:lang w:val="en-US"/>
        </w:rPr>
        <w:drawing>
          <wp:inline distT="0" distB="0" distL="0" distR="0" wp14:anchorId="744D4F5A" wp14:editId="54EA20FC">
            <wp:extent cx="5760720" cy="3456305"/>
            <wp:effectExtent l="0" t="0" r="5080" b="0"/>
            <wp:docPr id="20877726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7269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6F8F" w14:textId="77777777" w:rsidR="000C6C41" w:rsidRDefault="000C6C41" w:rsidP="000C6C41">
      <w:pPr>
        <w:rPr>
          <w:lang w:val="en-US"/>
        </w:rPr>
      </w:pPr>
    </w:p>
    <w:p w14:paraId="5F41A008" w14:textId="77777777" w:rsidR="000C6C41" w:rsidRDefault="000C6C41" w:rsidP="000C6C41">
      <w:pPr>
        <w:rPr>
          <w:lang w:val="en-US"/>
        </w:rPr>
      </w:pPr>
    </w:p>
    <w:p w14:paraId="07BB91F1" w14:textId="65F0249A" w:rsidR="0040153E" w:rsidRPr="005F6184" w:rsidRDefault="000C6C41" w:rsidP="00D75D0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Figure </w:t>
      </w:r>
      <w:r w:rsidR="004655FB">
        <w:rPr>
          <w:lang w:val="en-US"/>
        </w:rPr>
        <w:t>A11</w:t>
      </w:r>
      <w:r>
        <w:rPr>
          <w:lang w:val="en-US"/>
        </w:rPr>
        <w:t>: Average marginal effects of constitutional rules on the magnitude of non-partisan appointments (in percentage points, with 95% CIs)</w:t>
      </w:r>
    </w:p>
    <w:p w14:paraId="58493336" w14:textId="44F65780" w:rsidR="00E824AE" w:rsidRPr="009170C8" w:rsidRDefault="005F6184" w:rsidP="009170C8">
      <w:pPr>
        <w:spacing w:after="160" w:line="259" w:lineRule="auto"/>
        <w:rPr>
          <w:b/>
          <w:bCs/>
          <w:lang w:val="en-US"/>
        </w:rPr>
      </w:pPr>
      <w:r w:rsidRPr="005F6184">
        <w:rPr>
          <w:b/>
          <w:bCs/>
          <w:noProof/>
          <w:lang w:val="en-US"/>
        </w:rPr>
        <w:drawing>
          <wp:inline distT="0" distB="0" distL="0" distR="0" wp14:anchorId="39879B2C" wp14:editId="047993C0">
            <wp:extent cx="6031230" cy="3618865"/>
            <wp:effectExtent l="0" t="0" r="1270" b="635"/>
            <wp:docPr id="6423124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1241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4AE" w:rsidRPr="009170C8" w:rsidSect="00103B18">
      <w:pgSz w:w="11906" w:h="16838"/>
      <w:pgMar w:top="1135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09CCA" w14:textId="77777777" w:rsidR="00B705B0" w:rsidRDefault="00B705B0" w:rsidP="0011634B">
      <w:r>
        <w:separator/>
      </w:r>
    </w:p>
  </w:endnote>
  <w:endnote w:type="continuationSeparator" w:id="0">
    <w:p w14:paraId="7C000AD2" w14:textId="77777777" w:rsidR="00B705B0" w:rsidRDefault="00B705B0" w:rsidP="0011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3C089" w14:textId="77777777" w:rsidR="00B705B0" w:rsidRDefault="00B705B0" w:rsidP="0011634B">
      <w:r>
        <w:separator/>
      </w:r>
    </w:p>
  </w:footnote>
  <w:footnote w:type="continuationSeparator" w:id="0">
    <w:p w14:paraId="54E09F4E" w14:textId="77777777" w:rsidR="00B705B0" w:rsidRDefault="00B705B0" w:rsidP="0011634B">
      <w:r>
        <w:continuationSeparator/>
      </w:r>
    </w:p>
  </w:footnote>
  <w:footnote w:id="1">
    <w:p w14:paraId="22F00349" w14:textId="2E7A493D" w:rsidR="0011634B" w:rsidRPr="00C56156" w:rsidRDefault="0011634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56156">
        <w:rPr>
          <w:lang w:val="en-US"/>
        </w:rPr>
        <w:t xml:space="preserve"> For more details, </w:t>
      </w:r>
      <w:r w:rsidR="00C56156" w:rsidRPr="00C56156">
        <w:rPr>
          <w:lang w:val="en-US"/>
        </w:rPr>
        <w:t>see Doyle a</w:t>
      </w:r>
      <w:r w:rsidR="00C56156">
        <w:rPr>
          <w:lang w:val="en-US"/>
        </w:rPr>
        <w:t>nd Elgie (2016).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67A8"/>
    <w:multiLevelType w:val="hybridMultilevel"/>
    <w:tmpl w:val="72BAA5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1E"/>
    <w:rsid w:val="0000029B"/>
    <w:rsid w:val="0000184A"/>
    <w:rsid w:val="000027D8"/>
    <w:rsid w:val="000029C5"/>
    <w:rsid w:val="0000688B"/>
    <w:rsid w:val="00007AA0"/>
    <w:rsid w:val="00013286"/>
    <w:rsid w:val="000162FE"/>
    <w:rsid w:val="00020258"/>
    <w:rsid w:val="00022987"/>
    <w:rsid w:val="00022AFE"/>
    <w:rsid w:val="0002682B"/>
    <w:rsid w:val="00031136"/>
    <w:rsid w:val="0003146A"/>
    <w:rsid w:val="00032548"/>
    <w:rsid w:val="00033078"/>
    <w:rsid w:val="0003527A"/>
    <w:rsid w:val="0003633C"/>
    <w:rsid w:val="00041670"/>
    <w:rsid w:val="00041B69"/>
    <w:rsid w:val="0004284D"/>
    <w:rsid w:val="00044663"/>
    <w:rsid w:val="0004577C"/>
    <w:rsid w:val="0004743A"/>
    <w:rsid w:val="000504FD"/>
    <w:rsid w:val="0005122C"/>
    <w:rsid w:val="00051EA7"/>
    <w:rsid w:val="00054808"/>
    <w:rsid w:val="0005483C"/>
    <w:rsid w:val="00060411"/>
    <w:rsid w:val="0006109D"/>
    <w:rsid w:val="000619A7"/>
    <w:rsid w:val="0006342C"/>
    <w:rsid w:val="00063451"/>
    <w:rsid w:val="000735B2"/>
    <w:rsid w:val="00077A54"/>
    <w:rsid w:val="000826B8"/>
    <w:rsid w:val="00083C52"/>
    <w:rsid w:val="00085222"/>
    <w:rsid w:val="00091379"/>
    <w:rsid w:val="0009196A"/>
    <w:rsid w:val="000938AF"/>
    <w:rsid w:val="00094A2E"/>
    <w:rsid w:val="0009574F"/>
    <w:rsid w:val="00096F19"/>
    <w:rsid w:val="000A1502"/>
    <w:rsid w:val="000A6419"/>
    <w:rsid w:val="000B11BB"/>
    <w:rsid w:val="000B19FE"/>
    <w:rsid w:val="000B214E"/>
    <w:rsid w:val="000B3E55"/>
    <w:rsid w:val="000B42E8"/>
    <w:rsid w:val="000B4BFE"/>
    <w:rsid w:val="000B6FC2"/>
    <w:rsid w:val="000C30E2"/>
    <w:rsid w:val="000C6533"/>
    <w:rsid w:val="000C6C41"/>
    <w:rsid w:val="000D0A74"/>
    <w:rsid w:val="000D0EBD"/>
    <w:rsid w:val="000D116C"/>
    <w:rsid w:val="000D34D0"/>
    <w:rsid w:val="000D6B1F"/>
    <w:rsid w:val="000E0279"/>
    <w:rsid w:val="000E42DF"/>
    <w:rsid w:val="000E47B2"/>
    <w:rsid w:val="000E4BFD"/>
    <w:rsid w:val="000F06F9"/>
    <w:rsid w:val="000F2021"/>
    <w:rsid w:val="000F3AAF"/>
    <w:rsid w:val="000F3DD8"/>
    <w:rsid w:val="000F4403"/>
    <w:rsid w:val="000F4AA3"/>
    <w:rsid w:val="000F6102"/>
    <w:rsid w:val="000F65C3"/>
    <w:rsid w:val="00100D75"/>
    <w:rsid w:val="0010284D"/>
    <w:rsid w:val="00103B18"/>
    <w:rsid w:val="00103F2F"/>
    <w:rsid w:val="00104AFF"/>
    <w:rsid w:val="00105562"/>
    <w:rsid w:val="00106C91"/>
    <w:rsid w:val="001102EB"/>
    <w:rsid w:val="00110A9E"/>
    <w:rsid w:val="00113773"/>
    <w:rsid w:val="0011634B"/>
    <w:rsid w:val="00122C2B"/>
    <w:rsid w:val="00126148"/>
    <w:rsid w:val="00145D08"/>
    <w:rsid w:val="001469E4"/>
    <w:rsid w:val="00147CFD"/>
    <w:rsid w:val="001506AB"/>
    <w:rsid w:val="00153B57"/>
    <w:rsid w:val="00154435"/>
    <w:rsid w:val="00156D88"/>
    <w:rsid w:val="0015794E"/>
    <w:rsid w:val="00160137"/>
    <w:rsid w:val="00160EFE"/>
    <w:rsid w:val="00161FCC"/>
    <w:rsid w:val="001645D2"/>
    <w:rsid w:val="001659D9"/>
    <w:rsid w:val="00166421"/>
    <w:rsid w:val="001673B7"/>
    <w:rsid w:val="00170562"/>
    <w:rsid w:val="0017226E"/>
    <w:rsid w:val="00172446"/>
    <w:rsid w:val="001731C5"/>
    <w:rsid w:val="00174747"/>
    <w:rsid w:val="00177AFB"/>
    <w:rsid w:val="00181641"/>
    <w:rsid w:val="00184AA0"/>
    <w:rsid w:val="001856B0"/>
    <w:rsid w:val="001871F1"/>
    <w:rsid w:val="00190034"/>
    <w:rsid w:val="001926A5"/>
    <w:rsid w:val="00192B9B"/>
    <w:rsid w:val="001964D7"/>
    <w:rsid w:val="001971B1"/>
    <w:rsid w:val="001A1044"/>
    <w:rsid w:val="001A1B16"/>
    <w:rsid w:val="001A2645"/>
    <w:rsid w:val="001A361E"/>
    <w:rsid w:val="001A3F99"/>
    <w:rsid w:val="001A70BF"/>
    <w:rsid w:val="001B0D90"/>
    <w:rsid w:val="001B18F9"/>
    <w:rsid w:val="001B666C"/>
    <w:rsid w:val="001B6DB8"/>
    <w:rsid w:val="001B77E8"/>
    <w:rsid w:val="001C04FD"/>
    <w:rsid w:val="001C058A"/>
    <w:rsid w:val="001C0A78"/>
    <w:rsid w:val="001C0C0E"/>
    <w:rsid w:val="001C0E11"/>
    <w:rsid w:val="001C22BD"/>
    <w:rsid w:val="001C5B04"/>
    <w:rsid w:val="001C6655"/>
    <w:rsid w:val="001C6B6A"/>
    <w:rsid w:val="001C76ED"/>
    <w:rsid w:val="001D0F74"/>
    <w:rsid w:val="001D1AE3"/>
    <w:rsid w:val="001D25DC"/>
    <w:rsid w:val="001D3668"/>
    <w:rsid w:val="001D5A15"/>
    <w:rsid w:val="001D6984"/>
    <w:rsid w:val="001E1909"/>
    <w:rsid w:val="001E4011"/>
    <w:rsid w:val="001E46DA"/>
    <w:rsid w:val="001E50DC"/>
    <w:rsid w:val="001E698B"/>
    <w:rsid w:val="001E69CF"/>
    <w:rsid w:val="001F07C0"/>
    <w:rsid w:val="001F5331"/>
    <w:rsid w:val="001F5588"/>
    <w:rsid w:val="002000C5"/>
    <w:rsid w:val="00203E9E"/>
    <w:rsid w:val="00204C1F"/>
    <w:rsid w:val="002052B4"/>
    <w:rsid w:val="002053C7"/>
    <w:rsid w:val="002060E7"/>
    <w:rsid w:val="002115CF"/>
    <w:rsid w:val="0021511B"/>
    <w:rsid w:val="00216098"/>
    <w:rsid w:val="00223F4D"/>
    <w:rsid w:val="00224321"/>
    <w:rsid w:val="00233DF9"/>
    <w:rsid w:val="002348ED"/>
    <w:rsid w:val="00236E55"/>
    <w:rsid w:val="0024459E"/>
    <w:rsid w:val="002505D4"/>
    <w:rsid w:val="0025534A"/>
    <w:rsid w:val="00261239"/>
    <w:rsid w:val="00261F95"/>
    <w:rsid w:val="002639CA"/>
    <w:rsid w:val="0027241E"/>
    <w:rsid w:val="00273A8F"/>
    <w:rsid w:val="00274E02"/>
    <w:rsid w:val="00276F36"/>
    <w:rsid w:val="0027706C"/>
    <w:rsid w:val="00277A4C"/>
    <w:rsid w:val="00286873"/>
    <w:rsid w:val="002876B3"/>
    <w:rsid w:val="00292D62"/>
    <w:rsid w:val="002942F4"/>
    <w:rsid w:val="00294E53"/>
    <w:rsid w:val="0029507E"/>
    <w:rsid w:val="00295E88"/>
    <w:rsid w:val="002968A2"/>
    <w:rsid w:val="002A0C88"/>
    <w:rsid w:val="002A16C6"/>
    <w:rsid w:val="002A2327"/>
    <w:rsid w:val="002A2FC0"/>
    <w:rsid w:val="002A391E"/>
    <w:rsid w:val="002A3967"/>
    <w:rsid w:val="002A3AB0"/>
    <w:rsid w:val="002A5234"/>
    <w:rsid w:val="002A6C21"/>
    <w:rsid w:val="002B0AFA"/>
    <w:rsid w:val="002B22C8"/>
    <w:rsid w:val="002B2773"/>
    <w:rsid w:val="002B3962"/>
    <w:rsid w:val="002B441A"/>
    <w:rsid w:val="002B6A97"/>
    <w:rsid w:val="002C1B13"/>
    <w:rsid w:val="002C1EBC"/>
    <w:rsid w:val="002C2639"/>
    <w:rsid w:val="002C2681"/>
    <w:rsid w:val="002C2925"/>
    <w:rsid w:val="002C31A1"/>
    <w:rsid w:val="002C3DD5"/>
    <w:rsid w:val="002C3E45"/>
    <w:rsid w:val="002C6800"/>
    <w:rsid w:val="002C7BBB"/>
    <w:rsid w:val="002D12E7"/>
    <w:rsid w:val="002D43DE"/>
    <w:rsid w:val="002D4B0B"/>
    <w:rsid w:val="002D4C55"/>
    <w:rsid w:val="002E00D5"/>
    <w:rsid w:val="002E0A3F"/>
    <w:rsid w:val="002E11E4"/>
    <w:rsid w:val="002E176C"/>
    <w:rsid w:val="002E2D3C"/>
    <w:rsid w:val="002E43F2"/>
    <w:rsid w:val="002E5181"/>
    <w:rsid w:val="002E6619"/>
    <w:rsid w:val="002E7693"/>
    <w:rsid w:val="002E7943"/>
    <w:rsid w:val="002F1515"/>
    <w:rsid w:val="002F1F6E"/>
    <w:rsid w:val="002F2381"/>
    <w:rsid w:val="002F4E36"/>
    <w:rsid w:val="002F6626"/>
    <w:rsid w:val="00300C54"/>
    <w:rsid w:val="00302AB7"/>
    <w:rsid w:val="00303F3D"/>
    <w:rsid w:val="00305F14"/>
    <w:rsid w:val="00307343"/>
    <w:rsid w:val="003107E1"/>
    <w:rsid w:val="00317DCE"/>
    <w:rsid w:val="0032229D"/>
    <w:rsid w:val="00324FB5"/>
    <w:rsid w:val="0032546E"/>
    <w:rsid w:val="003273AD"/>
    <w:rsid w:val="00327DCC"/>
    <w:rsid w:val="003329CE"/>
    <w:rsid w:val="00333408"/>
    <w:rsid w:val="0033516B"/>
    <w:rsid w:val="003370C5"/>
    <w:rsid w:val="00337DB1"/>
    <w:rsid w:val="00341ABE"/>
    <w:rsid w:val="00342349"/>
    <w:rsid w:val="003444B1"/>
    <w:rsid w:val="0034577B"/>
    <w:rsid w:val="00346164"/>
    <w:rsid w:val="003529DA"/>
    <w:rsid w:val="00353E6F"/>
    <w:rsid w:val="003605B0"/>
    <w:rsid w:val="0036289A"/>
    <w:rsid w:val="0036322F"/>
    <w:rsid w:val="00365440"/>
    <w:rsid w:val="00367E79"/>
    <w:rsid w:val="00370C23"/>
    <w:rsid w:val="00373C4D"/>
    <w:rsid w:val="003778B3"/>
    <w:rsid w:val="003779F6"/>
    <w:rsid w:val="00381A59"/>
    <w:rsid w:val="00381B88"/>
    <w:rsid w:val="00382765"/>
    <w:rsid w:val="003827BE"/>
    <w:rsid w:val="00383266"/>
    <w:rsid w:val="00385716"/>
    <w:rsid w:val="00386C8D"/>
    <w:rsid w:val="00391B6D"/>
    <w:rsid w:val="00392242"/>
    <w:rsid w:val="00392FB9"/>
    <w:rsid w:val="0039433A"/>
    <w:rsid w:val="00395773"/>
    <w:rsid w:val="003A2670"/>
    <w:rsid w:val="003A3335"/>
    <w:rsid w:val="003A59C0"/>
    <w:rsid w:val="003A6872"/>
    <w:rsid w:val="003A6DEB"/>
    <w:rsid w:val="003A7787"/>
    <w:rsid w:val="003B3506"/>
    <w:rsid w:val="003B3643"/>
    <w:rsid w:val="003B3D4A"/>
    <w:rsid w:val="003B667E"/>
    <w:rsid w:val="003B7680"/>
    <w:rsid w:val="003C232D"/>
    <w:rsid w:val="003C35EE"/>
    <w:rsid w:val="003C471D"/>
    <w:rsid w:val="003C47D3"/>
    <w:rsid w:val="003C49C1"/>
    <w:rsid w:val="003D076B"/>
    <w:rsid w:val="003D0BD1"/>
    <w:rsid w:val="003D3895"/>
    <w:rsid w:val="003D3F43"/>
    <w:rsid w:val="003D4674"/>
    <w:rsid w:val="003D7BC8"/>
    <w:rsid w:val="003E005D"/>
    <w:rsid w:val="003E0201"/>
    <w:rsid w:val="003E1930"/>
    <w:rsid w:val="003E3DCE"/>
    <w:rsid w:val="003E6FDB"/>
    <w:rsid w:val="003F30AD"/>
    <w:rsid w:val="003F51C6"/>
    <w:rsid w:val="003F5592"/>
    <w:rsid w:val="003F76F6"/>
    <w:rsid w:val="0040153E"/>
    <w:rsid w:val="00401F9B"/>
    <w:rsid w:val="00405416"/>
    <w:rsid w:val="00412450"/>
    <w:rsid w:val="00413240"/>
    <w:rsid w:val="004135A7"/>
    <w:rsid w:val="00413E4D"/>
    <w:rsid w:val="004142ED"/>
    <w:rsid w:val="00417CCE"/>
    <w:rsid w:val="0042336F"/>
    <w:rsid w:val="004240F0"/>
    <w:rsid w:val="004274CE"/>
    <w:rsid w:val="00432BCC"/>
    <w:rsid w:val="004374D2"/>
    <w:rsid w:val="00437ED7"/>
    <w:rsid w:val="00441290"/>
    <w:rsid w:val="004458E4"/>
    <w:rsid w:val="00450C70"/>
    <w:rsid w:val="004560C0"/>
    <w:rsid w:val="0045728F"/>
    <w:rsid w:val="0046087E"/>
    <w:rsid w:val="00461089"/>
    <w:rsid w:val="00461DA9"/>
    <w:rsid w:val="004655FB"/>
    <w:rsid w:val="004668C1"/>
    <w:rsid w:val="00470D85"/>
    <w:rsid w:val="00474925"/>
    <w:rsid w:val="00474B4A"/>
    <w:rsid w:val="00474F38"/>
    <w:rsid w:val="00480067"/>
    <w:rsid w:val="004817D1"/>
    <w:rsid w:val="00485423"/>
    <w:rsid w:val="0049249B"/>
    <w:rsid w:val="00496290"/>
    <w:rsid w:val="004A0489"/>
    <w:rsid w:val="004A0768"/>
    <w:rsid w:val="004A21C8"/>
    <w:rsid w:val="004A7B9F"/>
    <w:rsid w:val="004B1CDC"/>
    <w:rsid w:val="004B22B1"/>
    <w:rsid w:val="004B4210"/>
    <w:rsid w:val="004B5E75"/>
    <w:rsid w:val="004B7332"/>
    <w:rsid w:val="004B786B"/>
    <w:rsid w:val="004C185A"/>
    <w:rsid w:val="004C4644"/>
    <w:rsid w:val="004C5A57"/>
    <w:rsid w:val="004C7647"/>
    <w:rsid w:val="004D0C54"/>
    <w:rsid w:val="004D1F41"/>
    <w:rsid w:val="004D2975"/>
    <w:rsid w:val="004D40B7"/>
    <w:rsid w:val="004D5009"/>
    <w:rsid w:val="004D7F02"/>
    <w:rsid w:val="004E04C1"/>
    <w:rsid w:val="004E0D51"/>
    <w:rsid w:val="004E2887"/>
    <w:rsid w:val="004E51D7"/>
    <w:rsid w:val="004E5996"/>
    <w:rsid w:val="004E7237"/>
    <w:rsid w:val="004F25D7"/>
    <w:rsid w:val="00502252"/>
    <w:rsid w:val="00502A7A"/>
    <w:rsid w:val="005037CF"/>
    <w:rsid w:val="005045CC"/>
    <w:rsid w:val="00505458"/>
    <w:rsid w:val="00505B85"/>
    <w:rsid w:val="005126EA"/>
    <w:rsid w:val="0051561D"/>
    <w:rsid w:val="005164F8"/>
    <w:rsid w:val="00520110"/>
    <w:rsid w:val="00521AF6"/>
    <w:rsid w:val="00524EC1"/>
    <w:rsid w:val="00525EDF"/>
    <w:rsid w:val="005302E5"/>
    <w:rsid w:val="005323EE"/>
    <w:rsid w:val="00532890"/>
    <w:rsid w:val="00532AC6"/>
    <w:rsid w:val="00533888"/>
    <w:rsid w:val="00537581"/>
    <w:rsid w:val="00541099"/>
    <w:rsid w:val="00541B51"/>
    <w:rsid w:val="0054328C"/>
    <w:rsid w:val="00544396"/>
    <w:rsid w:val="0054598C"/>
    <w:rsid w:val="0054599F"/>
    <w:rsid w:val="00545C0D"/>
    <w:rsid w:val="00552A17"/>
    <w:rsid w:val="005566FE"/>
    <w:rsid w:val="0055685C"/>
    <w:rsid w:val="00556A7C"/>
    <w:rsid w:val="005601CF"/>
    <w:rsid w:val="00561150"/>
    <w:rsid w:val="005621FE"/>
    <w:rsid w:val="005641EF"/>
    <w:rsid w:val="00564F14"/>
    <w:rsid w:val="00565344"/>
    <w:rsid w:val="00565A01"/>
    <w:rsid w:val="00565A7B"/>
    <w:rsid w:val="00567099"/>
    <w:rsid w:val="005710D7"/>
    <w:rsid w:val="00572842"/>
    <w:rsid w:val="00576F30"/>
    <w:rsid w:val="00580F49"/>
    <w:rsid w:val="00582A82"/>
    <w:rsid w:val="00584ACC"/>
    <w:rsid w:val="00586E38"/>
    <w:rsid w:val="005926A0"/>
    <w:rsid w:val="005938D6"/>
    <w:rsid w:val="00593A60"/>
    <w:rsid w:val="00594099"/>
    <w:rsid w:val="00595188"/>
    <w:rsid w:val="0059560B"/>
    <w:rsid w:val="005960AE"/>
    <w:rsid w:val="005A1BB9"/>
    <w:rsid w:val="005A217D"/>
    <w:rsid w:val="005A7CCA"/>
    <w:rsid w:val="005B1806"/>
    <w:rsid w:val="005B2BD4"/>
    <w:rsid w:val="005B4B43"/>
    <w:rsid w:val="005B73AE"/>
    <w:rsid w:val="005C2D41"/>
    <w:rsid w:val="005C5897"/>
    <w:rsid w:val="005C5C68"/>
    <w:rsid w:val="005C7C86"/>
    <w:rsid w:val="005D1FDE"/>
    <w:rsid w:val="005D3F2F"/>
    <w:rsid w:val="005D6B1B"/>
    <w:rsid w:val="005D7043"/>
    <w:rsid w:val="005E24E9"/>
    <w:rsid w:val="005E4483"/>
    <w:rsid w:val="005E630A"/>
    <w:rsid w:val="005E74C1"/>
    <w:rsid w:val="005F0DF9"/>
    <w:rsid w:val="005F1799"/>
    <w:rsid w:val="005F302A"/>
    <w:rsid w:val="005F3999"/>
    <w:rsid w:val="005F611A"/>
    <w:rsid w:val="005F6184"/>
    <w:rsid w:val="006020BF"/>
    <w:rsid w:val="00603A9A"/>
    <w:rsid w:val="00614844"/>
    <w:rsid w:val="00615866"/>
    <w:rsid w:val="0061608B"/>
    <w:rsid w:val="00616369"/>
    <w:rsid w:val="0062068F"/>
    <w:rsid w:val="00621AA8"/>
    <w:rsid w:val="00622972"/>
    <w:rsid w:val="00625F51"/>
    <w:rsid w:val="00627802"/>
    <w:rsid w:val="0063022F"/>
    <w:rsid w:val="0063051D"/>
    <w:rsid w:val="00631042"/>
    <w:rsid w:val="006326D1"/>
    <w:rsid w:val="00633DA2"/>
    <w:rsid w:val="0063503F"/>
    <w:rsid w:val="00635435"/>
    <w:rsid w:val="006416DF"/>
    <w:rsid w:val="00645D71"/>
    <w:rsid w:val="0064680F"/>
    <w:rsid w:val="0065279C"/>
    <w:rsid w:val="00653C21"/>
    <w:rsid w:val="00653F19"/>
    <w:rsid w:val="00657F53"/>
    <w:rsid w:val="00664F74"/>
    <w:rsid w:val="00670736"/>
    <w:rsid w:val="00670BD3"/>
    <w:rsid w:val="00671283"/>
    <w:rsid w:val="00672F09"/>
    <w:rsid w:val="00673633"/>
    <w:rsid w:val="00676F72"/>
    <w:rsid w:val="0068270B"/>
    <w:rsid w:val="006836F6"/>
    <w:rsid w:val="00684381"/>
    <w:rsid w:val="00687704"/>
    <w:rsid w:val="00692124"/>
    <w:rsid w:val="00693FC8"/>
    <w:rsid w:val="00697731"/>
    <w:rsid w:val="006A47C3"/>
    <w:rsid w:val="006A6B93"/>
    <w:rsid w:val="006B3493"/>
    <w:rsid w:val="006B4725"/>
    <w:rsid w:val="006C0674"/>
    <w:rsid w:val="006C078F"/>
    <w:rsid w:val="006C12CD"/>
    <w:rsid w:val="006C2151"/>
    <w:rsid w:val="006C21E8"/>
    <w:rsid w:val="006C4F29"/>
    <w:rsid w:val="006D6E59"/>
    <w:rsid w:val="006D7CD9"/>
    <w:rsid w:val="006E0149"/>
    <w:rsid w:val="006E0283"/>
    <w:rsid w:val="006E0E50"/>
    <w:rsid w:val="006E2C5A"/>
    <w:rsid w:val="006E3A64"/>
    <w:rsid w:val="006E4B89"/>
    <w:rsid w:val="006E6F3E"/>
    <w:rsid w:val="006F0A75"/>
    <w:rsid w:val="006F0E76"/>
    <w:rsid w:val="006F7C86"/>
    <w:rsid w:val="00703FF9"/>
    <w:rsid w:val="00704153"/>
    <w:rsid w:val="00704D43"/>
    <w:rsid w:val="00706725"/>
    <w:rsid w:val="0070781E"/>
    <w:rsid w:val="00707BAC"/>
    <w:rsid w:val="00710649"/>
    <w:rsid w:val="00711CD1"/>
    <w:rsid w:val="00712A15"/>
    <w:rsid w:val="00715F79"/>
    <w:rsid w:val="007160BC"/>
    <w:rsid w:val="007174A4"/>
    <w:rsid w:val="007175AB"/>
    <w:rsid w:val="00722B8E"/>
    <w:rsid w:val="00722D51"/>
    <w:rsid w:val="00722E12"/>
    <w:rsid w:val="00724166"/>
    <w:rsid w:val="00725F13"/>
    <w:rsid w:val="0072606B"/>
    <w:rsid w:val="00726FDB"/>
    <w:rsid w:val="00733F90"/>
    <w:rsid w:val="00735ED7"/>
    <w:rsid w:val="007362FA"/>
    <w:rsid w:val="00737BD3"/>
    <w:rsid w:val="00741397"/>
    <w:rsid w:val="00742AE0"/>
    <w:rsid w:val="00746000"/>
    <w:rsid w:val="00754436"/>
    <w:rsid w:val="00756B03"/>
    <w:rsid w:val="007573CF"/>
    <w:rsid w:val="00757F5B"/>
    <w:rsid w:val="007610BF"/>
    <w:rsid w:val="00763891"/>
    <w:rsid w:val="00763FE7"/>
    <w:rsid w:val="00766C10"/>
    <w:rsid w:val="00770297"/>
    <w:rsid w:val="00771309"/>
    <w:rsid w:val="00773048"/>
    <w:rsid w:val="00774671"/>
    <w:rsid w:val="00777A97"/>
    <w:rsid w:val="00796026"/>
    <w:rsid w:val="00796A8A"/>
    <w:rsid w:val="007A23F5"/>
    <w:rsid w:val="007A5389"/>
    <w:rsid w:val="007A5AA8"/>
    <w:rsid w:val="007A6304"/>
    <w:rsid w:val="007B040E"/>
    <w:rsid w:val="007B3036"/>
    <w:rsid w:val="007B5DD3"/>
    <w:rsid w:val="007B5E35"/>
    <w:rsid w:val="007C31B1"/>
    <w:rsid w:val="007C3605"/>
    <w:rsid w:val="007C44EF"/>
    <w:rsid w:val="007C6821"/>
    <w:rsid w:val="007D0E7C"/>
    <w:rsid w:val="007D1F6B"/>
    <w:rsid w:val="007D2B1B"/>
    <w:rsid w:val="007D542E"/>
    <w:rsid w:val="007D6499"/>
    <w:rsid w:val="007E2939"/>
    <w:rsid w:val="007E2C66"/>
    <w:rsid w:val="007E2E50"/>
    <w:rsid w:val="007E389B"/>
    <w:rsid w:val="007E3C94"/>
    <w:rsid w:val="007E5CC1"/>
    <w:rsid w:val="007E6499"/>
    <w:rsid w:val="007E75F8"/>
    <w:rsid w:val="007F5322"/>
    <w:rsid w:val="007F7E42"/>
    <w:rsid w:val="008006FF"/>
    <w:rsid w:val="008012BC"/>
    <w:rsid w:val="00801469"/>
    <w:rsid w:val="00805D9C"/>
    <w:rsid w:val="0081163C"/>
    <w:rsid w:val="00811820"/>
    <w:rsid w:val="00812F32"/>
    <w:rsid w:val="00815F25"/>
    <w:rsid w:val="0082098D"/>
    <w:rsid w:val="008213B0"/>
    <w:rsid w:val="008214B8"/>
    <w:rsid w:val="008219BD"/>
    <w:rsid w:val="00823C24"/>
    <w:rsid w:val="00823CC5"/>
    <w:rsid w:val="00824774"/>
    <w:rsid w:val="00824780"/>
    <w:rsid w:val="00824A4F"/>
    <w:rsid w:val="00824EB3"/>
    <w:rsid w:val="00825742"/>
    <w:rsid w:val="00825A8C"/>
    <w:rsid w:val="00832ED4"/>
    <w:rsid w:val="0083393F"/>
    <w:rsid w:val="00835450"/>
    <w:rsid w:val="00837136"/>
    <w:rsid w:val="008378E6"/>
    <w:rsid w:val="0084043C"/>
    <w:rsid w:val="00843B09"/>
    <w:rsid w:val="00844DA4"/>
    <w:rsid w:val="00847880"/>
    <w:rsid w:val="008547E2"/>
    <w:rsid w:val="008578B7"/>
    <w:rsid w:val="00862BE1"/>
    <w:rsid w:val="00866758"/>
    <w:rsid w:val="00867DFB"/>
    <w:rsid w:val="00871BD2"/>
    <w:rsid w:val="008735F7"/>
    <w:rsid w:val="008741F0"/>
    <w:rsid w:val="00874533"/>
    <w:rsid w:val="00875422"/>
    <w:rsid w:val="008809B0"/>
    <w:rsid w:val="00881D4D"/>
    <w:rsid w:val="00884A21"/>
    <w:rsid w:val="00886E11"/>
    <w:rsid w:val="00887979"/>
    <w:rsid w:val="008918E8"/>
    <w:rsid w:val="00894447"/>
    <w:rsid w:val="00895393"/>
    <w:rsid w:val="008A15D1"/>
    <w:rsid w:val="008A1AA0"/>
    <w:rsid w:val="008A427D"/>
    <w:rsid w:val="008A4AF2"/>
    <w:rsid w:val="008A628B"/>
    <w:rsid w:val="008A6B8E"/>
    <w:rsid w:val="008A7A19"/>
    <w:rsid w:val="008B0705"/>
    <w:rsid w:val="008B0D5A"/>
    <w:rsid w:val="008B1EC6"/>
    <w:rsid w:val="008B41B8"/>
    <w:rsid w:val="008B5978"/>
    <w:rsid w:val="008B718C"/>
    <w:rsid w:val="008B7E3A"/>
    <w:rsid w:val="008C0F78"/>
    <w:rsid w:val="008C1BC0"/>
    <w:rsid w:val="008C411C"/>
    <w:rsid w:val="008C4375"/>
    <w:rsid w:val="008C4B8A"/>
    <w:rsid w:val="008C57A8"/>
    <w:rsid w:val="008D052B"/>
    <w:rsid w:val="008D2DEB"/>
    <w:rsid w:val="008D2F12"/>
    <w:rsid w:val="008D48FB"/>
    <w:rsid w:val="008E083B"/>
    <w:rsid w:val="008E15D9"/>
    <w:rsid w:val="008E1B2E"/>
    <w:rsid w:val="008E52FB"/>
    <w:rsid w:val="008E6DFE"/>
    <w:rsid w:val="008E6FB5"/>
    <w:rsid w:val="008E761D"/>
    <w:rsid w:val="008F2277"/>
    <w:rsid w:val="008F2E81"/>
    <w:rsid w:val="008F2F47"/>
    <w:rsid w:val="008F40C7"/>
    <w:rsid w:val="008F597F"/>
    <w:rsid w:val="009003C6"/>
    <w:rsid w:val="00903C2D"/>
    <w:rsid w:val="00904D50"/>
    <w:rsid w:val="0091213C"/>
    <w:rsid w:val="009129A3"/>
    <w:rsid w:val="00915EF8"/>
    <w:rsid w:val="009170C8"/>
    <w:rsid w:val="00926CEA"/>
    <w:rsid w:val="00927459"/>
    <w:rsid w:val="0093053B"/>
    <w:rsid w:val="00930A74"/>
    <w:rsid w:val="00930D95"/>
    <w:rsid w:val="00934360"/>
    <w:rsid w:val="00937C84"/>
    <w:rsid w:val="009404EC"/>
    <w:rsid w:val="00943ABD"/>
    <w:rsid w:val="00943E2F"/>
    <w:rsid w:val="0094537A"/>
    <w:rsid w:val="00945B0B"/>
    <w:rsid w:val="0095246B"/>
    <w:rsid w:val="009558C4"/>
    <w:rsid w:val="00955954"/>
    <w:rsid w:val="00955DAE"/>
    <w:rsid w:val="009567B6"/>
    <w:rsid w:val="00961CC9"/>
    <w:rsid w:val="00962432"/>
    <w:rsid w:val="00963043"/>
    <w:rsid w:val="00963B5E"/>
    <w:rsid w:val="009640DC"/>
    <w:rsid w:val="00964C15"/>
    <w:rsid w:val="0096681C"/>
    <w:rsid w:val="00970A7C"/>
    <w:rsid w:val="00971E91"/>
    <w:rsid w:val="00974CE2"/>
    <w:rsid w:val="009758C2"/>
    <w:rsid w:val="00976C27"/>
    <w:rsid w:val="00982CAD"/>
    <w:rsid w:val="009844D9"/>
    <w:rsid w:val="00985DF4"/>
    <w:rsid w:val="00986595"/>
    <w:rsid w:val="00986F1E"/>
    <w:rsid w:val="009931E0"/>
    <w:rsid w:val="00993563"/>
    <w:rsid w:val="00996E6A"/>
    <w:rsid w:val="009A16B2"/>
    <w:rsid w:val="009A1A51"/>
    <w:rsid w:val="009A5995"/>
    <w:rsid w:val="009B0112"/>
    <w:rsid w:val="009B0417"/>
    <w:rsid w:val="009B0F72"/>
    <w:rsid w:val="009B1966"/>
    <w:rsid w:val="009B2587"/>
    <w:rsid w:val="009B4331"/>
    <w:rsid w:val="009B65D5"/>
    <w:rsid w:val="009C0661"/>
    <w:rsid w:val="009C1285"/>
    <w:rsid w:val="009C7F4E"/>
    <w:rsid w:val="009D33CE"/>
    <w:rsid w:val="009D3818"/>
    <w:rsid w:val="009D3D72"/>
    <w:rsid w:val="009D4B72"/>
    <w:rsid w:val="009E5865"/>
    <w:rsid w:val="009E62A1"/>
    <w:rsid w:val="009E661A"/>
    <w:rsid w:val="009E6A76"/>
    <w:rsid w:val="009E7B4C"/>
    <w:rsid w:val="009F045B"/>
    <w:rsid w:val="009F1762"/>
    <w:rsid w:val="009F2CB1"/>
    <w:rsid w:val="009F43C7"/>
    <w:rsid w:val="009F78E2"/>
    <w:rsid w:val="00A000D1"/>
    <w:rsid w:val="00A0071A"/>
    <w:rsid w:val="00A01228"/>
    <w:rsid w:val="00A02DAE"/>
    <w:rsid w:val="00A03C0B"/>
    <w:rsid w:val="00A06BDA"/>
    <w:rsid w:val="00A177A3"/>
    <w:rsid w:val="00A218D1"/>
    <w:rsid w:val="00A22571"/>
    <w:rsid w:val="00A237D3"/>
    <w:rsid w:val="00A26863"/>
    <w:rsid w:val="00A2708E"/>
    <w:rsid w:val="00A30995"/>
    <w:rsid w:val="00A316BE"/>
    <w:rsid w:val="00A32B77"/>
    <w:rsid w:val="00A333D9"/>
    <w:rsid w:val="00A34AAB"/>
    <w:rsid w:val="00A370C9"/>
    <w:rsid w:val="00A37342"/>
    <w:rsid w:val="00A40693"/>
    <w:rsid w:val="00A40E17"/>
    <w:rsid w:val="00A45C9D"/>
    <w:rsid w:val="00A510A8"/>
    <w:rsid w:val="00A55BCF"/>
    <w:rsid w:val="00A57ABA"/>
    <w:rsid w:val="00A67245"/>
    <w:rsid w:val="00A70610"/>
    <w:rsid w:val="00A71973"/>
    <w:rsid w:val="00A72F04"/>
    <w:rsid w:val="00A732FC"/>
    <w:rsid w:val="00A75142"/>
    <w:rsid w:val="00A7558E"/>
    <w:rsid w:val="00A75D5C"/>
    <w:rsid w:val="00A763FF"/>
    <w:rsid w:val="00A77720"/>
    <w:rsid w:val="00A8236F"/>
    <w:rsid w:val="00A8373A"/>
    <w:rsid w:val="00A838A2"/>
    <w:rsid w:val="00A83FAE"/>
    <w:rsid w:val="00A841CB"/>
    <w:rsid w:val="00A860D6"/>
    <w:rsid w:val="00A86571"/>
    <w:rsid w:val="00A8697B"/>
    <w:rsid w:val="00A875E6"/>
    <w:rsid w:val="00A87DCF"/>
    <w:rsid w:val="00A9095B"/>
    <w:rsid w:val="00A92442"/>
    <w:rsid w:val="00A93CC7"/>
    <w:rsid w:val="00A93E87"/>
    <w:rsid w:val="00A95735"/>
    <w:rsid w:val="00A961DC"/>
    <w:rsid w:val="00A97F82"/>
    <w:rsid w:val="00AA0703"/>
    <w:rsid w:val="00AA0DE6"/>
    <w:rsid w:val="00AA4F97"/>
    <w:rsid w:val="00AA60BC"/>
    <w:rsid w:val="00AA7600"/>
    <w:rsid w:val="00AB00AC"/>
    <w:rsid w:val="00AB0C74"/>
    <w:rsid w:val="00AC3124"/>
    <w:rsid w:val="00AC464E"/>
    <w:rsid w:val="00AC4A1F"/>
    <w:rsid w:val="00AC5A85"/>
    <w:rsid w:val="00AC7F93"/>
    <w:rsid w:val="00AD22E9"/>
    <w:rsid w:val="00AE0FC7"/>
    <w:rsid w:val="00AE0FC9"/>
    <w:rsid w:val="00AE40BE"/>
    <w:rsid w:val="00AE56D1"/>
    <w:rsid w:val="00AE6EF1"/>
    <w:rsid w:val="00AE7B77"/>
    <w:rsid w:val="00AF16EA"/>
    <w:rsid w:val="00AF18C6"/>
    <w:rsid w:val="00AF2787"/>
    <w:rsid w:val="00AF52AE"/>
    <w:rsid w:val="00AF5FF1"/>
    <w:rsid w:val="00B05E8E"/>
    <w:rsid w:val="00B05EA0"/>
    <w:rsid w:val="00B072B1"/>
    <w:rsid w:val="00B10477"/>
    <w:rsid w:val="00B22C8F"/>
    <w:rsid w:val="00B2380D"/>
    <w:rsid w:val="00B2711B"/>
    <w:rsid w:val="00B31A37"/>
    <w:rsid w:val="00B31ABC"/>
    <w:rsid w:val="00B32493"/>
    <w:rsid w:val="00B3295B"/>
    <w:rsid w:val="00B33C44"/>
    <w:rsid w:val="00B34A42"/>
    <w:rsid w:val="00B352B6"/>
    <w:rsid w:val="00B364B6"/>
    <w:rsid w:val="00B4460C"/>
    <w:rsid w:val="00B454D8"/>
    <w:rsid w:val="00B46983"/>
    <w:rsid w:val="00B51046"/>
    <w:rsid w:val="00B528B8"/>
    <w:rsid w:val="00B5434B"/>
    <w:rsid w:val="00B57791"/>
    <w:rsid w:val="00B57830"/>
    <w:rsid w:val="00B63151"/>
    <w:rsid w:val="00B63637"/>
    <w:rsid w:val="00B64F41"/>
    <w:rsid w:val="00B705B0"/>
    <w:rsid w:val="00B7122E"/>
    <w:rsid w:val="00B747E1"/>
    <w:rsid w:val="00B7487B"/>
    <w:rsid w:val="00B75C78"/>
    <w:rsid w:val="00B75CC9"/>
    <w:rsid w:val="00B76595"/>
    <w:rsid w:val="00B80D67"/>
    <w:rsid w:val="00B83953"/>
    <w:rsid w:val="00B83C40"/>
    <w:rsid w:val="00B83F36"/>
    <w:rsid w:val="00B85BDE"/>
    <w:rsid w:val="00B876B1"/>
    <w:rsid w:val="00B90E71"/>
    <w:rsid w:val="00B9156F"/>
    <w:rsid w:val="00B92B72"/>
    <w:rsid w:val="00B938C0"/>
    <w:rsid w:val="00B9417A"/>
    <w:rsid w:val="00B964BD"/>
    <w:rsid w:val="00B965E1"/>
    <w:rsid w:val="00B96AAC"/>
    <w:rsid w:val="00BA0A4E"/>
    <w:rsid w:val="00BA2553"/>
    <w:rsid w:val="00BA28F1"/>
    <w:rsid w:val="00BA358E"/>
    <w:rsid w:val="00BA5A1E"/>
    <w:rsid w:val="00BA79BF"/>
    <w:rsid w:val="00BA7BC9"/>
    <w:rsid w:val="00BB34DC"/>
    <w:rsid w:val="00BB4AB4"/>
    <w:rsid w:val="00BB5A5B"/>
    <w:rsid w:val="00BB7362"/>
    <w:rsid w:val="00BB7AF0"/>
    <w:rsid w:val="00BC3851"/>
    <w:rsid w:val="00BD0804"/>
    <w:rsid w:val="00BD0DD8"/>
    <w:rsid w:val="00BD1317"/>
    <w:rsid w:val="00BD1AE1"/>
    <w:rsid w:val="00BD2733"/>
    <w:rsid w:val="00BD4E1E"/>
    <w:rsid w:val="00BD5312"/>
    <w:rsid w:val="00BD5B2C"/>
    <w:rsid w:val="00BD5F92"/>
    <w:rsid w:val="00BD72F9"/>
    <w:rsid w:val="00BD7611"/>
    <w:rsid w:val="00BD78BE"/>
    <w:rsid w:val="00BE0211"/>
    <w:rsid w:val="00BE0B0B"/>
    <w:rsid w:val="00BE13DE"/>
    <w:rsid w:val="00BE145E"/>
    <w:rsid w:val="00BE2907"/>
    <w:rsid w:val="00BE2FF5"/>
    <w:rsid w:val="00BE31E3"/>
    <w:rsid w:val="00BE4AB5"/>
    <w:rsid w:val="00BE4D76"/>
    <w:rsid w:val="00BE5A98"/>
    <w:rsid w:val="00BE7C4B"/>
    <w:rsid w:val="00BF371C"/>
    <w:rsid w:val="00BF5793"/>
    <w:rsid w:val="00BF61A4"/>
    <w:rsid w:val="00C0011E"/>
    <w:rsid w:val="00C0406D"/>
    <w:rsid w:val="00C0485E"/>
    <w:rsid w:val="00C06F39"/>
    <w:rsid w:val="00C10CCF"/>
    <w:rsid w:val="00C10F52"/>
    <w:rsid w:val="00C125A7"/>
    <w:rsid w:val="00C13544"/>
    <w:rsid w:val="00C138B8"/>
    <w:rsid w:val="00C14F74"/>
    <w:rsid w:val="00C2244C"/>
    <w:rsid w:val="00C2348D"/>
    <w:rsid w:val="00C24C5B"/>
    <w:rsid w:val="00C263A2"/>
    <w:rsid w:val="00C3377D"/>
    <w:rsid w:val="00C34BEB"/>
    <w:rsid w:val="00C3773F"/>
    <w:rsid w:val="00C37CF0"/>
    <w:rsid w:val="00C400F7"/>
    <w:rsid w:val="00C425C9"/>
    <w:rsid w:val="00C42A8B"/>
    <w:rsid w:val="00C43CAD"/>
    <w:rsid w:val="00C44660"/>
    <w:rsid w:val="00C4581E"/>
    <w:rsid w:val="00C45A00"/>
    <w:rsid w:val="00C45E98"/>
    <w:rsid w:val="00C51BBB"/>
    <w:rsid w:val="00C55A4B"/>
    <w:rsid w:val="00C56156"/>
    <w:rsid w:val="00C56406"/>
    <w:rsid w:val="00C617D3"/>
    <w:rsid w:val="00C61F03"/>
    <w:rsid w:val="00C668E3"/>
    <w:rsid w:val="00C6783C"/>
    <w:rsid w:val="00C7229B"/>
    <w:rsid w:val="00C726A5"/>
    <w:rsid w:val="00C73711"/>
    <w:rsid w:val="00C74615"/>
    <w:rsid w:val="00C80690"/>
    <w:rsid w:val="00C8315E"/>
    <w:rsid w:val="00C87BAC"/>
    <w:rsid w:val="00C9120E"/>
    <w:rsid w:val="00C9276D"/>
    <w:rsid w:val="00C92DEE"/>
    <w:rsid w:val="00C93F08"/>
    <w:rsid w:val="00C94361"/>
    <w:rsid w:val="00C97D0B"/>
    <w:rsid w:val="00CA106F"/>
    <w:rsid w:val="00CA66D7"/>
    <w:rsid w:val="00CA7E9C"/>
    <w:rsid w:val="00CB13D4"/>
    <w:rsid w:val="00CB1478"/>
    <w:rsid w:val="00CB1A58"/>
    <w:rsid w:val="00CB2832"/>
    <w:rsid w:val="00CB2CBB"/>
    <w:rsid w:val="00CB3F09"/>
    <w:rsid w:val="00CB4BDC"/>
    <w:rsid w:val="00CB5244"/>
    <w:rsid w:val="00CB701F"/>
    <w:rsid w:val="00CB767A"/>
    <w:rsid w:val="00CC0BE1"/>
    <w:rsid w:val="00CC34BF"/>
    <w:rsid w:val="00CD0605"/>
    <w:rsid w:val="00CD1CF9"/>
    <w:rsid w:val="00CD1FC3"/>
    <w:rsid w:val="00CD3250"/>
    <w:rsid w:val="00CD3E5E"/>
    <w:rsid w:val="00CD4A14"/>
    <w:rsid w:val="00CE20EE"/>
    <w:rsid w:val="00CE2EB7"/>
    <w:rsid w:val="00CE4121"/>
    <w:rsid w:val="00CE5CDC"/>
    <w:rsid w:val="00CE791D"/>
    <w:rsid w:val="00CE7E4D"/>
    <w:rsid w:val="00CF05F4"/>
    <w:rsid w:val="00CF242B"/>
    <w:rsid w:val="00CF46F8"/>
    <w:rsid w:val="00CF57BC"/>
    <w:rsid w:val="00CF6CA2"/>
    <w:rsid w:val="00D00A40"/>
    <w:rsid w:val="00D02440"/>
    <w:rsid w:val="00D027D0"/>
    <w:rsid w:val="00D10E96"/>
    <w:rsid w:val="00D12937"/>
    <w:rsid w:val="00D12B53"/>
    <w:rsid w:val="00D13333"/>
    <w:rsid w:val="00D1361C"/>
    <w:rsid w:val="00D15AD7"/>
    <w:rsid w:val="00D179C5"/>
    <w:rsid w:val="00D17B00"/>
    <w:rsid w:val="00D17CDD"/>
    <w:rsid w:val="00D17F79"/>
    <w:rsid w:val="00D20C15"/>
    <w:rsid w:val="00D21FE9"/>
    <w:rsid w:val="00D239B0"/>
    <w:rsid w:val="00D31D8D"/>
    <w:rsid w:val="00D33FB6"/>
    <w:rsid w:val="00D34407"/>
    <w:rsid w:val="00D37E1C"/>
    <w:rsid w:val="00D40189"/>
    <w:rsid w:val="00D41CC0"/>
    <w:rsid w:val="00D42E61"/>
    <w:rsid w:val="00D45409"/>
    <w:rsid w:val="00D45A0E"/>
    <w:rsid w:val="00D50343"/>
    <w:rsid w:val="00D52618"/>
    <w:rsid w:val="00D53CE6"/>
    <w:rsid w:val="00D545F0"/>
    <w:rsid w:val="00D5788B"/>
    <w:rsid w:val="00D616AD"/>
    <w:rsid w:val="00D63EA7"/>
    <w:rsid w:val="00D66C06"/>
    <w:rsid w:val="00D712BD"/>
    <w:rsid w:val="00D715ED"/>
    <w:rsid w:val="00D7232F"/>
    <w:rsid w:val="00D75D0B"/>
    <w:rsid w:val="00D764E5"/>
    <w:rsid w:val="00D83F1A"/>
    <w:rsid w:val="00D846B6"/>
    <w:rsid w:val="00D953D0"/>
    <w:rsid w:val="00D95AB9"/>
    <w:rsid w:val="00D9640F"/>
    <w:rsid w:val="00DA25DF"/>
    <w:rsid w:val="00DA31CC"/>
    <w:rsid w:val="00DA3662"/>
    <w:rsid w:val="00DA4757"/>
    <w:rsid w:val="00DA4EBE"/>
    <w:rsid w:val="00DA650D"/>
    <w:rsid w:val="00DB03AB"/>
    <w:rsid w:val="00DB0FF8"/>
    <w:rsid w:val="00DB4CB4"/>
    <w:rsid w:val="00DB501B"/>
    <w:rsid w:val="00DB588C"/>
    <w:rsid w:val="00DB5E17"/>
    <w:rsid w:val="00DB6032"/>
    <w:rsid w:val="00DB6FD2"/>
    <w:rsid w:val="00DC35AA"/>
    <w:rsid w:val="00DC4B42"/>
    <w:rsid w:val="00DC5AFE"/>
    <w:rsid w:val="00DC6143"/>
    <w:rsid w:val="00DD1716"/>
    <w:rsid w:val="00DD18E6"/>
    <w:rsid w:val="00DD1B4C"/>
    <w:rsid w:val="00DD4320"/>
    <w:rsid w:val="00DE0247"/>
    <w:rsid w:val="00DE02E4"/>
    <w:rsid w:val="00DE2EB8"/>
    <w:rsid w:val="00DE4B1C"/>
    <w:rsid w:val="00DE4D0F"/>
    <w:rsid w:val="00DE5AF5"/>
    <w:rsid w:val="00DF0354"/>
    <w:rsid w:val="00DF399E"/>
    <w:rsid w:val="00DF51A6"/>
    <w:rsid w:val="00DF5731"/>
    <w:rsid w:val="00DF7436"/>
    <w:rsid w:val="00E00914"/>
    <w:rsid w:val="00E01801"/>
    <w:rsid w:val="00E01F6D"/>
    <w:rsid w:val="00E02DE4"/>
    <w:rsid w:val="00E02EDF"/>
    <w:rsid w:val="00E07613"/>
    <w:rsid w:val="00E07951"/>
    <w:rsid w:val="00E1019D"/>
    <w:rsid w:val="00E13B11"/>
    <w:rsid w:val="00E15277"/>
    <w:rsid w:val="00E171E1"/>
    <w:rsid w:val="00E20F19"/>
    <w:rsid w:val="00E220E0"/>
    <w:rsid w:val="00E26771"/>
    <w:rsid w:val="00E26909"/>
    <w:rsid w:val="00E3431D"/>
    <w:rsid w:val="00E356A3"/>
    <w:rsid w:val="00E35EA9"/>
    <w:rsid w:val="00E43656"/>
    <w:rsid w:val="00E44C62"/>
    <w:rsid w:val="00E457A8"/>
    <w:rsid w:val="00E51A82"/>
    <w:rsid w:val="00E545A4"/>
    <w:rsid w:val="00E57497"/>
    <w:rsid w:val="00E577CF"/>
    <w:rsid w:val="00E609EA"/>
    <w:rsid w:val="00E63BBB"/>
    <w:rsid w:val="00E67266"/>
    <w:rsid w:val="00E70B5C"/>
    <w:rsid w:val="00E742A3"/>
    <w:rsid w:val="00E817D2"/>
    <w:rsid w:val="00E824AE"/>
    <w:rsid w:val="00E834B9"/>
    <w:rsid w:val="00E849FC"/>
    <w:rsid w:val="00E850B3"/>
    <w:rsid w:val="00E86953"/>
    <w:rsid w:val="00E9265D"/>
    <w:rsid w:val="00EA78B9"/>
    <w:rsid w:val="00EB0704"/>
    <w:rsid w:val="00EB088A"/>
    <w:rsid w:val="00EB09FB"/>
    <w:rsid w:val="00EB7AC3"/>
    <w:rsid w:val="00EC13CE"/>
    <w:rsid w:val="00EC353A"/>
    <w:rsid w:val="00EC7AA8"/>
    <w:rsid w:val="00ED176D"/>
    <w:rsid w:val="00ED33CC"/>
    <w:rsid w:val="00ED539B"/>
    <w:rsid w:val="00ED7551"/>
    <w:rsid w:val="00EE1D7E"/>
    <w:rsid w:val="00EE38E5"/>
    <w:rsid w:val="00EE47CF"/>
    <w:rsid w:val="00EE5110"/>
    <w:rsid w:val="00EF0663"/>
    <w:rsid w:val="00EF3026"/>
    <w:rsid w:val="00EF3DE0"/>
    <w:rsid w:val="00EF45DF"/>
    <w:rsid w:val="00EF7A7B"/>
    <w:rsid w:val="00F00CA6"/>
    <w:rsid w:val="00F011F2"/>
    <w:rsid w:val="00F03210"/>
    <w:rsid w:val="00F0332F"/>
    <w:rsid w:val="00F0466E"/>
    <w:rsid w:val="00F05AB0"/>
    <w:rsid w:val="00F05FCB"/>
    <w:rsid w:val="00F115E0"/>
    <w:rsid w:val="00F119F3"/>
    <w:rsid w:val="00F13092"/>
    <w:rsid w:val="00F1507D"/>
    <w:rsid w:val="00F16505"/>
    <w:rsid w:val="00F21852"/>
    <w:rsid w:val="00F27ED0"/>
    <w:rsid w:val="00F34F4D"/>
    <w:rsid w:val="00F35050"/>
    <w:rsid w:val="00F35CD7"/>
    <w:rsid w:val="00F40B9D"/>
    <w:rsid w:val="00F40E25"/>
    <w:rsid w:val="00F448C9"/>
    <w:rsid w:val="00F46D9E"/>
    <w:rsid w:val="00F5165A"/>
    <w:rsid w:val="00F5755E"/>
    <w:rsid w:val="00F602BD"/>
    <w:rsid w:val="00F61AFC"/>
    <w:rsid w:val="00F65570"/>
    <w:rsid w:val="00F75532"/>
    <w:rsid w:val="00F7594E"/>
    <w:rsid w:val="00F76026"/>
    <w:rsid w:val="00F76E12"/>
    <w:rsid w:val="00F8043D"/>
    <w:rsid w:val="00F82BEA"/>
    <w:rsid w:val="00F84168"/>
    <w:rsid w:val="00F84749"/>
    <w:rsid w:val="00F8547D"/>
    <w:rsid w:val="00F8597A"/>
    <w:rsid w:val="00F85CE3"/>
    <w:rsid w:val="00F90C32"/>
    <w:rsid w:val="00F90C9D"/>
    <w:rsid w:val="00F91A5F"/>
    <w:rsid w:val="00F95872"/>
    <w:rsid w:val="00F96495"/>
    <w:rsid w:val="00F96EDB"/>
    <w:rsid w:val="00F97DC9"/>
    <w:rsid w:val="00FA0411"/>
    <w:rsid w:val="00FA412C"/>
    <w:rsid w:val="00FA6939"/>
    <w:rsid w:val="00FB0236"/>
    <w:rsid w:val="00FB464E"/>
    <w:rsid w:val="00FC0226"/>
    <w:rsid w:val="00FC066C"/>
    <w:rsid w:val="00FC0DAD"/>
    <w:rsid w:val="00FC0F6D"/>
    <w:rsid w:val="00FC171B"/>
    <w:rsid w:val="00FC2FB9"/>
    <w:rsid w:val="00FC3EE6"/>
    <w:rsid w:val="00FC46E5"/>
    <w:rsid w:val="00FC55A6"/>
    <w:rsid w:val="00FC6259"/>
    <w:rsid w:val="00FD02A7"/>
    <w:rsid w:val="00FD286A"/>
    <w:rsid w:val="00FD344D"/>
    <w:rsid w:val="00FD4545"/>
    <w:rsid w:val="00FD45EB"/>
    <w:rsid w:val="00FD4DCC"/>
    <w:rsid w:val="00FD6829"/>
    <w:rsid w:val="00FD682C"/>
    <w:rsid w:val="00FD74FF"/>
    <w:rsid w:val="00FE19A9"/>
    <w:rsid w:val="00FE2D25"/>
    <w:rsid w:val="00FE3C9E"/>
    <w:rsid w:val="00FF0907"/>
    <w:rsid w:val="00FF16BF"/>
    <w:rsid w:val="00FF18C1"/>
    <w:rsid w:val="00FF4ACF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2F01"/>
  <w15:chartTrackingRefBased/>
  <w15:docId w15:val="{D3E689DD-33A5-443E-AAAF-2B9FB7A9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1B1"/>
    <w:pPr>
      <w:ind w:left="720"/>
      <w:contextualSpacing/>
    </w:pPr>
  </w:style>
  <w:style w:type="table" w:styleId="TableGrid">
    <w:name w:val="Table Grid"/>
    <w:basedOn w:val="TableNormal"/>
    <w:uiPriority w:val="39"/>
    <w:rsid w:val="00E35EA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7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725"/>
    <w:rPr>
      <w:color w:val="605E5C"/>
      <w:shd w:val="clear" w:color="auto" w:fill="E1DFDD"/>
    </w:rPr>
  </w:style>
  <w:style w:type="paragraph" w:customStyle="1" w:styleId="textnormal">
    <w:name w:val="textnormal"/>
    <w:basedOn w:val="Normal"/>
    <w:rsid w:val="00A87DCF"/>
    <w:pPr>
      <w:suppressAutoHyphens/>
      <w:spacing w:line="360" w:lineRule="auto"/>
      <w:jc w:val="both"/>
    </w:pPr>
    <w:rPr>
      <w:sz w:val="26"/>
      <w:szCs w:val="20"/>
      <w:lang w:val="en-GB" w:eastAsia="en-GB"/>
    </w:rPr>
  </w:style>
  <w:style w:type="character" w:customStyle="1" w:styleId="dig-theme">
    <w:name w:val="dig-theme"/>
    <w:basedOn w:val="DefaultParagraphFont"/>
    <w:rsid w:val="00A87DCF"/>
  </w:style>
  <w:style w:type="paragraph" w:styleId="FootnoteText">
    <w:name w:val="footnote text"/>
    <w:basedOn w:val="Normal"/>
    <w:link w:val="FootnoteTextChar"/>
    <w:uiPriority w:val="99"/>
    <w:semiHidden/>
    <w:unhideWhenUsed/>
    <w:rsid w:val="00116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34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163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5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2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2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22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10"/>
    <w:rPr>
      <w:rFonts w:ascii="Segoe UI" w:eastAsia="Times New Roman" w:hAnsi="Segoe UI" w:cs="Segoe UI"/>
      <w:sz w:val="18"/>
      <w:szCs w:val="18"/>
      <w:lang w:eastAsia="de-DE"/>
    </w:rPr>
  </w:style>
  <w:style w:type="paragraph" w:styleId="Revision">
    <w:name w:val="Revision"/>
    <w:hidden/>
    <w:uiPriority w:val="99"/>
    <w:semiHidden/>
    <w:rsid w:val="00310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576F30"/>
    <w:rPr>
      <w:color w:val="954F72" w:themeColor="followedHyperlink"/>
      <w:u w:val="single"/>
    </w:rPr>
  </w:style>
  <w:style w:type="paragraph" w:customStyle="1" w:styleId="ct">
    <w:name w:val="ct"/>
    <w:basedOn w:val="Normal"/>
    <w:rsid w:val="00DF7436"/>
    <w:pPr>
      <w:keepNext/>
      <w:keepLines/>
      <w:suppressAutoHyphens/>
      <w:spacing w:line="360" w:lineRule="auto"/>
      <w:ind w:left="851" w:hanging="851"/>
    </w:pPr>
    <w:rPr>
      <w:b/>
      <w:sz w:val="4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10D0-30BA-44E2-89F1-978B8645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2239</Words>
  <Characters>12765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ildi clarke</cp:lastModifiedBy>
  <cp:revision>2</cp:revision>
  <dcterms:created xsi:type="dcterms:W3CDTF">2025-12-01T15:46:00Z</dcterms:created>
  <dcterms:modified xsi:type="dcterms:W3CDTF">2025-12-01T15:46:00Z</dcterms:modified>
</cp:coreProperties>
</file>