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211"/>
        <w:gridCol w:w="43"/>
        <w:gridCol w:w="2578"/>
        <w:gridCol w:w="3141"/>
        <w:gridCol w:w="5667"/>
        <w:gridCol w:w="2716"/>
        <w:gridCol w:w="43"/>
      </w:tblGrid>
      <w:tr w:rsidR="00797136" w:rsidRPr="005B3921" w14:paraId="34594461" w14:textId="77777777" w:rsidTr="00797136">
        <w:trPr>
          <w:gridAfter w:val="1"/>
          <w:wAfter w:w="14" w:type="pct"/>
          <w:trHeight w:val="300"/>
        </w:trPr>
        <w:tc>
          <w:tcPr>
            <w:tcW w:w="4986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4D72AA47" w14:textId="07C19B0A" w:rsidR="00797136" w:rsidRPr="00711129" w:rsidRDefault="00CB6394" w:rsidP="00A950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 xml:space="preserve">Supplementary material - </w:t>
            </w:r>
            <w:r w:rsidR="00711129">
              <w:rPr>
                <w:rFonts w:ascii="Arial" w:eastAsia="Times New Roman" w:hAnsi="Arial" w:cs="Arial"/>
                <w:b/>
                <w:bCs/>
              </w:rPr>
              <w:t xml:space="preserve">Critical review summary on </w:t>
            </w:r>
            <w:r w:rsidR="00797136" w:rsidRPr="00711129">
              <w:rPr>
                <w:rFonts w:ascii="Arial" w:eastAsia="Times New Roman" w:hAnsi="Arial" w:cs="Arial"/>
                <w:b/>
                <w:bCs/>
              </w:rPr>
              <w:t>complexity and benefits of GP training</w:t>
            </w:r>
          </w:p>
          <w:p w14:paraId="4D68462E" w14:textId="77777777" w:rsidR="00797136" w:rsidRPr="005B3921" w:rsidRDefault="00797136" w:rsidP="00A950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3921" w:rsidRPr="005B3921" w14:paraId="1ADDCF88" w14:textId="77777777" w:rsidTr="00797136">
        <w:trPr>
          <w:gridAfter w:val="1"/>
          <w:wAfter w:w="14" w:type="pct"/>
          <w:trHeight w:val="300"/>
        </w:trPr>
        <w:tc>
          <w:tcPr>
            <w:tcW w:w="1244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ADDCF84" w14:textId="7A07D2A7" w:rsidR="00FA56C3" w:rsidRPr="005B3921" w:rsidRDefault="00D522E2" w:rsidP="00FA16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TABLE 1</w:t>
            </w:r>
            <w:r w:rsidR="00EA58AE"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  <w:r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FA56C3"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GP </w:t>
            </w:r>
            <w:r w:rsidR="00FA16CA"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interaction with </w:t>
            </w:r>
            <w:r w:rsidR="00C477DF"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</w:t>
            </w:r>
            <w:r w:rsidR="00FA16CA"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atients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DCF85" w14:textId="77777777" w:rsidR="00FA56C3" w:rsidRPr="005B3921" w:rsidRDefault="00FA56C3" w:rsidP="00A950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DCF86" w14:textId="77777777" w:rsidR="00FA56C3" w:rsidRPr="005B3921" w:rsidRDefault="00FA56C3" w:rsidP="00A950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DCF87" w14:textId="77777777" w:rsidR="00FA56C3" w:rsidRPr="005B3921" w:rsidRDefault="00FA56C3" w:rsidP="00A9502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B3921" w:rsidRPr="005B3921" w14:paraId="1ADDCF8E" w14:textId="77777777" w:rsidTr="00797136">
        <w:trPr>
          <w:gridAfter w:val="1"/>
          <w:wAfter w:w="14" w:type="pct"/>
          <w:trHeight w:val="270"/>
        </w:trPr>
        <w:tc>
          <w:tcPr>
            <w:tcW w:w="39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89" w14:textId="77777777" w:rsidR="00FE1465" w:rsidRPr="005B3921" w:rsidRDefault="00FE1465" w:rsidP="00FE1465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Author &amp; Year</w:t>
            </w:r>
          </w:p>
        </w:tc>
        <w:tc>
          <w:tcPr>
            <w:tcW w:w="85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8A" w14:textId="26DF02A4" w:rsidR="00FE1465" w:rsidRPr="005B3921" w:rsidRDefault="00FE1465" w:rsidP="00FE14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Research Aim/</w:t>
            </w:r>
            <w:r w:rsidR="00EA58AE"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</w:t>
            </w: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ocus</w:t>
            </w:r>
          </w:p>
        </w:tc>
        <w:tc>
          <w:tcPr>
            <w:tcW w:w="102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8B" w14:textId="1B5C84DA" w:rsidR="00FE1465" w:rsidRPr="005B3921" w:rsidRDefault="00E41AEC" w:rsidP="00E41A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Theory/Methodology/Country</w:t>
            </w:r>
          </w:p>
        </w:tc>
        <w:tc>
          <w:tcPr>
            <w:tcW w:w="18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8C" w14:textId="62E9718D" w:rsidR="00FE1465" w:rsidRPr="005B3921" w:rsidRDefault="00FE1465" w:rsidP="00FE14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Key Findings</w:t>
            </w:r>
          </w:p>
        </w:tc>
        <w:tc>
          <w:tcPr>
            <w:tcW w:w="88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8D" w14:textId="53741311" w:rsidR="00FE1465" w:rsidRPr="005B3921" w:rsidRDefault="00FE1465" w:rsidP="00FE14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Future research</w:t>
            </w:r>
          </w:p>
        </w:tc>
      </w:tr>
      <w:tr w:rsidR="005B3921" w:rsidRPr="005B3921" w14:paraId="1ADDCF96" w14:textId="77777777" w:rsidTr="00797136">
        <w:trPr>
          <w:gridAfter w:val="1"/>
          <w:wAfter w:w="14" w:type="pct"/>
          <w:trHeight w:val="122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ADDCF8F" w14:textId="53226CF3" w:rsidR="006A2003" w:rsidRPr="005B3921" w:rsidRDefault="006A2003" w:rsidP="00CD18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 xml:space="preserve">Peters et al., 2009.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DCF90" w14:textId="6ABA843C" w:rsidR="006A2003" w:rsidRPr="00541706" w:rsidRDefault="006A2003" w:rsidP="006A200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41706">
              <w:rPr>
                <w:rFonts w:ascii="Arial" w:hAnsi="Arial" w:cs="Arial"/>
                <w:sz w:val="16"/>
                <w:szCs w:val="16"/>
              </w:rPr>
              <w:t>Examine patient's experiences and barriers in the management of medically unexplained symptoms by GPs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</w:tcPr>
          <w:p w14:paraId="47616E3F" w14:textId="77777777" w:rsidR="006A2003" w:rsidRPr="00541706" w:rsidRDefault="006A2003" w:rsidP="0069332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706">
              <w:rPr>
                <w:rFonts w:ascii="Arial" w:hAnsi="Arial" w:cs="Arial"/>
                <w:sz w:val="16"/>
                <w:szCs w:val="16"/>
              </w:rPr>
              <w:t>Reattribution model/</w:t>
            </w:r>
            <w:r w:rsidR="00693329" w:rsidRPr="00541706">
              <w:rPr>
                <w:rFonts w:ascii="Arial" w:hAnsi="Arial" w:cs="Arial"/>
                <w:sz w:val="16"/>
                <w:szCs w:val="16"/>
              </w:rPr>
              <w:t>q</w:t>
            </w:r>
            <w:r w:rsidRPr="00541706">
              <w:rPr>
                <w:rFonts w:ascii="Arial" w:hAnsi="Arial" w:cs="Arial"/>
                <w:sz w:val="16"/>
                <w:szCs w:val="16"/>
              </w:rPr>
              <w:t>ualitative study</w:t>
            </w:r>
          </w:p>
          <w:p w14:paraId="5E281B7F" w14:textId="77777777" w:rsidR="00E41AEC" w:rsidRPr="00541706" w:rsidRDefault="00E41AEC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91" w14:textId="35863E36" w:rsidR="00541706" w:rsidRPr="00541706" w:rsidRDefault="00541706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41706">
              <w:rPr>
                <w:rFonts w:ascii="Arial" w:eastAsia="Times New Roman" w:hAnsi="Arial" w:cs="Arial"/>
                <w:sz w:val="16"/>
                <w:szCs w:val="16"/>
              </w:rPr>
              <w:t>UK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</w:tcPr>
          <w:p w14:paraId="18D422B0" w14:textId="77777777" w:rsidR="006A2003" w:rsidRPr="005B3921" w:rsidRDefault="006A2003" w:rsidP="006A2003">
            <w:pPr>
              <w:pStyle w:val="ListParagraph"/>
              <w:numPr>
                <w:ilvl w:val="0"/>
                <w:numId w:val="36"/>
              </w:numPr>
              <w:spacing w:after="24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 xml:space="preserve">Patients have complex problems both medical and non-medical. </w:t>
            </w:r>
          </w:p>
          <w:p w14:paraId="3EC21D81" w14:textId="77777777" w:rsidR="006A2003" w:rsidRPr="005B3921" w:rsidRDefault="006A2003" w:rsidP="006A2003">
            <w:pPr>
              <w:pStyle w:val="ListParagraph"/>
              <w:numPr>
                <w:ilvl w:val="0"/>
                <w:numId w:val="36"/>
              </w:numPr>
              <w:spacing w:after="24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 xml:space="preserve">Patients are reluctant to discuss the psychological aspects of their problems with GPs. </w:t>
            </w:r>
          </w:p>
          <w:p w14:paraId="74186633" w14:textId="77777777" w:rsidR="006A2003" w:rsidRPr="005B3921" w:rsidRDefault="006A2003" w:rsidP="006A2003">
            <w:pPr>
              <w:pStyle w:val="ListParagraph"/>
              <w:numPr>
                <w:ilvl w:val="0"/>
                <w:numId w:val="36"/>
              </w:numPr>
              <w:spacing w:after="24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 xml:space="preserve">GPs should understand and assist patients to make sense of their problems. </w:t>
            </w:r>
          </w:p>
          <w:p w14:paraId="4351A5E4" w14:textId="77777777" w:rsidR="006A2003" w:rsidRPr="005B3921" w:rsidRDefault="006A2003" w:rsidP="006A2003">
            <w:pPr>
              <w:pStyle w:val="ListParagraph"/>
              <w:numPr>
                <w:ilvl w:val="0"/>
                <w:numId w:val="36"/>
              </w:numPr>
              <w:spacing w:after="24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 xml:space="preserve">Trust is essential in managing complex patient issues.  </w:t>
            </w:r>
          </w:p>
          <w:p w14:paraId="1ADDCF94" w14:textId="2E55FF2F" w:rsidR="006A2003" w:rsidRPr="005B3921" w:rsidRDefault="006A2003" w:rsidP="006A2003">
            <w:pPr>
              <w:pStyle w:val="ListParagraph"/>
              <w:numPr>
                <w:ilvl w:val="0"/>
                <w:numId w:val="36"/>
              </w:numPr>
              <w:spacing w:after="24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>GPs need to assure patients that addressing mental and social issues does not mean neglecting their physical health.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</w:tcPr>
          <w:p w14:paraId="1ADDCF95" w14:textId="56086756" w:rsidR="006A2003" w:rsidRPr="005B3921" w:rsidRDefault="006A2003" w:rsidP="006A200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>Develop interventions that help GPs address the complexity of patients’ problems</w:t>
            </w:r>
          </w:p>
        </w:tc>
      </w:tr>
      <w:tr w:rsidR="005B3921" w:rsidRPr="005B3921" w14:paraId="1ADDCF9E" w14:textId="77777777" w:rsidTr="00797136">
        <w:trPr>
          <w:gridAfter w:val="1"/>
          <w:wAfter w:w="14" w:type="pct"/>
          <w:trHeight w:val="1380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97" w14:textId="77777777" w:rsidR="00411463" w:rsidRPr="005B3921" w:rsidRDefault="00411463" w:rsidP="00CD18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Thompson et al., 2021.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98" w14:textId="77777777" w:rsidR="00411463" w:rsidRPr="00E03C29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Examine how GPs and their patients talk about chronic pain in consultations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5851D7" w14:textId="77777777" w:rsidR="00411463" w:rsidRPr="00E03C29" w:rsidRDefault="00411463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Qualitative study/complexity framework</w:t>
            </w:r>
          </w:p>
          <w:p w14:paraId="5E48761A" w14:textId="77777777" w:rsidR="00E03C29" w:rsidRPr="00E03C29" w:rsidRDefault="00E03C29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99" w14:textId="4A60A590" w:rsidR="00E03C29" w:rsidRPr="00E03C29" w:rsidRDefault="00E03C29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New Zealand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9A" w14:textId="77777777" w:rsidR="008D49B1" w:rsidRPr="005B3921" w:rsidRDefault="0041146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Chronic pain consultations are complex and require empathy and effective communication. </w:t>
            </w:r>
          </w:p>
          <w:p w14:paraId="1ADDCF9B" w14:textId="77777777" w:rsidR="008D49B1" w:rsidRPr="005B3921" w:rsidRDefault="0041146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Empathy and communication in regular consultations is influenced by GP-patient relationship, cultural differences. </w:t>
            </w:r>
          </w:p>
          <w:p w14:paraId="1ADDCF9C" w14:textId="77777777" w:rsidR="00411463" w:rsidRPr="005B3921" w:rsidRDefault="0041146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Managing chronic pain requi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>res understanding and empathy however, m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any patients often felt a lack of understanding from doctors.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9D" w14:textId="77777777" w:rsidR="00411463" w:rsidRPr="005B3921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Examine the complex interactions between doctors and patients better during chronic pain consultations. </w:t>
            </w:r>
          </w:p>
        </w:tc>
      </w:tr>
      <w:tr w:rsidR="005B3921" w:rsidRPr="005B3921" w14:paraId="1ADDCFA7" w14:textId="77777777" w:rsidTr="00797136">
        <w:trPr>
          <w:gridAfter w:val="1"/>
          <w:wAfter w:w="14" w:type="pct"/>
          <w:trHeight w:val="158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9F" w14:textId="77777777" w:rsidR="00411463" w:rsidRPr="005B3921" w:rsidRDefault="00411463" w:rsidP="00CD18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Nilsen et al., 2015.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A0" w14:textId="77777777" w:rsidR="00411463" w:rsidRPr="005B3921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Explore the negotiation strategies of GPs regarding sick-leave for patients with subjective health complaints. 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013AA9" w14:textId="77777777" w:rsidR="00411463" w:rsidRDefault="00411463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Qualitative study / Lipsky's street-level bureaucracy theory</w:t>
            </w:r>
          </w:p>
          <w:p w14:paraId="05344E99" w14:textId="77777777" w:rsidR="00680FA3" w:rsidRDefault="00680FA3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A1" w14:textId="42B7F7F5" w:rsidR="00680FA3" w:rsidRPr="005B3921" w:rsidRDefault="00680FA3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80FA3">
              <w:rPr>
                <w:rFonts w:ascii="Arial" w:eastAsia="Times New Roman" w:hAnsi="Arial" w:cs="Arial"/>
                <w:sz w:val="16"/>
                <w:szCs w:val="16"/>
              </w:rPr>
              <w:t>Norway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A2" w14:textId="77777777" w:rsidR="008D49B1" w:rsidRPr="005B3921" w:rsidRDefault="0041146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use negotiation techniques to limit the duration of patients' time off work. </w:t>
            </w:r>
          </w:p>
          <w:p w14:paraId="1ADDCFA3" w14:textId="77777777" w:rsidR="008D49B1" w:rsidRPr="005B3921" w:rsidRDefault="0041146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initiate negotiations by communicating with patients to understand their situation and need. </w:t>
            </w:r>
          </w:p>
          <w:p w14:paraId="1ADDCFA4" w14:textId="7B352BDD" w:rsidR="008D49B1" w:rsidRPr="005B3921" w:rsidRDefault="001D17F0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GPs e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mphasize</w:t>
            </w:r>
            <w:r w:rsidR="00411463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the benefits of work participation, discuss legal issues, and encourage patients to return to work early. </w:t>
            </w:r>
          </w:p>
          <w:p w14:paraId="1ADDCFA5" w14:textId="77777777" w:rsidR="00411463" w:rsidRPr="005B3921" w:rsidRDefault="0041146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GPs collaborate with employers and social security agencies to explore alternative solutions to sick leave.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A6" w14:textId="77777777" w:rsidR="00411463" w:rsidRPr="005B3921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Investigate the effectiveness of doctor-patient negotiations about patients' request for sickness certification in complex sick-leave case as well as the request for non-medical reasons</w:t>
            </w:r>
          </w:p>
        </w:tc>
      </w:tr>
      <w:tr w:rsidR="005B3921" w:rsidRPr="005B3921" w14:paraId="1ADDCFB0" w14:textId="77777777" w:rsidTr="00797136">
        <w:trPr>
          <w:gridAfter w:val="1"/>
          <w:wAfter w:w="14" w:type="pct"/>
          <w:trHeight w:val="158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A8" w14:textId="77777777" w:rsidR="00FA56C3" w:rsidRPr="005B3921" w:rsidRDefault="00FA56C3" w:rsidP="00CD18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Darley et al., 2022.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A9" w14:textId="77777777" w:rsidR="00FA56C3" w:rsidRPr="005B3921" w:rsidRDefault="00FA56C3" w:rsidP="00A028B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Review the </w:t>
            </w:r>
            <w:r w:rsidR="00A028B8" w:rsidRPr="005B3921">
              <w:rPr>
                <w:rFonts w:ascii="Arial" w:eastAsia="Times New Roman" w:hAnsi="Arial" w:cs="Arial"/>
                <w:sz w:val="16"/>
                <w:szCs w:val="16"/>
              </w:rPr>
              <w:t>effects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of online consultations on the quality of primary care.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D3A9AF" w14:textId="77777777" w:rsidR="00FA56C3" w:rsidRDefault="00FA56C3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Systematic review</w:t>
            </w:r>
          </w:p>
          <w:p w14:paraId="352183A7" w14:textId="77777777" w:rsidR="00E41AEC" w:rsidRDefault="00E41AEC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AA" w14:textId="2442FBB8" w:rsidR="00E41AEC" w:rsidRPr="005B3921" w:rsidRDefault="00E41AEC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AB" w14:textId="77777777" w:rsidR="008D49B1" w:rsidRPr="005B3921" w:rsidRDefault="00FA56C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Online consultations increased access and satisfaction in primary care, particularly for patients with mental health conditions. </w:t>
            </w:r>
          </w:p>
          <w:p w14:paraId="1ADDCFAC" w14:textId="77777777" w:rsidR="008D49B1" w:rsidRPr="005B3921" w:rsidRDefault="00FA56C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Allowed for focused consultations and made patient care safer, especially when patients could freely explain their problems. </w:t>
            </w:r>
          </w:p>
          <w:p w14:paraId="1ADDCFAD" w14:textId="435B85F2" w:rsidR="008D49B1" w:rsidRPr="005B3921" w:rsidRDefault="00FA56C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The cost of </w:t>
            </w:r>
            <w:r w:rsidR="00BF5DC9">
              <w:rPr>
                <w:rFonts w:ascii="Arial" w:eastAsia="Times New Roman" w:hAnsi="Arial" w:cs="Arial"/>
                <w:sz w:val="16"/>
                <w:szCs w:val="16"/>
              </w:rPr>
              <w:t>o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nline consultations decre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>a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ses for simple issues but increases for complex ones. </w:t>
            </w:r>
          </w:p>
          <w:p w14:paraId="1ADDCFAE" w14:textId="77777777" w:rsidR="00FA56C3" w:rsidRPr="005B3921" w:rsidRDefault="00FA56C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The workload for staff increased, when online consultation is integrated with other systems or used for complex issues.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AF" w14:textId="77777777" w:rsidR="00FA56C3" w:rsidRPr="005B3921" w:rsidRDefault="00FA56C3" w:rsidP="00A950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Explore how online consultation systems to manage complex medical conditions to benefit all patients.</w:t>
            </w:r>
          </w:p>
        </w:tc>
      </w:tr>
      <w:tr w:rsidR="005B3921" w:rsidRPr="005B3921" w14:paraId="1ADDCFB8" w14:textId="77777777" w:rsidTr="00797136">
        <w:trPr>
          <w:gridAfter w:val="1"/>
          <w:wAfter w:w="14" w:type="pct"/>
          <w:trHeight w:val="86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B1" w14:textId="77777777" w:rsidR="00411463" w:rsidRPr="005B3921" w:rsidRDefault="00411463" w:rsidP="008F64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5B3921">
              <w:rPr>
                <w:rFonts w:ascii="Arial" w:eastAsia="Times New Roman" w:hAnsi="Arial" w:cs="Arial"/>
                <w:sz w:val="16"/>
                <w:szCs w:val="16"/>
              </w:rPr>
              <w:t>Wanderås</w:t>
            </w:r>
            <w:proofErr w:type="spellEnd"/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et al., 2023.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B2" w14:textId="77777777" w:rsidR="00411463" w:rsidRPr="005B3921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Explore the experiences of patients and GPs in the use of video conferencing in general practice settings. 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F8F178" w14:textId="77777777" w:rsidR="00411463" w:rsidRDefault="00411463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Systematic review</w:t>
            </w:r>
          </w:p>
          <w:p w14:paraId="7D545CF6" w14:textId="77777777" w:rsidR="00E41AEC" w:rsidRDefault="00E41AEC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B3" w14:textId="287F3770" w:rsidR="00E41AEC" w:rsidRPr="005B3921" w:rsidRDefault="00E41AEC" w:rsidP="006933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B4" w14:textId="77777777" w:rsidR="008D49B1" w:rsidRPr="005B3921" w:rsidRDefault="0041146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Patients found video consultations convenient and stress free relative to face-to-face consultations. </w:t>
            </w:r>
          </w:p>
          <w:p w14:paraId="1ADDCFB5" w14:textId="77777777" w:rsidR="008D49B1" w:rsidRPr="005B3921" w:rsidRDefault="0041146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GPs found video consultations flexible and efficient in making accurate diagnoses by r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elying on their experience and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relationships with their patients. </w:t>
            </w:r>
          </w:p>
          <w:p w14:paraId="1ADDCFB6" w14:textId="75DB4D82" w:rsidR="00411463" w:rsidRPr="005B3921" w:rsidRDefault="00411463" w:rsidP="004B4F3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Lack of physical contact affected </w:t>
            </w:r>
            <w:r w:rsidR="00EA58AE" w:rsidRPr="005B3921">
              <w:rPr>
                <w:rFonts w:ascii="Arial" w:eastAsia="Times New Roman" w:hAnsi="Arial" w:cs="Arial"/>
                <w:sz w:val="16"/>
                <w:szCs w:val="16"/>
              </w:rPr>
              <w:t>therapeutic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care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B7" w14:textId="77777777" w:rsidR="00411463" w:rsidRPr="005B3921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A longitudinal study is needed to assess the role of video consultation in general practice and impact on patients over time.</w:t>
            </w:r>
          </w:p>
        </w:tc>
      </w:tr>
      <w:tr w:rsidR="005B3921" w:rsidRPr="005B3921" w14:paraId="1ADDCFBC" w14:textId="77777777" w:rsidTr="00797136">
        <w:trPr>
          <w:gridAfter w:val="1"/>
          <w:wAfter w:w="14" w:type="pct"/>
          <w:trHeight w:val="300"/>
        </w:trPr>
        <w:tc>
          <w:tcPr>
            <w:tcW w:w="4986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78A1FB9" w14:textId="77777777" w:rsidR="00C477DF" w:rsidRDefault="00C477DF" w:rsidP="007A36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742D99D7" w14:textId="77777777" w:rsidR="00497002" w:rsidRDefault="00497002" w:rsidP="007A36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36A9E347" w14:textId="77777777" w:rsidR="00497002" w:rsidRDefault="00497002" w:rsidP="007A36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01799945" w14:textId="77777777" w:rsidR="00497002" w:rsidRPr="005B3921" w:rsidRDefault="00497002" w:rsidP="007A36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58EFAA5D" w14:textId="77777777" w:rsidR="00C477DF" w:rsidRPr="005B3921" w:rsidRDefault="00C477DF" w:rsidP="007A365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1ADDCFBB" w14:textId="57D570AE" w:rsidR="00C477DF" w:rsidRPr="005B3921" w:rsidRDefault="00C477DF" w:rsidP="00A950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TABLE 2</w:t>
            </w:r>
            <w:r w:rsidR="00EA58AE"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  <w:r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GP interaction with other professionals</w:t>
            </w:r>
            <w:r w:rsidR="00A20865"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including </w:t>
            </w:r>
            <w:r w:rsidR="0048308F"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medical cases</w:t>
            </w:r>
          </w:p>
        </w:tc>
      </w:tr>
      <w:tr w:rsidR="005B3921" w:rsidRPr="005B3921" w14:paraId="1ADDCFC2" w14:textId="77777777" w:rsidTr="00797136">
        <w:trPr>
          <w:gridAfter w:val="1"/>
          <w:wAfter w:w="14" w:type="pct"/>
          <w:trHeight w:val="263"/>
        </w:trPr>
        <w:tc>
          <w:tcPr>
            <w:tcW w:w="39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BD" w14:textId="77777777" w:rsidR="00C633F0" w:rsidRPr="005B3921" w:rsidRDefault="00C633F0" w:rsidP="00C633F0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lastRenderedPageBreak/>
              <w:t>Author &amp; Year</w:t>
            </w:r>
          </w:p>
        </w:tc>
        <w:tc>
          <w:tcPr>
            <w:tcW w:w="85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BE" w14:textId="2D1FC96D" w:rsidR="00C633F0" w:rsidRPr="005B3921" w:rsidRDefault="00C633F0" w:rsidP="00C633F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Research Aim/</w:t>
            </w:r>
            <w:r w:rsidR="00EA58AE"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</w:t>
            </w: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ocus</w:t>
            </w:r>
          </w:p>
        </w:tc>
        <w:tc>
          <w:tcPr>
            <w:tcW w:w="102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BF" w14:textId="7CC4C89E" w:rsidR="00C633F0" w:rsidRPr="005B3921" w:rsidRDefault="00C633F0" w:rsidP="00C63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Theory/Methodology</w:t>
            </w:r>
          </w:p>
        </w:tc>
        <w:tc>
          <w:tcPr>
            <w:tcW w:w="18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C0" w14:textId="5BE9B949" w:rsidR="00C633F0" w:rsidRPr="005B3921" w:rsidRDefault="00C633F0" w:rsidP="00C63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Key Findings</w:t>
            </w:r>
          </w:p>
        </w:tc>
        <w:tc>
          <w:tcPr>
            <w:tcW w:w="88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CFC1" w14:textId="3D2DB76D" w:rsidR="00C633F0" w:rsidRPr="005B3921" w:rsidRDefault="00C633F0" w:rsidP="00C633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Future research</w:t>
            </w:r>
          </w:p>
        </w:tc>
      </w:tr>
      <w:tr w:rsidR="005B3921" w:rsidRPr="005B3921" w14:paraId="1ADDCFD3" w14:textId="77777777" w:rsidTr="00797136">
        <w:trPr>
          <w:gridAfter w:val="1"/>
          <w:wAfter w:w="14" w:type="pct"/>
          <w:trHeight w:val="212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CFCB" w14:textId="77777777" w:rsidR="00FA56C3" w:rsidRPr="005B3921" w:rsidRDefault="00FA56C3" w:rsidP="008F64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McDermott et al., 2022.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CC" w14:textId="77777777" w:rsidR="00FA56C3" w:rsidRPr="005B3921" w:rsidRDefault="00FA56C3" w:rsidP="00A028B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Analyze the </w:t>
            </w:r>
            <w:r w:rsidR="00A028B8" w:rsidRPr="005B3921">
              <w:rPr>
                <w:rFonts w:ascii="Arial" w:eastAsia="Times New Roman" w:hAnsi="Arial" w:cs="Arial"/>
                <w:sz w:val="16"/>
                <w:szCs w:val="16"/>
              </w:rPr>
              <w:t>nature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and impact of </w:t>
            </w:r>
            <w:r w:rsidR="00A028B8" w:rsidRPr="005B3921">
              <w:rPr>
                <w:rFonts w:ascii="Arial" w:eastAsia="Times New Roman" w:hAnsi="Arial" w:cs="Arial"/>
                <w:sz w:val="16"/>
                <w:szCs w:val="16"/>
              </w:rPr>
              <w:t>evolving patterns in the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employment </w:t>
            </w:r>
            <w:r w:rsidR="00A028B8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of practitioners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 general practice</w:t>
            </w:r>
            <w:r w:rsidR="00A028B8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settings.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2684FC" w14:textId="77777777" w:rsidR="00FA56C3" w:rsidRDefault="00FA56C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Mixed-methods / egocentric social network approach</w:t>
            </w:r>
          </w:p>
          <w:p w14:paraId="66C887F1" w14:textId="77777777" w:rsidR="00680FA3" w:rsidRDefault="00680FA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CD" w14:textId="361424EF" w:rsidR="00680FA3" w:rsidRPr="005B3921" w:rsidRDefault="00680FA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CE" w14:textId="77777777" w:rsidR="008D49B1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Even though the recruitment of full-time healthcare workers, nurse practitioners and clinical pharmacists increased, GP partners decreased. </w:t>
            </w:r>
          </w:p>
          <w:p w14:paraId="1ADDCFCF" w14:textId="77777777" w:rsidR="008D49B1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Motivation for hiring a mix of skills for GPs is to address shortages while managers focused on saving costs. </w:t>
            </w:r>
          </w:p>
          <w:p w14:paraId="1ADDCFD0" w14:textId="3F27BC02" w:rsidR="008D49B1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Implementing a mix of different skills in general practice pose difficulties because the cases d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octors handle </w:t>
            </w:r>
            <w:r w:rsidR="004B4F3D" w:rsidRPr="005B3921">
              <w:rPr>
                <w:rFonts w:ascii="Arial" w:eastAsia="Times New Roman" w:hAnsi="Arial" w:cs="Arial"/>
                <w:sz w:val="16"/>
                <w:szCs w:val="16"/>
              </w:rPr>
              <w:t>is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very complex.</w:t>
            </w:r>
          </w:p>
          <w:p w14:paraId="1ADDCFD1" w14:textId="77777777" w:rsidR="00FA56C3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Matching patients with the right practitioners requires flexibility. Challenges include managing work distribution, maintaining patient satisfaction, and ensuring adequate training and support for newer practitioners.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D2" w14:textId="77777777" w:rsidR="00FA56C3" w:rsidRPr="005B3921" w:rsidRDefault="00FA56C3" w:rsidP="00A950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Examine how changing multi-professional teams affect primary care.</w:t>
            </w:r>
          </w:p>
        </w:tc>
      </w:tr>
      <w:tr w:rsidR="005B3921" w:rsidRPr="005B3921" w14:paraId="1ADDCFDB" w14:textId="77777777" w:rsidTr="00797136">
        <w:trPr>
          <w:gridAfter w:val="1"/>
          <w:wAfter w:w="14" w:type="pct"/>
          <w:trHeight w:val="133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D4" w14:textId="77777777" w:rsidR="00FA56C3" w:rsidRPr="005B3921" w:rsidRDefault="00FA56C3" w:rsidP="008F64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Druel et al., 2020.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D5" w14:textId="77777777" w:rsidR="00FA56C3" w:rsidRPr="00E03C29" w:rsidRDefault="00FA56C3" w:rsidP="00A95026">
            <w:p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 xml:space="preserve"> Patient views on the management of cancer care between oncologists and GPs.</w:t>
            </w:r>
            <w:r w:rsidRPr="00E03C29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E03C29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E03C29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E03C29">
              <w:rPr>
                <w:rFonts w:ascii="Arial" w:eastAsia="Times New Roman" w:hAnsi="Arial" w:cs="Arial"/>
                <w:sz w:val="16"/>
                <w:szCs w:val="16"/>
              </w:rPr>
              <w:br/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7F6621" w14:textId="77777777" w:rsidR="00FA56C3" w:rsidRPr="00E03C29" w:rsidRDefault="00FA56C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Quantitative approach</w:t>
            </w:r>
            <w:r w:rsidR="00786341" w:rsidRPr="00E03C29">
              <w:rPr>
                <w:rFonts w:ascii="Arial" w:eastAsia="Times New Roman" w:hAnsi="Arial" w:cs="Arial"/>
                <w:sz w:val="16"/>
                <w:szCs w:val="16"/>
              </w:rPr>
              <w:t xml:space="preserve"> and </w:t>
            </w: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cross-sectional survey questionnaire</w:t>
            </w:r>
          </w:p>
          <w:p w14:paraId="31C8E82A" w14:textId="77777777" w:rsidR="00E03C29" w:rsidRPr="00E03C29" w:rsidRDefault="00E03C29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37F5DAA" w14:textId="7F2E6EA9" w:rsidR="00E03C29" w:rsidRPr="00E03C29" w:rsidRDefault="00E03C29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France</w:t>
            </w:r>
          </w:p>
          <w:p w14:paraId="467DCCF1" w14:textId="77777777" w:rsidR="00E03C29" w:rsidRPr="00E03C29" w:rsidRDefault="00E03C29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D6" w14:textId="24F5A1F2" w:rsidR="00E03C29" w:rsidRPr="00E03C29" w:rsidRDefault="00E03C29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D7" w14:textId="29FF034A" w:rsidR="008D49B1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Most patients trust their GPs and perceive them as knowledgeable in oncology but only a few </w:t>
            </w:r>
            <w:r w:rsidR="004B4F3D" w:rsidRPr="005B3921">
              <w:rPr>
                <w:rFonts w:ascii="Arial" w:eastAsia="Times New Roman" w:hAnsi="Arial" w:cs="Arial"/>
                <w:sz w:val="16"/>
                <w:szCs w:val="16"/>
              </w:rPr>
              <w:t>consults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them in cancer-related issues.</w:t>
            </w:r>
          </w:p>
          <w:p w14:paraId="1ADDCFD8" w14:textId="77777777" w:rsidR="008D49B1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Good communication between GPs and oncologists increases patients' reliance on GPs for cancer related issues. </w:t>
            </w:r>
          </w:p>
          <w:p w14:paraId="1ADDCFD9" w14:textId="77777777" w:rsidR="00FA56C3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Oncologist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>’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 rec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>ommendation of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GPs to patients highlighted the importa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nt role GPs played, leading to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improved emergency GP visits.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DA" w14:textId="77777777" w:rsidR="00FA56C3" w:rsidRPr="005B3921" w:rsidRDefault="00FA56C3" w:rsidP="00A950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Investigate the integration of GP consultations in the treatment of cancer as well as explore the feasibility and benefits of co-training programs for oncologists and GPs to improve patient care.</w:t>
            </w:r>
          </w:p>
        </w:tc>
      </w:tr>
      <w:tr w:rsidR="005B3921" w:rsidRPr="005B3921" w14:paraId="1ADDCFE4" w14:textId="77777777" w:rsidTr="00797136">
        <w:trPr>
          <w:gridAfter w:val="1"/>
          <w:wAfter w:w="14" w:type="pct"/>
          <w:trHeight w:val="1650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DC" w14:textId="77777777" w:rsidR="00FA56C3" w:rsidRPr="005B3921" w:rsidRDefault="00FA56C3" w:rsidP="008F64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De Groot et al., 2021.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CFDD" w14:textId="7CE062D8" w:rsidR="00FA56C3" w:rsidRPr="00E03C29" w:rsidRDefault="00FA56C3" w:rsidP="00A950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 xml:space="preserve">Investigate the differences in network characteristics between GPs and ENT </w:t>
            </w:r>
            <w:r w:rsidR="004B6F44" w:rsidRPr="00E03C29">
              <w:rPr>
                <w:rFonts w:ascii="Arial" w:eastAsia="Times New Roman" w:hAnsi="Arial" w:cs="Arial"/>
                <w:sz w:val="16"/>
                <w:szCs w:val="16"/>
              </w:rPr>
              <w:t>specialists’</w:t>
            </w:r>
            <w:r w:rsidRPr="00E03C29">
              <w:rPr>
                <w:rFonts w:ascii="Arial" w:eastAsia="Times New Roman" w:hAnsi="Arial" w:cs="Arial"/>
                <w:sz w:val="16"/>
                <w:szCs w:val="16"/>
              </w:rPr>
              <w:t xml:space="preserve"> supervisors in general practice settings.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9F0C12" w14:textId="77777777" w:rsidR="00FA56C3" w:rsidRPr="00E03C29" w:rsidRDefault="00FA56C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Mixed methods</w:t>
            </w:r>
          </w:p>
          <w:p w14:paraId="139F072D" w14:textId="77777777" w:rsidR="00E03C29" w:rsidRPr="00E03C29" w:rsidRDefault="00E03C29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DE" w14:textId="26F8A052" w:rsidR="00E03C29" w:rsidRPr="00E03C29" w:rsidRDefault="00E03C29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Netherlands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DF" w14:textId="6FA84851" w:rsidR="008D49B1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and ENT specialists had similar network </w:t>
            </w:r>
            <w:r w:rsidR="004B4F3D" w:rsidRPr="005B3921">
              <w:rPr>
                <w:rFonts w:ascii="Arial" w:eastAsia="Times New Roman" w:hAnsi="Arial" w:cs="Arial"/>
                <w:sz w:val="16"/>
                <w:szCs w:val="16"/>
              </w:rPr>
              <w:t>sizes,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but GPs had more inter</w:t>
            </w:r>
            <w:r w:rsidR="00A95026" w:rsidRPr="005B3921">
              <w:rPr>
                <w:rFonts w:ascii="Arial" w:eastAsia="Times New Roman" w:hAnsi="Arial" w:cs="Arial"/>
                <w:sz w:val="16"/>
                <w:szCs w:val="16"/>
              </w:rPr>
              <w:t>-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professional contacts.  </w:t>
            </w:r>
          </w:p>
          <w:p w14:paraId="1ADDCFE0" w14:textId="77777777" w:rsidR="008D49B1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Clerkships in 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>GP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provides more opportunities for inter</w:t>
            </w:r>
            <w:r w:rsidR="00A95026" w:rsidRPr="005B3921">
              <w:rPr>
                <w:rFonts w:ascii="Arial" w:eastAsia="Times New Roman" w:hAnsi="Arial" w:cs="Arial"/>
                <w:sz w:val="16"/>
                <w:szCs w:val="16"/>
              </w:rPr>
              <w:t>-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professional collaboration compared to hospital settings. </w:t>
            </w:r>
          </w:p>
          <w:p w14:paraId="1ADDCFE1" w14:textId="77777777" w:rsidR="008D49B1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Both GP and ENT supervisors offer interns opportunities to learn collaboration among professionals.  </w:t>
            </w:r>
          </w:p>
          <w:p w14:paraId="1ADDCFE2" w14:textId="77777777" w:rsidR="00FA56C3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Interns learn more about inter</w:t>
            </w:r>
            <w:r w:rsidR="00A95026" w:rsidRPr="005B3921">
              <w:rPr>
                <w:rFonts w:ascii="Arial" w:eastAsia="Times New Roman" w:hAnsi="Arial" w:cs="Arial"/>
                <w:sz w:val="16"/>
                <w:szCs w:val="16"/>
              </w:rPr>
              <w:t>-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professional collaboration during their time in practice.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CFE3" w14:textId="77777777" w:rsidR="00FA56C3" w:rsidRPr="005B3921" w:rsidRDefault="00FA56C3" w:rsidP="00A950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Investigate how active teaching methods used by supervisors and interns' proactive learning affect collaboration.</w:t>
            </w:r>
          </w:p>
        </w:tc>
      </w:tr>
      <w:tr w:rsidR="005B3921" w:rsidRPr="005B3921" w14:paraId="1ADDCFED" w14:textId="77777777" w:rsidTr="00797136">
        <w:trPr>
          <w:gridAfter w:val="1"/>
          <w:wAfter w:w="14" w:type="pct"/>
          <w:trHeight w:val="196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ADDCFE5" w14:textId="77777777" w:rsidR="00411463" w:rsidRPr="00E03C29" w:rsidRDefault="00411463" w:rsidP="008F64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Crabtree et al., 2011.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DCFE6" w14:textId="77777777" w:rsidR="00411463" w:rsidRPr="00E03C29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Explore how to improve the quality of care in primary care practices as they move to medical homes.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</w:tcPr>
          <w:p w14:paraId="2B2B3A0A" w14:textId="77777777" w:rsidR="00411463" w:rsidRPr="00E03C29" w:rsidRDefault="0041146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Mixed method / Complexity Science theory</w:t>
            </w:r>
          </w:p>
          <w:p w14:paraId="345E59B7" w14:textId="77777777" w:rsidR="00E03C29" w:rsidRPr="00E03C29" w:rsidRDefault="00E03C29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E7" w14:textId="7E2AB56F" w:rsidR="00E03C29" w:rsidRPr="00E03C29" w:rsidRDefault="00E03C29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United states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</w:tcPr>
          <w:p w14:paraId="1ADDCFE8" w14:textId="77777777" w:rsidR="008D49B1" w:rsidRPr="00E03C29" w:rsidRDefault="0041146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 xml:space="preserve">Primary care practices are complex organisations with numerous demands and relationships. Practices need support to foster teamwork among staff. </w:t>
            </w:r>
          </w:p>
          <w:p w14:paraId="1ADDCFE9" w14:textId="4AFE48F7" w:rsidR="008D49B1" w:rsidRPr="00E03C29" w:rsidRDefault="0041146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Transition to patient-centered medical homes must embrace incorporate of emergence and self-</w:t>
            </w:r>
            <w:r w:rsidR="00786341" w:rsidRPr="00E03C29">
              <w:rPr>
                <w:rFonts w:ascii="Arial" w:eastAsia="Times New Roman" w:hAnsi="Arial" w:cs="Arial"/>
                <w:sz w:val="16"/>
                <w:szCs w:val="16"/>
              </w:rPr>
              <w:t>organization</w:t>
            </w:r>
            <w:r w:rsidRPr="00E03C29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</w:p>
          <w:p w14:paraId="1ADDCFEA" w14:textId="77777777" w:rsidR="008D49B1" w:rsidRPr="00E03C29" w:rsidRDefault="0041146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 xml:space="preserve">Change must be adaptable to the dynamics of each practice's unique situation. </w:t>
            </w:r>
          </w:p>
          <w:p w14:paraId="1ADDCFEB" w14:textId="77777777" w:rsidR="00411463" w:rsidRPr="00E03C29" w:rsidRDefault="008D49B1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 xml:space="preserve">Improved </w:t>
            </w:r>
            <w:r w:rsidR="00411463" w:rsidRPr="00E03C29">
              <w:rPr>
                <w:rFonts w:ascii="Arial" w:eastAsia="Times New Roman" w:hAnsi="Arial" w:cs="Arial"/>
                <w:sz w:val="16"/>
                <w:szCs w:val="16"/>
              </w:rPr>
              <w:t>communication, teamwork, leadership, and trusting relationships among practitioners are crucial for sustaining quality improvement.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</w:tcPr>
          <w:p w14:paraId="1ADDCFEC" w14:textId="1F58C78E" w:rsidR="00411463" w:rsidRPr="005B3921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 xml:space="preserve">Explore how to improve the quality of care in primary care practices in the </w:t>
            </w:r>
            <w:r w:rsidR="00126BD4" w:rsidRPr="00E03C29">
              <w:rPr>
                <w:rFonts w:ascii="Arial" w:eastAsia="Times New Roman" w:hAnsi="Arial" w:cs="Arial"/>
                <w:sz w:val="16"/>
                <w:szCs w:val="16"/>
              </w:rPr>
              <w:t>long-term</w:t>
            </w: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.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  <w:t xml:space="preserve"> </w:t>
            </w:r>
          </w:p>
        </w:tc>
      </w:tr>
      <w:tr w:rsidR="005B3921" w:rsidRPr="005B3921" w14:paraId="1ADDCFF6" w14:textId="77777777" w:rsidTr="00497002">
        <w:trPr>
          <w:gridAfter w:val="1"/>
          <w:wAfter w:w="14" w:type="pct"/>
          <w:trHeight w:val="1970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CFEE" w14:textId="77777777" w:rsidR="00FA56C3" w:rsidRPr="005B3921" w:rsidRDefault="00FA56C3" w:rsidP="008F64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Sturmberg et al., 2014.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CFEF" w14:textId="77777777" w:rsidR="00FA56C3" w:rsidRPr="005B3921" w:rsidRDefault="00FA56C3" w:rsidP="00A950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Explore how systems and complexity sciences have shaped the General practice philosophy, identity, and approach to patient care over time. 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7E9715" w14:textId="77777777" w:rsidR="00FA56C3" w:rsidRDefault="00786341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</w:t>
            </w:r>
            <w:r w:rsidR="00FA56C3" w:rsidRPr="005B3921">
              <w:rPr>
                <w:rFonts w:ascii="Arial" w:eastAsia="Times New Roman" w:hAnsi="Arial" w:cs="Arial"/>
                <w:sz w:val="16"/>
                <w:szCs w:val="16"/>
              </w:rPr>
              <w:t>ystematic review</w:t>
            </w:r>
          </w:p>
          <w:p w14:paraId="1A76E0D7" w14:textId="77777777" w:rsidR="00E41AEC" w:rsidRDefault="00E41AEC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F0" w14:textId="5D9C5445" w:rsidR="00E41AEC" w:rsidRPr="005B3921" w:rsidRDefault="00E41AEC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CFF1" w14:textId="19668C10" w:rsidR="008D49B1" w:rsidRPr="005B3921" w:rsidRDefault="00FA56C3" w:rsidP="004B4F3D">
            <w:pPr>
              <w:pStyle w:val="ListParagraph"/>
              <w:numPr>
                <w:ilvl w:val="0"/>
                <w:numId w:val="37"/>
              </w:numPr>
              <w:spacing w:after="24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 is a complex adaptive system involving nonlinear interactions, and emergent </w:t>
            </w:r>
            <w:r w:rsidR="00786341" w:rsidRPr="005B3921">
              <w:rPr>
                <w:rFonts w:ascii="Arial" w:eastAsia="Times New Roman" w:hAnsi="Arial" w:cs="Arial"/>
                <w:sz w:val="16"/>
                <w:szCs w:val="16"/>
              </w:rPr>
              <w:t>behavior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</w:p>
          <w:p w14:paraId="1ADDCFF2" w14:textId="77777777" w:rsidR="008D49B1" w:rsidRPr="005B3921" w:rsidRDefault="00FA56C3" w:rsidP="00786341">
            <w:pPr>
              <w:pStyle w:val="ListParagraph"/>
              <w:numPr>
                <w:ilvl w:val="0"/>
                <w:numId w:val="37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Evolved 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from regular experiences and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understanding of health, and disease as interconnected towards application of complex science theories to healthcare, healthcare reforms, and the future of medicine. </w:t>
            </w:r>
          </w:p>
          <w:p w14:paraId="1ADDCFF3" w14:textId="0A28571A" w:rsidR="008D49B1" w:rsidRPr="005B3921" w:rsidRDefault="00FA56C3" w:rsidP="00786341">
            <w:pPr>
              <w:pStyle w:val="ListParagraph"/>
              <w:numPr>
                <w:ilvl w:val="0"/>
                <w:numId w:val="37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Empirical research </w:t>
            </w:r>
            <w:r w:rsidR="00786341" w:rsidRPr="005B3921">
              <w:rPr>
                <w:rFonts w:ascii="Arial" w:eastAsia="Times New Roman" w:hAnsi="Arial" w:cs="Arial"/>
                <w:sz w:val="16"/>
                <w:szCs w:val="16"/>
              </w:rPr>
              <w:t>shows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the interconnectedness of patients’ health within their broader soc</w:t>
            </w:r>
            <w:r w:rsidR="008D49B1" w:rsidRPr="005B3921">
              <w:rPr>
                <w:rFonts w:ascii="Arial" w:eastAsia="Times New Roman" w:hAnsi="Arial" w:cs="Arial"/>
                <w:sz w:val="16"/>
                <w:szCs w:val="16"/>
              </w:rPr>
              <w:t>ial and environmental contexts.</w:t>
            </w:r>
          </w:p>
          <w:p w14:paraId="1ADDCFF4" w14:textId="77777777" w:rsidR="00FA56C3" w:rsidRPr="005B3921" w:rsidRDefault="008D49B1" w:rsidP="00786341">
            <w:pPr>
              <w:pStyle w:val="ListParagraph"/>
              <w:numPr>
                <w:ilvl w:val="0"/>
                <w:numId w:val="37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Need to u</w:t>
            </w:r>
            <w:r w:rsidR="00FA56C3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nderstand conditions such as </w:t>
            </w:r>
            <w:r w:rsidR="008D6B5D" w:rsidRPr="005B3921">
              <w:rPr>
                <w:rFonts w:ascii="Arial" w:eastAsia="Times New Roman" w:hAnsi="Arial" w:cs="Arial"/>
                <w:sz w:val="16"/>
                <w:szCs w:val="16"/>
              </w:rPr>
              <w:t>mental</w:t>
            </w:r>
            <w:r w:rsidR="00FA56C3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illness, intimate partner violence, </w:t>
            </w:r>
            <w:r w:rsidR="008D6B5D" w:rsidRPr="005B3921">
              <w:rPr>
                <w:rFonts w:ascii="Arial" w:eastAsia="Times New Roman" w:hAnsi="Arial" w:cs="Arial"/>
                <w:sz w:val="16"/>
                <w:szCs w:val="16"/>
              </w:rPr>
              <w:t>heart</w:t>
            </w:r>
            <w:r w:rsidR="00FA56C3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and </w:t>
            </w:r>
            <w:r w:rsidR="008D6B5D" w:rsidRPr="005B3921">
              <w:rPr>
                <w:rFonts w:ascii="Arial" w:eastAsia="Times New Roman" w:hAnsi="Arial" w:cs="Arial"/>
                <w:sz w:val="16"/>
                <w:szCs w:val="16"/>
              </w:rPr>
              <w:t>lung</w:t>
            </w:r>
            <w:r w:rsidR="00FA56C3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diseas</w:t>
            </w:r>
            <w:r w:rsidR="007A3658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es as complex phenomena.    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CFF5" w14:textId="77777777" w:rsidR="00FA56C3" w:rsidRPr="005B3921" w:rsidRDefault="009A5C9E" w:rsidP="009A5C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Apply complex system </w:t>
            </w:r>
            <w:r w:rsidR="00FA56C3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and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data analysis</w:t>
            </w:r>
            <w:r w:rsidR="00FA56C3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to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enhance</w:t>
            </w:r>
            <w:r w:rsidR="00FA56C3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patient care and healthcare reforms.</w:t>
            </w:r>
          </w:p>
        </w:tc>
      </w:tr>
      <w:tr w:rsidR="005B3921" w:rsidRPr="005B3921" w14:paraId="7A583262" w14:textId="77777777" w:rsidTr="00797136">
        <w:trPr>
          <w:gridAfter w:val="1"/>
          <w:wAfter w:w="14" w:type="pct"/>
          <w:trHeight w:val="178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6F8E8917" w14:textId="20722C87" w:rsidR="006A2003" w:rsidRPr="005B3921" w:rsidRDefault="006A2003" w:rsidP="008F64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Damarell et al., 2020.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E37B5" w14:textId="57230737" w:rsidR="006A2003" w:rsidRPr="005B3921" w:rsidRDefault="006A2003" w:rsidP="006A2003">
            <w:p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Investigate how multimorbidity affects the work of general practitioners as well as the challenges and strategies used to manage patients with multimorbidity.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</w:tcPr>
          <w:p w14:paraId="5159D5CC" w14:textId="77777777" w:rsidR="006A2003" w:rsidRDefault="006A200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Systematic review</w:t>
            </w:r>
          </w:p>
          <w:p w14:paraId="7E6BE12D" w14:textId="77777777" w:rsidR="00E41AEC" w:rsidRDefault="00E41AEC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A1BFA6F" w14:textId="512BAB18" w:rsidR="00E41AEC" w:rsidRPr="005B3921" w:rsidRDefault="00E41AEC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</w:tcPr>
          <w:p w14:paraId="14F64C6D" w14:textId="77777777" w:rsidR="006A2003" w:rsidRPr="005B3921" w:rsidRDefault="006A2003" w:rsidP="006A200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encounter challenges globally due to unclear clinical guidelines, fragmented healthcare systems and difficulties in communication resulting from a lack of supportive evidence, inefficiencies and time constraints. </w:t>
            </w:r>
          </w:p>
          <w:p w14:paraId="47DEB5DB" w14:textId="77777777" w:rsidR="006A2003" w:rsidRPr="005B3921" w:rsidRDefault="006A2003" w:rsidP="006A200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valued continuous relationships with patients, but workforce shortages, policy priorities and the expansion of primary care teams pose threats to maintaining such relationships. </w:t>
            </w:r>
          </w:p>
          <w:p w14:paraId="4E6372CD" w14:textId="45F37E9B" w:rsidR="006A2003" w:rsidRPr="005B3921" w:rsidRDefault="006A2003" w:rsidP="006A2003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They propose closer collaboration with pharmacists, implementation of policies that support longer consultation times, and provision of training for GPs to better manage multimorbidity.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</w:tcPr>
          <w:p w14:paraId="583813B0" w14:textId="294CD74D" w:rsidR="006A2003" w:rsidRPr="005B3921" w:rsidRDefault="006A2003" w:rsidP="006A200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Explore how cultural and socioeconomic factors influence the findings as well as replicate the study in other contexts.</w:t>
            </w:r>
          </w:p>
        </w:tc>
      </w:tr>
      <w:tr w:rsidR="005B3921" w:rsidRPr="005B3921" w14:paraId="1ADDD000" w14:textId="77777777" w:rsidTr="00797136">
        <w:trPr>
          <w:gridAfter w:val="1"/>
          <w:wAfter w:w="14" w:type="pct"/>
          <w:trHeight w:val="1650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ADDCFF7" w14:textId="77777777" w:rsidR="00893246" w:rsidRPr="005B3921" w:rsidRDefault="00893246" w:rsidP="008F64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Thorsen et al., 2012.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DCFF8" w14:textId="77777777" w:rsidR="00893246" w:rsidRPr="005B3921" w:rsidRDefault="00893246" w:rsidP="00893246">
            <w:p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Understand the perception of general practitioners about referring patients to specialists at hospitals.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</w:tcPr>
          <w:p w14:paraId="126A3693" w14:textId="77777777" w:rsidR="00893246" w:rsidRDefault="00893246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Qualitative study</w:t>
            </w:r>
          </w:p>
          <w:p w14:paraId="0FBC5E47" w14:textId="77777777" w:rsidR="00680FA3" w:rsidRDefault="00680FA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CFF9" w14:textId="48797819" w:rsidR="00680FA3" w:rsidRPr="005B3921" w:rsidRDefault="00680FA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80FA3">
              <w:rPr>
                <w:rFonts w:ascii="Arial" w:eastAsia="Times New Roman" w:hAnsi="Arial" w:cs="Arial"/>
                <w:sz w:val="16"/>
                <w:szCs w:val="16"/>
              </w:rPr>
              <w:t>Norway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</w:tcPr>
          <w:p w14:paraId="1ADDCFFA" w14:textId="77777777" w:rsidR="008D49B1" w:rsidRPr="005B3921" w:rsidRDefault="00893246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maintain a positive professional relationship with hospital specialists and are willing to collaborate with them. </w:t>
            </w:r>
          </w:p>
          <w:p w14:paraId="1ADDCFFB" w14:textId="77777777" w:rsidR="008D49B1" w:rsidRPr="005B3921" w:rsidRDefault="008D49B1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GPs</w:t>
            </w:r>
            <w:r w:rsidR="00893246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find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the </w:t>
            </w:r>
            <w:r w:rsidR="00893246"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referral process asymmetrical and embarrassing. </w:t>
            </w:r>
          </w:p>
          <w:p w14:paraId="1ADDCFFC" w14:textId="77777777" w:rsidR="008D49B1" w:rsidRPr="005B3921" w:rsidRDefault="00893246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feel pressured to refer patients, fearing the consequences of sending inappropriate referral letters. </w:t>
            </w:r>
          </w:p>
          <w:p w14:paraId="1ADDCFFD" w14:textId="19617A7F" w:rsidR="008D49B1" w:rsidRPr="005B3921" w:rsidRDefault="00893246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They appreciate the benefits of using templates or electronic communication in </w:t>
            </w:r>
            <w:r w:rsidR="004B4F3D" w:rsidRPr="005B3921">
              <w:rPr>
                <w:rFonts w:ascii="Arial" w:eastAsia="Times New Roman" w:hAnsi="Arial" w:cs="Arial"/>
                <w:sz w:val="16"/>
                <w:szCs w:val="16"/>
              </w:rPr>
              <w:t>referrals but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are skeptical about its impact. </w:t>
            </w:r>
          </w:p>
          <w:p w14:paraId="1ADDCFFE" w14:textId="77777777" w:rsidR="00893246" w:rsidRPr="005B3921" w:rsidRDefault="00893246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Use of referral letter results in variations in referral rates.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</w:tcPr>
          <w:p w14:paraId="1ADDCFFF" w14:textId="77777777" w:rsidR="00893246" w:rsidRPr="005B3921" w:rsidRDefault="00893246" w:rsidP="0089324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Explore the views of hospital specialists and patients' expectations in addition to GPs' views for an improved referral process.</w:t>
            </w:r>
          </w:p>
        </w:tc>
      </w:tr>
      <w:tr w:rsidR="005B3921" w:rsidRPr="005B3921" w14:paraId="1ADDD00B" w14:textId="77777777" w:rsidTr="00797136">
        <w:trPr>
          <w:gridAfter w:val="1"/>
          <w:wAfter w:w="14" w:type="pct"/>
          <w:trHeight w:val="158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01" w14:textId="77777777" w:rsidR="00411463" w:rsidRPr="005B3921" w:rsidRDefault="00411463" w:rsidP="008F64D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Thomson et al., 2011.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02" w14:textId="77777777" w:rsidR="00411463" w:rsidRPr="005B3921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Identify and understand the key concerns impacting the future of general practice at different organizational levels.</w:t>
            </w:r>
          </w:p>
          <w:p w14:paraId="1ADDD003" w14:textId="77777777" w:rsidR="00411463" w:rsidRPr="005B3921" w:rsidRDefault="00411463" w:rsidP="00411463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4F8BB7" w14:textId="77777777" w:rsidR="00411463" w:rsidRDefault="00411463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Conceptual/ complexity thinking</w:t>
            </w:r>
          </w:p>
          <w:p w14:paraId="6DAFB6B5" w14:textId="77777777" w:rsidR="00E41AEC" w:rsidRDefault="00E41AEC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04" w14:textId="090125AF" w:rsidR="00E41AEC" w:rsidRPr="005B3921" w:rsidRDefault="00E41AEC" w:rsidP="0078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06" w14:textId="77777777" w:rsidR="008D49B1" w:rsidRPr="005B3921" w:rsidRDefault="0041146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Fatigue, inadequate remuneration, staff retention, low morale, and lack of confidence are challenges across levels. </w:t>
            </w:r>
          </w:p>
          <w:p w14:paraId="1ADDD007" w14:textId="77777777" w:rsidR="008D49B1" w:rsidRPr="005B3921" w:rsidRDefault="0041146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Practices faced issues such as poor teamwork among GPs, poverty, limited access to healthcare, and poor systems. </w:t>
            </w:r>
          </w:p>
          <w:p w14:paraId="1ADDD008" w14:textId="77777777" w:rsidR="008D49B1" w:rsidRPr="005B3921" w:rsidRDefault="0041146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Politically, there was a fundamental misunderstanding of the role of primary care stakeholders in shaping the system. </w:t>
            </w:r>
          </w:p>
          <w:p w14:paraId="02566146" w14:textId="77777777" w:rsidR="00411463" w:rsidRPr="005B3921" w:rsidRDefault="00411463" w:rsidP="004B4F3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Effective redesign of the healthcare system requires embracing systems and complexity thinking.</w:t>
            </w:r>
          </w:p>
          <w:p w14:paraId="1ADDD009" w14:textId="77777777" w:rsidR="00EA58AE" w:rsidRPr="005B3921" w:rsidRDefault="00EA58AE" w:rsidP="00EA58A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0A" w14:textId="77777777" w:rsidR="00411463" w:rsidRPr="005B3921" w:rsidRDefault="00411463" w:rsidP="0041146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Examine the viewpoints of general practitioners, patients, policymakers, and administrators to understand how they influence the healthcare system.</w:t>
            </w:r>
          </w:p>
        </w:tc>
      </w:tr>
      <w:tr w:rsidR="00E346BB" w:rsidRPr="005B3921" w14:paraId="0C3FBFCF" w14:textId="77777777" w:rsidTr="00E41AEC">
        <w:trPr>
          <w:gridAfter w:val="1"/>
          <w:wAfter w:w="14" w:type="pct"/>
          <w:trHeight w:val="158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583D647A" w14:textId="67D2A10D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Hjortdahl et al., 2016.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48419" w14:textId="167950D5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Explore the attitude of GPs toward emergency medicine and call outs.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B04A92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Qualitative study</w:t>
            </w:r>
          </w:p>
          <w:p w14:paraId="54299157" w14:textId="77777777" w:rsidR="00680FA3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D8C7C83" w14:textId="59B98953" w:rsidR="00680FA3" w:rsidRPr="005B3921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80FA3">
              <w:rPr>
                <w:rFonts w:ascii="Arial" w:eastAsia="Times New Roman" w:hAnsi="Arial" w:cs="Arial"/>
                <w:sz w:val="16"/>
                <w:szCs w:val="16"/>
              </w:rPr>
              <w:t>Norway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</w:tcPr>
          <w:p w14:paraId="017CBE56" w14:textId="77777777" w:rsidR="00E346BB" w:rsidRPr="005B3921" w:rsidRDefault="00E346BB" w:rsidP="00E346BB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The role of GPs has evolved from being the sole providers of emergency care to being part of emergency care teams. </w:t>
            </w:r>
          </w:p>
          <w:p w14:paraId="299E8F15" w14:textId="77777777" w:rsidR="00E346BB" w:rsidRPr="005B3921" w:rsidRDefault="00E346BB" w:rsidP="00E346BB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feel sidelined in emergency medical teams but believe their involvement improves their skills, improve patient care and diagnostics. </w:t>
            </w:r>
          </w:p>
          <w:p w14:paraId="7CFD4C18" w14:textId="77777777" w:rsidR="00E346BB" w:rsidRDefault="00E346BB" w:rsidP="00E346BB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Acknowledge that emergency medical technicians can adequately handle cases on their own. </w:t>
            </w:r>
          </w:p>
          <w:p w14:paraId="219187BB" w14:textId="15E7E9B4" w:rsidR="00E346BB" w:rsidRPr="00E346BB" w:rsidRDefault="00E346BB" w:rsidP="00E346BB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346BB">
              <w:rPr>
                <w:rFonts w:ascii="Arial" w:eastAsia="Times New Roman" w:hAnsi="Arial" w:cs="Arial"/>
                <w:sz w:val="16"/>
                <w:szCs w:val="16"/>
              </w:rPr>
              <w:t>GPs find it challenging to decide whether to participate in emergency call outs due to insufficient information and differing assessments of situations.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</w:tcPr>
          <w:p w14:paraId="6710D81D" w14:textId="05D6427B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D47526">
              <w:rPr>
                <w:rFonts w:ascii="Arial" w:hAnsi="Arial" w:cs="Arial"/>
                <w:sz w:val="16"/>
                <w:szCs w:val="16"/>
              </w:rPr>
              <w:t>Assist policymakers and clinicians to decide when the presence of GPs in emergencies is impactful.</w:t>
            </w:r>
          </w:p>
        </w:tc>
      </w:tr>
      <w:tr w:rsidR="00E346BB" w:rsidRPr="005B3921" w14:paraId="1ADDD010" w14:textId="77777777" w:rsidTr="00797136">
        <w:trPr>
          <w:gridAfter w:val="1"/>
          <w:wAfter w:w="14" w:type="pct"/>
          <w:trHeight w:val="147"/>
        </w:trPr>
        <w:tc>
          <w:tcPr>
            <w:tcW w:w="4986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CB6153" w14:textId="77777777" w:rsidR="00497002" w:rsidRDefault="00497002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ADDD00F" w14:textId="1E0339C1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TABLE 3: GP training intricacies</w:t>
            </w:r>
          </w:p>
        </w:tc>
      </w:tr>
      <w:tr w:rsidR="00E346BB" w:rsidRPr="005B3921" w14:paraId="1ADDD016" w14:textId="77777777" w:rsidTr="00797136">
        <w:trPr>
          <w:gridAfter w:val="1"/>
          <w:wAfter w:w="14" w:type="pct"/>
          <w:trHeight w:val="300"/>
        </w:trPr>
        <w:tc>
          <w:tcPr>
            <w:tcW w:w="39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D011" w14:textId="77777777" w:rsidR="00E346BB" w:rsidRPr="005B3921" w:rsidRDefault="00E346BB" w:rsidP="00E346BB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Author &amp; Year</w:t>
            </w:r>
          </w:p>
        </w:tc>
        <w:tc>
          <w:tcPr>
            <w:tcW w:w="85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D012" w14:textId="2182329C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Research Aim/Focus</w:t>
            </w:r>
          </w:p>
        </w:tc>
        <w:tc>
          <w:tcPr>
            <w:tcW w:w="102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D013" w14:textId="64833DC8" w:rsidR="00E346BB" w:rsidRPr="005B3921" w:rsidRDefault="00E346BB" w:rsidP="00E346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Theory/Methodology</w:t>
            </w:r>
          </w:p>
        </w:tc>
        <w:tc>
          <w:tcPr>
            <w:tcW w:w="18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D014" w14:textId="27BA1FA1" w:rsidR="00E346BB" w:rsidRPr="005B3921" w:rsidRDefault="00E346BB" w:rsidP="00E346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Key Findings</w:t>
            </w:r>
          </w:p>
        </w:tc>
        <w:tc>
          <w:tcPr>
            <w:tcW w:w="88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DDD015" w14:textId="2BFD9B7B" w:rsidR="00E346BB" w:rsidRPr="005B3921" w:rsidRDefault="00E346BB" w:rsidP="00E346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Future research</w:t>
            </w:r>
          </w:p>
        </w:tc>
      </w:tr>
      <w:tr w:rsidR="00E346BB" w:rsidRPr="005B3921" w14:paraId="1ADDD01F" w14:textId="77777777" w:rsidTr="00797136">
        <w:trPr>
          <w:gridAfter w:val="1"/>
          <w:wAfter w:w="14" w:type="pct"/>
          <w:trHeight w:val="1398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17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Wesnes et al., 2012.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18" w14:textId="77777777" w:rsidR="00E346BB" w:rsidRPr="00E03C29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Explore the extent to which the place of graduation and curriculum factors affect a physician’s choice to pursue a career as a GP.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BC50FD" w14:textId="77777777" w:rsidR="00E346BB" w:rsidRPr="00E03C29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Quantitative study</w:t>
            </w:r>
          </w:p>
          <w:p w14:paraId="6B7BE548" w14:textId="77777777" w:rsidR="00E03C29" w:rsidRPr="00E03C29" w:rsidRDefault="00E03C29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19" w14:textId="70B9B665" w:rsidR="00E03C29" w:rsidRPr="00E03C29" w:rsidRDefault="00E03C29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Norway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1A" w14:textId="48FC30C6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There is a significant association between the medical school attended and the likelihood of working as a GP. </w:t>
            </w:r>
          </w:p>
          <w:p w14:paraId="1ADDD01B" w14:textId="77777777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Location and overall contribution of the university attended (teaching hours and preceptorship) by a physician are linked to a higher likelihood of a physician choosing a GP career. </w:t>
            </w:r>
          </w:p>
          <w:p w14:paraId="1ADDD01C" w14:textId="77777777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Older physicians and Norwegian women more likely to become GPs. </w:t>
            </w:r>
          </w:p>
          <w:p w14:paraId="1ADDD01D" w14:textId="77777777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Medical school curricula is vital in shaping physicians' career decisions.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1E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Explore the specific components of the GP curriculum that influence career choices.</w:t>
            </w:r>
          </w:p>
        </w:tc>
      </w:tr>
      <w:tr w:rsidR="00E346BB" w:rsidRPr="005B3921" w14:paraId="1ADDD027" w14:textId="77777777" w:rsidTr="00797136">
        <w:trPr>
          <w:gridAfter w:val="1"/>
          <w:wAfter w:w="14" w:type="pct"/>
          <w:trHeight w:val="160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20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Von Below et al., 2015.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21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Analyse the perception of GP tutors about the skills and qualities that required by a skilled clinical GP tutor in undergraduate medical education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D6235F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Qualitative study</w:t>
            </w:r>
          </w:p>
          <w:p w14:paraId="5B17D4C4" w14:textId="77777777" w:rsidR="00680FA3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22" w14:textId="3C4A5A90" w:rsidR="00680FA3" w:rsidRPr="005B3921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80FA3">
              <w:rPr>
                <w:rFonts w:ascii="Arial" w:eastAsia="Times New Roman" w:hAnsi="Arial" w:cs="Arial"/>
                <w:sz w:val="16"/>
                <w:szCs w:val="16"/>
              </w:rPr>
              <w:t>Norway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23" w14:textId="77777777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The complex and multifaceted role of GPs as professionals and ambassadors to general practice requires a strong professional identity, commitment to student-</w:t>
            </w:r>
            <w:proofErr w:type="spellStart"/>
            <w:r w:rsidRPr="005B3921">
              <w:rPr>
                <w:rFonts w:ascii="Arial" w:eastAsia="Times New Roman" w:hAnsi="Arial" w:cs="Arial"/>
                <w:sz w:val="16"/>
                <w:szCs w:val="16"/>
              </w:rPr>
              <w:t>centred</w:t>
            </w:r>
            <w:proofErr w:type="spellEnd"/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education, and coordination of the learning environment. </w:t>
            </w:r>
          </w:p>
          <w:p w14:paraId="1ADDD024" w14:textId="77777777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GPs act as ambassadors to recruit future general practitioners, provide inspiration, and use feedback to support student learning.</w:t>
            </w:r>
          </w:p>
          <w:p w14:paraId="1ADDD025" w14:textId="77777777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Need to provide adequate support, time, and resources to facilitate sustainable tutorship to improve the recruitment of future GPs.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26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Investigate how major changes in health care systems affect clinical tutors and workplace education within medical curricula.</w:t>
            </w:r>
          </w:p>
        </w:tc>
      </w:tr>
      <w:tr w:rsidR="00E346BB" w:rsidRPr="005B3921" w14:paraId="1ADDD02F" w14:textId="77777777" w:rsidTr="00797136">
        <w:trPr>
          <w:gridAfter w:val="1"/>
          <w:wAfter w:w="14" w:type="pct"/>
          <w:trHeight w:val="140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28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Bridgwood et al., 2018.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29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Evaluate the objectives and experiences of undertaking international exchange programs in primary care, and how it contributes to professional development and knowledge exchange.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0F5BA8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Systematic review</w:t>
            </w:r>
          </w:p>
          <w:p w14:paraId="443BEE88" w14:textId="77777777" w:rsidR="00E41AEC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2A" w14:textId="4A3AC194" w:rsidR="00E41AEC" w:rsidRPr="005B3921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2B" w14:textId="77777777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International exchange programs enhance primary care practitioners' understanding of global healthcare systems, clinical skills, confidence, and cultural awareness. </w:t>
            </w:r>
          </w:p>
          <w:p w14:paraId="1ADDD02C" w14:textId="06457108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It promotes the sharing of good practice and enhances global collaboration and healthcare standards. </w:t>
            </w:r>
          </w:p>
          <w:p w14:paraId="1ADDD02D" w14:textId="77777777" w:rsidR="00E346BB" w:rsidRPr="005B3921" w:rsidRDefault="00E346BB" w:rsidP="00E346B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Successful exchanges depend on dedicated hosts regions and support from organisations.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2E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Investigate the effectiveness of diverse strategies supporting international exchange programs and identify the potential barriers and solutions to address them. </w:t>
            </w:r>
          </w:p>
        </w:tc>
      </w:tr>
      <w:tr w:rsidR="00E346BB" w:rsidRPr="005B3921" w14:paraId="1ADDD037" w14:textId="77777777" w:rsidTr="00797136">
        <w:trPr>
          <w:gridAfter w:val="1"/>
          <w:wAfter w:w="14" w:type="pct"/>
          <w:trHeight w:val="140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DDD030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Correia et al., 2022.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DDD031" w14:textId="77777777" w:rsidR="00E346BB" w:rsidRPr="00E03C29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Examines the impact of the Care of the Elderly training and certification program on primary care delivery to older patients in Canada.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7F5A16" w14:textId="77777777" w:rsidR="00E346BB" w:rsidRPr="00E03C29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Qualitative methods (multi-case study)</w:t>
            </w:r>
          </w:p>
          <w:p w14:paraId="7BAFD415" w14:textId="77777777" w:rsidR="00E03C29" w:rsidRPr="00E03C29" w:rsidRDefault="00E03C29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32" w14:textId="1173DA03" w:rsidR="00E03C29" w:rsidRPr="00E03C29" w:rsidRDefault="00E03C29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t>Canada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DDD033" w14:textId="77777777" w:rsidR="00E346BB" w:rsidRPr="005B3921" w:rsidRDefault="00E346BB" w:rsidP="00E346BB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Care of the Elderly certification improves access and care for older patients, reduces waiting time, address community needs and reduce reliance on specialist care. </w:t>
            </w:r>
          </w:p>
          <w:p w14:paraId="1ADDD034" w14:textId="2F225034" w:rsidR="00E346BB" w:rsidRPr="005B3921" w:rsidRDefault="00E346BB" w:rsidP="00E346BB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Certification boosts confidence, enhances recognition of family doctors, and enables them to pursue specialist roles. </w:t>
            </w:r>
          </w:p>
          <w:p w14:paraId="1ADDD035" w14:textId="77777777" w:rsidR="00E346BB" w:rsidRPr="005B3921" w:rsidRDefault="00E346BB" w:rsidP="00E346BB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Difficulties in distinguishing between the care provided by geriatric-trained family physicians and geriatric specialists.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DDD036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Investigate how Care of the Elderly training and certification influence the delivery of primary care for older patients</w:t>
            </w:r>
          </w:p>
        </w:tc>
      </w:tr>
      <w:tr w:rsidR="00E346BB" w:rsidRPr="005B3921" w14:paraId="1ADDD040" w14:textId="77777777" w:rsidTr="00797136">
        <w:trPr>
          <w:gridAfter w:val="1"/>
          <w:wAfter w:w="14" w:type="pct"/>
          <w:trHeight w:val="176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38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Aschim et al., 2011.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39" w14:textId="48C9FA52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Explore the experiences of GPs in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using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cognitive behavioral therapy (CBT).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01A313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Qualitative study / Cognitive Behavioral Therapy</w:t>
            </w:r>
          </w:p>
          <w:p w14:paraId="07D9C09C" w14:textId="77777777" w:rsidR="00680FA3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3A" w14:textId="5587BCF9" w:rsidR="00680FA3" w:rsidRPr="005B3921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80FA3">
              <w:rPr>
                <w:rFonts w:ascii="Arial" w:eastAsia="Times New Roman" w:hAnsi="Arial" w:cs="Arial"/>
                <w:sz w:val="16"/>
                <w:szCs w:val="16"/>
              </w:rPr>
              <w:t>Norway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3B" w14:textId="48FF2F51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reported improved consultation skills after completing the Cognitive Behavioral Therapy course. </w:t>
            </w:r>
          </w:p>
          <w:p w14:paraId="1ADDD03C" w14:textId="58915889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GPs were motivated to utilize Cognitive Behavioral Therapy (CBT) with structured supervision, group counseling and feedback on their sessions. </w:t>
            </w:r>
          </w:p>
          <w:p w14:paraId="1ADDD03D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Insufficient time to master CBT techniques, a shortage of patients requiring CBT, and financial incentives hinder its use. </w:t>
            </w:r>
          </w:p>
          <w:p w14:paraId="1ADDD03E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GPs should be motivated to dedicate time and effort to learning how to utilize CBT to improve patient outcomes.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3F" w14:textId="6E7DBC4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Explore how the use and effectiveness of Cognitive Behavioral Therapy in general practice is influenced by training and financial incentives.</w:t>
            </w:r>
          </w:p>
        </w:tc>
      </w:tr>
      <w:tr w:rsidR="00E346BB" w:rsidRPr="005B3921" w14:paraId="1ADDD049" w14:textId="77777777" w:rsidTr="00797136">
        <w:trPr>
          <w:gridAfter w:val="1"/>
          <w:wAfter w:w="14" w:type="pct"/>
          <w:trHeight w:val="142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41" w14:textId="069F8911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Sargent et al., 2021.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42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Evaluate the barriers and drivers of general practitioners' participation in research 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21335D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Systematic reviews</w:t>
            </w:r>
          </w:p>
          <w:p w14:paraId="53BC6681" w14:textId="77777777" w:rsidR="00E41AEC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43" w14:textId="7DB53608" w:rsidR="00E41AEC" w:rsidRPr="005B3921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44" w14:textId="723D560D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Recruiting GPs for research is difficult, time and labor intensive and expensive. </w:t>
            </w:r>
          </w:p>
          <w:p w14:paraId="1ADDD045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In-person recruitment is expensive, it is the most effective. </w:t>
            </w:r>
          </w:p>
          <w:p w14:paraId="1ADDD046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Sending newsletters, emails are cost-effective ways to recruit GPs for research. </w:t>
            </w:r>
          </w:p>
          <w:p w14:paraId="1ADDD047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Clear questionnaires, supportive staff, and personal attention can encourage GPs to join in research.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48" w14:textId="491A54DF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Identify and categorize the factors that drive GPs’ participation in research and develop methods to recruit GPs for research implementation.</w:t>
            </w:r>
          </w:p>
        </w:tc>
      </w:tr>
      <w:tr w:rsidR="00E346BB" w:rsidRPr="005B3921" w14:paraId="1ADDD052" w14:textId="77777777" w:rsidTr="00797136">
        <w:trPr>
          <w:gridAfter w:val="1"/>
          <w:wAfter w:w="14" w:type="pct"/>
          <w:trHeight w:val="43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4A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Le et al., 2016.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4B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Assesses how GP’s get access to information and the importance of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such sources of medical information.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5F47D6" w14:textId="77777777" w:rsidR="00E346BB" w:rsidRPr="00E03C29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Quantitative study / theory of information seeking</w:t>
            </w:r>
          </w:p>
          <w:p w14:paraId="5053C8CA" w14:textId="77777777" w:rsidR="00E03C29" w:rsidRPr="00E03C29" w:rsidRDefault="00E03C29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4C" w14:textId="7614D0AA" w:rsidR="00E03C29" w:rsidRPr="00E03C29" w:rsidRDefault="00E03C29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E03C29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Denmark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4D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 xml:space="preserve">Websites that provide medical and drug information, and conferences with colleague GPs were the most frequently used sources for seeking information. </w:t>
            </w:r>
          </w:p>
          <w:p w14:paraId="1ADDD04E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 xml:space="preserve">Older GPs refer to medical journals rather than seek information from their colleagues, guidelines or from online. </w:t>
            </w:r>
          </w:p>
          <w:p w14:paraId="1ADDD04F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Female GPs appreciated information from colleagues, guidelines, and websites more than their male counterparts. </w:t>
            </w:r>
          </w:p>
          <w:p w14:paraId="1ADDD050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GP characteristics, including age, gender, and practice form, influence information-seeking behavior.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51" w14:textId="77777777" w:rsidR="00E346BB" w:rsidRPr="005B3921" w:rsidRDefault="00E346BB" w:rsidP="00E346BB">
            <w:p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Investigate how older general practitioners seek out information.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br/>
            </w:r>
          </w:p>
        </w:tc>
      </w:tr>
      <w:tr w:rsidR="00E346BB" w:rsidRPr="005B3921" w14:paraId="1ADDD05B" w14:textId="77777777" w:rsidTr="00797136">
        <w:trPr>
          <w:gridAfter w:val="1"/>
          <w:wAfter w:w="14" w:type="pct"/>
          <w:trHeight w:val="158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DDD053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McDonnell et al., 2012.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DDD054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Examine different ways to help doctors improve patient care in respiratory conditions, in primary care.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2FDE0CA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Scoping review</w:t>
            </w:r>
          </w:p>
          <w:p w14:paraId="00A56680" w14:textId="77777777" w:rsidR="00E41AEC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55" w14:textId="6459EA0E" w:rsidR="00E41AEC" w:rsidRPr="005B3921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DDD056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Teaching physicians through lectures has a lower tendency to change how they work or improve patient health in the long term.</w:t>
            </w:r>
          </w:p>
          <w:p w14:paraId="1ADDD057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Educational programs should be tailored to the complexity of healthcare and the contexts they operate. </w:t>
            </w:r>
          </w:p>
          <w:p w14:paraId="1ADDD058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Educational programs should integrate teaching strategies tailored the needs of doctors. </w:t>
            </w:r>
          </w:p>
          <w:p w14:paraId="1ADDD059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Educational strategies should integrate quality improvement approaches and incentives for better outcomes.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DDD05A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Examine how educational programs can change doctors work and improve patient respiratory health through action research</w:t>
            </w:r>
          </w:p>
        </w:tc>
      </w:tr>
      <w:tr w:rsidR="00E346BB" w:rsidRPr="005B3921" w14:paraId="1ADDD064" w14:textId="77777777" w:rsidTr="00797136">
        <w:trPr>
          <w:gridAfter w:val="1"/>
          <w:wAfter w:w="14" w:type="pct"/>
          <w:trHeight w:val="178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5C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Hudson et al., 2012.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5D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Assesses patients' perception of clinical clerkship model and its integration in community of practice initiatives.  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D89C82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Qualitative /Lave and Wenger's learning theory</w:t>
            </w:r>
          </w:p>
          <w:p w14:paraId="2BF909E9" w14:textId="77777777" w:rsidR="0061432B" w:rsidRDefault="0061432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5E" w14:textId="5A920476" w:rsidR="0061432B" w:rsidRPr="005B3921" w:rsidRDefault="0061432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1432B">
              <w:rPr>
                <w:rFonts w:ascii="Arial" w:eastAsia="Times New Roman" w:hAnsi="Arial" w:cs="Arial"/>
                <w:sz w:val="16"/>
                <w:szCs w:val="16"/>
              </w:rPr>
              <w:t>Australia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5F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Patients had a positive view of the clerkship initiative due to its patient- and student-centered nature. </w:t>
            </w:r>
          </w:p>
          <w:p w14:paraId="1ADDD060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A strong patient-student-doctor relationship of trust is vital for active participation in clerkship initiatives. </w:t>
            </w:r>
          </w:p>
          <w:p w14:paraId="1ADDD061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Patients appreciated the role of students as central members of the community of practice, contributing to improved access to patient care and enhancing the overall healthcare experience. </w:t>
            </w:r>
          </w:p>
          <w:p w14:paraId="1ADDD062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Patients hoped that students would become medical practitioners in their communities to address the workforce shortages.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63" w14:textId="7BCED1DE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Examine how integrating clerkships in community of practice influence the development of students’ professional identity in the long-term.</w:t>
            </w:r>
          </w:p>
        </w:tc>
      </w:tr>
      <w:tr w:rsidR="00E346BB" w:rsidRPr="00D47526" w14:paraId="1ADDD06C" w14:textId="77777777" w:rsidTr="00797136">
        <w:trPr>
          <w:gridAfter w:val="1"/>
          <w:wAfter w:w="14" w:type="pct"/>
          <w:trHeight w:val="79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65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Sikorski et al., 2012.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66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Assess the effectiveness of training programs for GPs in finding, diagnosing, and treating depression within primary care settings.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E6C293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Systematic review</w:t>
            </w:r>
          </w:p>
          <w:p w14:paraId="4EC34A02" w14:textId="77777777" w:rsidR="00E41AEC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67" w14:textId="34FB08F1" w:rsidR="00E41AEC" w:rsidRPr="005B3921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68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Training of GPs was not enough to improve depression care. </w:t>
            </w:r>
          </w:p>
          <w:p w14:paraId="1ADDD069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Training complemented with guidelines for depression care, showed improved outcomes for patients. </w:t>
            </w:r>
          </w:p>
          <w:p w14:paraId="1ADDD06A" w14:textId="77777777" w:rsidR="00E346BB" w:rsidRPr="005B3921" w:rsidRDefault="00E346BB" w:rsidP="00E346BB">
            <w:pPr>
              <w:pStyle w:val="ListParagraph"/>
              <w:numPr>
                <w:ilvl w:val="0"/>
                <w:numId w:val="40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Collaborative care has the tendency to enhance care for patients with depression.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6B" w14:textId="77777777" w:rsidR="00E346BB" w:rsidRPr="00D47526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D47526">
              <w:rPr>
                <w:rFonts w:ascii="Arial" w:eastAsia="Times New Roman" w:hAnsi="Arial" w:cs="Arial"/>
                <w:sz w:val="16"/>
                <w:szCs w:val="16"/>
              </w:rPr>
              <w:t>Examine how a combined training and guideline approach affects patients in primary care settings.</w:t>
            </w:r>
          </w:p>
        </w:tc>
      </w:tr>
      <w:tr w:rsidR="00E346BB" w:rsidRPr="005B3921" w14:paraId="22D03DC5" w14:textId="77777777" w:rsidTr="00C917E2">
        <w:trPr>
          <w:trHeight w:val="2057"/>
        </w:trPr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5CEB9" w14:textId="5FE719FE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>Wearne et al., 2019.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</w:tcPr>
          <w:p w14:paraId="5FE892C8" w14:textId="3FDD0E06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>Examine the experiences and initiatives of educators in training foreign medical students to become GPs.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A4B4F17" w14:textId="77777777" w:rsidR="00E346BB" w:rsidRPr="00541706" w:rsidRDefault="00E346BB" w:rsidP="00E346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41706">
              <w:rPr>
                <w:rFonts w:ascii="Arial" w:hAnsi="Arial" w:cs="Arial"/>
                <w:sz w:val="16"/>
                <w:szCs w:val="16"/>
              </w:rPr>
              <w:t>Qualitative</w:t>
            </w:r>
          </w:p>
          <w:p w14:paraId="66261EAA" w14:textId="77777777" w:rsidR="00541706" w:rsidRPr="00541706" w:rsidRDefault="00541706" w:rsidP="00E346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853DAFE" w14:textId="5F733C84" w:rsidR="00541706" w:rsidRPr="00541706" w:rsidRDefault="00541706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41706">
              <w:rPr>
                <w:rFonts w:ascii="Arial" w:eastAsia="Times New Roman" w:hAnsi="Arial" w:cs="Arial"/>
                <w:sz w:val="16"/>
                <w:szCs w:val="16"/>
              </w:rPr>
              <w:t>Norway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</w:tcPr>
          <w:p w14:paraId="287259BA" w14:textId="77777777" w:rsidR="00E346BB" w:rsidRPr="005B3921" w:rsidRDefault="00E346BB" w:rsidP="00C917E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 xml:space="preserve">Involvement of students as partners in the teaching process helps educators improve educational models and curriculum for training future GPs. </w:t>
            </w:r>
          </w:p>
          <w:p w14:paraId="19000223" w14:textId="70272645" w:rsidR="00E346BB" w:rsidRPr="005B3921" w:rsidRDefault="00E346BB" w:rsidP="00C917E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 xml:space="preserve">Tensions in training international medical students due to their diverse backgrounds, skills and experiences. </w:t>
            </w:r>
          </w:p>
          <w:p w14:paraId="3E679E4A" w14:textId="77777777" w:rsidR="00E346BB" w:rsidRPr="005B3921" w:rsidRDefault="00E346BB" w:rsidP="00C917E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 xml:space="preserve">Training programs should be flexible and tailored to their individual needs.  Educators support future GPs in delivering quality healthcare. </w:t>
            </w:r>
          </w:p>
          <w:p w14:paraId="5E42CDFE" w14:textId="77777777" w:rsidR="00E346BB" w:rsidRPr="005B3921" w:rsidRDefault="00E346BB" w:rsidP="00C917E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 xml:space="preserve">Students gain benefit when they are given genuine roles, consistent mentorship and autonomy. </w:t>
            </w:r>
          </w:p>
          <w:p w14:paraId="44054865" w14:textId="43E58282" w:rsidR="00E346BB" w:rsidRPr="005B3921" w:rsidRDefault="00E346BB" w:rsidP="00C917E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hAnsi="Arial" w:cs="Arial"/>
                <w:sz w:val="16"/>
                <w:szCs w:val="16"/>
              </w:rPr>
              <w:t>Group sessions foster teamwork, honest and genuine discussions.</w:t>
            </w:r>
          </w:p>
        </w:tc>
        <w:tc>
          <w:tcPr>
            <w:tcW w:w="89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729EE" w14:textId="2EED00A1" w:rsidR="00E346BB" w:rsidRPr="00D47526" w:rsidRDefault="00E346BB" w:rsidP="00E346BB">
            <w:pPr>
              <w:rPr>
                <w:rFonts w:ascii="Arial" w:hAnsi="Arial" w:cs="Arial"/>
                <w:sz w:val="16"/>
                <w:szCs w:val="16"/>
              </w:rPr>
            </w:pPr>
            <w:r w:rsidRPr="00D47526">
              <w:rPr>
                <w:rFonts w:ascii="Arial" w:hAnsi="Arial" w:cs="Arial"/>
                <w:sz w:val="16"/>
                <w:szCs w:val="16"/>
              </w:rPr>
              <w:t>Explore flexible training approaches and personalized support for foreign medical students.</w:t>
            </w:r>
          </w:p>
        </w:tc>
      </w:tr>
      <w:tr w:rsidR="00E346BB" w:rsidRPr="005B3921" w14:paraId="1ADDD085" w14:textId="77777777" w:rsidTr="00797136">
        <w:trPr>
          <w:gridAfter w:val="1"/>
          <w:wAfter w:w="14" w:type="pct"/>
          <w:trHeight w:val="160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7E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Deutsch et al., 2015.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7F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Explore how practice-oriented GP courses within medical curriculum influence medical graduates’ choice of a general practitioner (GP) career.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97A4CA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Quantitative study / theory of career choice</w:t>
            </w:r>
          </w:p>
          <w:p w14:paraId="6399C474" w14:textId="77777777" w:rsidR="0061432B" w:rsidRDefault="0061432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80" w14:textId="4D8A908F" w:rsidR="0061432B" w:rsidRPr="005B3921" w:rsidRDefault="0061432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1432B">
              <w:rPr>
                <w:rFonts w:ascii="Arial" w:eastAsia="Times New Roman" w:hAnsi="Arial" w:cs="Arial"/>
                <w:sz w:val="16"/>
                <w:szCs w:val="16"/>
              </w:rPr>
              <w:t>Germany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81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46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Practice-oriented GP curriculum can improve the likelihood of medical schools producing future GPs. </w:t>
            </w:r>
          </w:p>
          <w:p w14:paraId="1ADDD082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46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GP-oriented courses, such as a pre-clinical GP electives, clerkship, and clinical rotation influence the choice of GP as a career. </w:t>
            </w:r>
          </w:p>
          <w:p w14:paraId="1ADDD083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46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Factors such as age, having relatives or friends in the field, early thoughts of GP as a career, preference for rural jobs, valuing patient care inter alia are positively associated with choosing a GP career.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84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Investigate the impact of curricular and extra-curricular experiences on career choice.</w:t>
            </w:r>
          </w:p>
        </w:tc>
      </w:tr>
      <w:tr w:rsidR="00E346BB" w:rsidRPr="005B3921" w14:paraId="1ADDD08F" w14:textId="77777777" w:rsidTr="00797136">
        <w:trPr>
          <w:gridAfter w:val="1"/>
          <w:wAfter w:w="14" w:type="pct"/>
          <w:trHeight w:val="176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86" w14:textId="4E97F50A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 xml:space="preserve">Ellis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&amp; </w:t>
            </w: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Howard, 2011.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87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Explore how clinical governance is put into practice in Primary Care Organisations.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C3926E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Mixed method/Complex Adaptive Systems</w:t>
            </w:r>
          </w:p>
          <w:p w14:paraId="6AD574B4" w14:textId="77777777" w:rsidR="00680FA3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88" w14:textId="68CD4524" w:rsidR="00680FA3" w:rsidRPr="005B3921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89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Successful implementation of clinical governance depends on establishment a culture of learning and collaboration. </w:t>
            </w:r>
          </w:p>
          <w:p w14:paraId="1ADDD08A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Collaborative events and social interactions help raise awareness of clinical governance. </w:t>
            </w:r>
          </w:p>
          <w:p w14:paraId="1ADDD08B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Incentives like protected time and financial rewards encouraged participation in health improvement programs. </w:t>
            </w:r>
          </w:p>
          <w:p w14:paraId="1ADDD08C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Education and training programs help people learn new skills and improve healthcare. </w:t>
            </w:r>
          </w:p>
          <w:p w14:paraId="1ADDD08D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Clinical governance emerges from complex interactions.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DD08E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Explore the application of Complex Adaptive Systems (CAS) theory in healthcare. </w:t>
            </w:r>
          </w:p>
        </w:tc>
      </w:tr>
      <w:tr w:rsidR="00E346BB" w:rsidRPr="005B3921" w14:paraId="1ADDD097" w14:textId="77777777" w:rsidTr="00797136">
        <w:trPr>
          <w:gridAfter w:val="1"/>
          <w:wAfter w:w="14" w:type="pct"/>
          <w:trHeight w:val="1509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90" w14:textId="6594E6CD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McNab et al., 2016.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91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Adopt a systems approach to medical education to understand how outcomes emerge from complex systemic interactions.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CC24E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Qualitative</w:t>
            </w:r>
          </w:p>
          <w:p w14:paraId="19971BA1" w14:textId="77777777" w:rsidR="00680FA3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92" w14:textId="550BBB8A" w:rsidR="00680FA3" w:rsidRPr="005B3921" w:rsidRDefault="00680FA3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93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A just culture promotes learning and accountability and recognises that variability in performance is needed to adapt to complex, changing demands in system performance and should not be blamed on individuals. </w:t>
            </w:r>
          </w:p>
          <w:p w14:paraId="1ADDD094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Understanding the interactions and relationships between system components is crucial for improving overall performance.</w:t>
            </w:r>
          </w:p>
          <w:p w14:paraId="1ADDD095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Advocates for incorporating systems thinking in daily healthcare practices to enhance patient safety.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96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Explore the application and use of systems thinking principles in healthcare practice to improve patient safety. </w:t>
            </w:r>
          </w:p>
        </w:tc>
      </w:tr>
      <w:tr w:rsidR="00E346BB" w:rsidRPr="005B3921" w14:paraId="1ADDD09F" w14:textId="77777777" w:rsidTr="00797136">
        <w:trPr>
          <w:gridAfter w:val="1"/>
          <w:wAfter w:w="14" w:type="pct"/>
          <w:trHeight w:val="52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98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Chan et al., 2020.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99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Reviews how healthcare educators use social media to teach doctors and share important medical information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974CB" w14:textId="77777777" w:rsidR="00E346BB" w:rsidRPr="00541706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41706">
              <w:rPr>
                <w:rFonts w:ascii="Arial" w:eastAsia="Times New Roman" w:hAnsi="Arial" w:cs="Arial"/>
                <w:sz w:val="16"/>
                <w:szCs w:val="16"/>
              </w:rPr>
              <w:t>A scoping review /complex adaptive system theory</w:t>
            </w:r>
          </w:p>
          <w:p w14:paraId="74729C15" w14:textId="77777777" w:rsidR="00541706" w:rsidRPr="00541706" w:rsidRDefault="00541706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9A" w14:textId="6BDADA12" w:rsidR="00541706" w:rsidRPr="00541706" w:rsidRDefault="00541706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41706"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AF81BD" w14:textId="77777777" w:rsidR="00E346BB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Increase in the use of online platforms for educating trainees. </w:t>
            </w:r>
          </w:p>
          <w:p w14:paraId="1ADDD09B" w14:textId="7AB1A90E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Twitter, blogs, Facebook, and podcasts are the platforms mostly used for educating physicians and trainees. </w:t>
            </w:r>
          </w:p>
          <w:p w14:paraId="1ADDD09C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Strategies for enhancing practice, description of technology, community of practice and evaluation of online content were major themes identified. </w:t>
            </w:r>
          </w:p>
          <w:p w14:paraId="1ADDD09D" w14:textId="77777777" w:rsidR="00E346BB" w:rsidRPr="005B3921" w:rsidRDefault="00E346BB" w:rsidP="00E346B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Free Open Access Medical Education is important in facilitating knowledge translation and professional development among healthcare professionals.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9E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Examine the cost-effectiveness and best practices for using of social media in medical education.</w:t>
            </w:r>
          </w:p>
        </w:tc>
      </w:tr>
      <w:tr w:rsidR="00E346BB" w:rsidRPr="005B3921" w14:paraId="1ADDD0A5" w14:textId="77777777" w:rsidTr="00797136">
        <w:trPr>
          <w:gridAfter w:val="1"/>
          <w:wAfter w:w="14" w:type="pct"/>
          <w:trHeight w:val="65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ADDD0A0" w14:textId="77777777" w:rsidR="00E346BB" w:rsidRPr="005B3921" w:rsidRDefault="00E346BB" w:rsidP="00E346BB">
            <w:pPr>
              <w:spacing w:after="0" w:line="240" w:lineRule="auto"/>
              <w:ind w:firstLineChars="100" w:firstLine="16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DD0A1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</w:tcPr>
          <w:p w14:paraId="1ADDD0A2" w14:textId="77777777" w:rsidR="00E346BB" w:rsidRPr="005B3921" w:rsidRDefault="00E346BB" w:rsidP="00E346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</w:tcPr>
          <w:p w14:paraId="1ADDD0A3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</w:tcPr>
          <w:p w14:paraId="1ADDD0A4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E346BB" w:rsidRPr="005B3921" w14:paraId="1ADDD0AE" w14:textId="77777777" w:rsidTr="00797136">
        <w:trPr>
          <w:gridAfter w:val="1"/>
          <w:wAfter w:w="14" w:type="pct"/>
          <w:trHeight w:val="176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A6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Mueller et al., 2021.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A7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Identify the core abilities needed for pharmacists to work within General Practice settings. 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5E2D1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Mixed method</w:t>
            </w:r>
          </w:p>
          <w:p w14:paraId="116B77D2" w14:textId="77777777" w:rsidR="0061432B" w:rsidRDefault="0061432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A8" w14:textId="1DE6CC6A" w:rsidR="0061432B" w:rsidRPr="005B3921" w:rsidRDefault="00541706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Scotland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A9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Consistent with prior research, competencies such as managing medication, examination of patients, chronic disease management, drug information, audit, quality assurance, research, clinical reasoning, consultation skills, and inter-professional collaboration were highlighted. </w:t>
            </w:r>
          </w:p>
          <w:p w14:paraId="1ADDD0AA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Training in clinical consultation, IT skills and documentation were required even though participants were qualified pharmacists.</w:t>
            </w:r>
          </w:p>
          <w:p w14:paraId="1ADDD0AB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Training programs for GP pharmacists should incorporate clinical and consultation skills, usage of technology systems, record-keeping, and general processes in primary care. </w:t>
            </w:r>
          </w:p>
          <w:p w14:paraId="1ADDD0AC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24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Training needs should be designed to fit the needs of specific contexts.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AD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Use a larger sample size and replicate the study across different clinical settings and countries to improve our understanding and the significance of individual competencies.</w:t>
            </w:r>
          </w:p>
        </w:tc>
      </w:tr>
      <w:tr w:rsidR="00E346BB" w:rsidRPr="005B3921" w14:paraId="1ADDD0B6" w14:textId="77777777" w:rsidTr="00797136">
        <w:trPr>
          <w:gridAfter w:val="1"/>
          <w:wAfter w:w="14" w:type="pct"/>
          <w:trHeight w:val="1380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AF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Dowling et al., 2018.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B0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Review how continuing medical education and continuing professional development for GPs impact doctor performance and patient outcomes in rural areas.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2D3B4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Systematic review</w:t>
            </w:r>
          </w:p>
          <w:p w14:paraId="24D0652D" w14:textId="77777777" w:rsidR="00E41AEC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B1" w14:textId="69C63F72" w:rsidR="00E41AEC" w:rsidRPr="005B3921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B2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Despite various educational delivery methods (continuing medical education or professional development, workshops, and distance learning), recruiting and engaging rural GPs remains challenging.</w:t>
            </w:r>
          </w:p>
          <w:p w14:paraId="1ADDD0B3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No significant improvement in doctor performance or patient care outcomes was revealed. </w:t>
            </w:r>
          </w:p>
          <w:p w14:paraId="1ADDD0B4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Evidence supporting the effectiveness of these educational strategies is limited. 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B5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Develop practical continuing medical education programs tailored for rural practitioners.</w:t>
            </w:r>
          </w:p>
        </w:tc>
      </w:tr>
      <w:tr w:rsidR="00E346BB" w:rsidRPr="005B3921" w14:paraId="1ADDD0BF" w14:textId="77777777" w:rsidTr="00797136">
        <w:trPr>
          <w:gridAfter w:val="1"/>
          <w:wAfter w:w="14" w:type="pct"/>
          <w:trHeight w:val="158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B7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 xml:space="preserve">Joffe et al., 2016.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B8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Investigate the differences in personality trait between GP trainers and trainees in the UK.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786A68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Qualitative study</w:t>
            </w:r>
          </w:p>
          <w:p w14:paraId="6596E854" w14:textId="77777777" w:rsidR="0061432B" w:rsidRDefault="0061432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B9" w14:textId="695BC278" w:rsidR="0061432B" w:rsidRPr="005B3921" w:rsidRDefault="0061432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BA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Personality trait and gender differences in emotional stability and agreeableness are crucial for GP training and development of resilience in medical practice. </w:t>
            </w:r>
          </w:p>
          <w:p w14:paraId="1ADDD0BB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Trainers were more emotionally resilient than trainees. </w:t>
            </w:r>
          </w:p>
          <w:p w14:paraId="1ADDD0BC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Female trainees had lower resilience compared to their male counterparts. </w:t>
            </w:r>
          </w:p>
          <w:p w14:paraId="1ADDD0BD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Personality differences should be considered to refine training programs to enhance resilience.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BE" w14:textId="6B6F49B4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Establish correlation between educational outcomes and the differences in personality to enhance the training approaches used in general practice.</w:t>
            </w:r>
          </w:p>
        </w:tc>
      </w:tr>
      <w:tr w:rsidR="00E346BB" w:rsidRPr="005B3921" w14:paraId="1ADDD0C8" w14:textId="77777777" w:rsidTr="00797136">
        <w:trPr>
          <w:gridAfter w:val="1"/>
          <w:wAfter w:w="14" w:type="pct"/>
          <w:trHeight w:val="176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C0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5B3921">
              <w:rPr>
                <w:rFonts w:ascii="Arial" w:eastAsia="Times New Roman" w:hAnsi="Arial" w:cs="Arial"/>
                <w:sz w:val="16"/>
                <w:szCs w:val="16"/>
              </w:rPr>
              <w:t>Roos</w:t>
            </w:r>
            <w:proofErr w:type="spellEnd"/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 et al., 2014.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C1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Examine the motive for choosing a career and job satisfaction among GP students and newly qualified graduates to inform workforce planning.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047CD4" w14:textId="77777777" w:rsidR="00E346BB" w:rsidRPr="00541706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41706">
              <w:rPr>
                <w:rFonts w:ascii="Arial" w:eastAsia="Times New Roman" w:hAnsi="Arial" w:cs="Arial"/>
                <w:sz w:val="16"/>
                <w:szCs w:val="16"/>
              </w:rPr>
              <w:t>Qualitative study</w:t>
            </w:r>
          </w:p>
          <w:p w14:paraId="20359547" w14:textId="77777777" w:rsidR="00541706" w:rsidRPr="00541706" w:rsidRDefault="00541706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C2" w14:textId="389621A4" w:rsidR="00541706" w:rsidRPr="005B3921" w:rsidRDefault="00541706" w:rsidP="0054170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Europe - </w:t>
            </w:r>
            <w:r w:rsidRPr="00541706">
              <w:rPr>
                <w:rFonts w:ascii="Arial" w:eastAsia="Times New Roman" w:hAnsi="Arial" w:cs="Arial"/>
                <w:sz w:val="16"/>
                <w:szCs w:val="16"/>
              </w:rPr>
              <w:t>Czech Republic, Denmark, Germany, Italy, Norway, Portugal and United Kingdom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C3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The common reasons for choosing general practice were that it fits well with family life, offers autonomy, involves a holistic approach to patient care, and is a medically challenging field. </w:t>
            </w:r>
          </w:p>
          <w:p w14:paraId="1ADDD0C4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Respondents reported high job satisfaction despite varying workloads and earnings across countries. </w:t>
            </w:r>
          </w:p>
          <w:p w14:paraId="1ADDD0C5" w14:textId="77777777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Choice for GP varied country by country and in gender. </w:t>
            </w:r>
          </w:p>
          <w:p w14:paraId="1ADDD0C6" w14:textId="34B1040E" w:rsidR="00E346BB" w:rsidRPr="005B3921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Women prioritized family compatibility and holistic approach to patient care whereas males appreciated autonomy and good salary in choosing general practice.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C7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Investigate the differences in motivation and satisfaction in the choice of GP career between countries through qualitative studies.</w:t>
            </w:r>
          </w:p>
        </w:tc>
      </w:tr>
      <w:tr w:rsidR="00E346BB" w:rsidRPr="005B3921" w14:paraId="1ADDD0D1" w14:textId="77777777" w:rsidTr="00797136">
        <w:trPr>
          <w:gridAfter w:val="1"/>
          <w:wAfter w:w="14" w:type="pct"/>
          <w:trHeight w:val="1407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C9" w14:textId="77777777" w:rsidR="00E346BB" w:rsidRPr="006E1D73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E1D73">
              <w:rPr>
                <w:rFonts w:ascii="Arial" w:eastAsia="Times New Roman" w:hAnsi="Arial" w:cs="Arial"/>
                <w:sz w:val="16"/>
                <w:szCs w:val="16"/>
              </w:rPr>
              <w:t xml:space="preserve">Ferguson et al., 2014. 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CA" w14:textId="77777777" w:rsidR="00E346BB" w:rsidRPr="006E1D73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E1D73">
              <w:rPr>
                <w:rFonts w:ascii="Arial" w:eastAsia="Times New Roman" w:hAnsi="Arial" w:cs="Arial"/>
                <w:sz w:val="16"/>
                <w:szCs w:val="16"/>
              </w:rPr>
              <w:t>Explores the perspectives of GP trainers and educators on the state of GP training.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405B47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E1D73">
              <w:rPr>
                <w:rFonts w:ascii="Arial" w:eastAsia="Times New Roman" w:hAnsi="Arial" w:cs="Arial"/>
                <w:sz w:val="16"/>
                <w:szCs w:val="16"/>
              </w:rPr>
              <w:t>Qualitative study</w:t>
            </w:r>
          </w:p>
          <w:p w14:paraId="3FFA5290" w14:textId="77777777" w:rsidR="0061432B" w:rsidRDefault="0061432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CB" w14:textId="013E38C2" w:rsidR="0061432B" w:rsidRPr="006E1D73" w:rsidRDefault="0061432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CC" w14:textId="77777777" w:rsidR="00E346BB" w:rsidRPr="006E1D73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E1D73">
              <w:rPr>
                <w:rFonts w:ascii="Arial" w:eastAsia="Times New Roman" w:hAnsi="Arial" w:cs="Arial"/>
                <w:sz w:val="16"/>
                <w:szCs w:val="16"/>
              </w:rPr>
              <w:t xml:space="preserve">The shift in the role of trainers towards assessment influences trainer-trainee relationship. </w:t>
            </w:r>
          </w:p>
          <w:p w14:paraId="1ADDD0CD" w14:textId="77777777" w:rsidR="00E346BB" w:rsidRPr="006E1D73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E1D73">
              <w:rPr>
                <w:rFonts w:ascii="Arial" w:eastAsia="Times New Roman" w:hAnsi="Arial" w:cs="Arial"/>
                <w:sz w:val="16"/>
                <w:szCs w:val="16"/>
              </w:rPr>
              <w:t xml:space="preserve">Inflexible and limited time in general practice training hinders trainees from gaining diverse primary healthcare experiences and adapting to different environments. </w:t>
            </w:r>
          </w:p>
          <w:p w14:paraId="1ADDD0CE" w14:textId="77777777" w:rsidR="00E346BB" w:rsidRPr="006E1D73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E1D73">
              <w:rPr>
                <w:rFonts w:ascii="Arial" w:eastAsia="Times New Roman" w:hAnsi="Arial" w:cs="Arial"/>
                <w:sz w:val="16"/>
                <w:szCs w:val="16"/>
              </w:rPr>
              <w:t xml:space="preserve">Longer training periods would help trainees acquire the skills and competencies needed to manage complex patient needs and uncertainties. </w:t>
            </w:r>
          </w:p>
          <w:p w14:paraId="1ADDD0CF" w14:textId="77777777" w:rsidR="00E346BB" w:rsidRPr="006E1D73" w:rsidRDefault="00E346BB" w:rsidP="00E346B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E1D73">
              <w:rPr>
                <w:rFonts w:ascii="Arial" w:eastAsia="Times New Roman" w:hAnsi="Arial" w:cs="Arial"/>
                <w:sz w:val="16"/>
                <w:szCs w:val="16"/>
              </w:rPr>
              <w:t>Additional training time could allow trainees to experience and align with the trend of evolving GP careers.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D0" w14:textId="77777777" w:rsidR="00E346BB" w:rsidRPr="006E1D73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E1D73">
              <w:rPr>
                <w:rFonts w:ascii="Arial" w:eastAsia="Times New Roman" w:hAnsi="Arial" w:cs="Arial"/>
                <w:sz w:val="16"/>
                <w:szCs w:val="16"/>
              </w:rPr>
              <w:t>Design educational programs and strategies suited to the contexts of developing countries.</w:t>
            </w:r>
          </w:p>
        </w:tc>
      </w:tr>
      <w:tr w:rsidR="00E346BB" w:rsidRPr="005B3921" w14:paraId="1ADDD0DF" w14:textId="77777777" w:rsidTr="00797136">
        <w:trPr>
          <w:gridAfter w:val="1"/>
          <w:wAfter w:w="14" w:type="pct"/>
          <w:trHeight w:val="2028"/>
        </w:trPr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D2" w14:textId="77777777" w:rsidR="00E346BB" w:rsidRPr="005B3921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O’Shea, 2009.</w:t>
            </w:r>
          </w:p>
        </w:tc>
        <w:tc>
          <w:tcPr>
            <w:tcW w:w="8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D3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Examines the effectiveness and optimal duration of vocational training in general practice.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7CD8EB" w14:textId="77777777" w:rsidR="00E346BB" w:rsidRDefault="00E346BB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Literature review</w:t>
            </w:r>
          </w:p>
          <w:p w14:paraId="519AADC6" w14:textId="77777777" w:rsidR="00E41AEC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D4" w14:textId="36096F41" w:rsidR="00E41AEC" w:rsidRPr="005B3921" w:rsidRDefault="00E41AEC" w:rsidP="00E346B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 applicable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D5" w14:textId="4D3917C3" w:rsidR="00E346BB" w:rsidRPr="005B3921" w:rsidRDefault="00E346BB" w:rsidP="00E346BB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The traditional three-year programs do not adequately prepare GPs for independent practice. </w:t>
            </w:r>
          </w:p>
          <w:p w14:paraId="1ADDD0D6" w14:textId="77777777" w:rsidR="00E346BB" w:rsidRPr="005B3921" w:rsidRDefault="00E346BB" w:rsidP="00E346BB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Extended training programs enhance GP's confidence, clinical judgment, readiness for independent practice, deficiencies in practice management and in coping with uncertainty. </w:t>
            </w:r>
          </w:p>
          <w:p w14:paraId="1ADDD0D7" w14:textId="77777777" w:rsidR="00E346BB" w:rsidRPr="005B3921" w:rsidRDefault="00E346BB" w:rsidP="00E346BB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 xml:space="preserve">Prepares GPs for modern healthcare complexities and requires aligning training with evolving professional needs and expectations. </w:t>
            </w:r>
          </w:p>
          <w:p w14:paraId="1ADDD0D8" w14:textId="77777777" w:rsidR="00E346BB" w:rsidRPr="005B3921" w:rsidRDefault="00E346BB" w:rsidP="00E346BB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Extending the training period poses challenges like increased costs and logistical complexities and suggests a need for careful planning.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D0D9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B3921">
              <w:rPr>
                <w:rFonts w:ascii="Arial" w:eastAsia="Times New Roman" w:hAnsi="Arial" w:cs="Arial"/>
                <w:sz w:val="16"/>
                <w:szCs w:val="16"/>
              </w:rPr>
              <w:t>Perform a cost-benefit analysis of extended training to help evaluate the value of new programs as well as compare extended training with extended support schemes for new GPs.</w:t>
            </w:r>
          </w:p>
          <w:p w14:paraId="1ADDD0DA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DB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DC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DD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ADDD0DE" w14:textId="77777777" w:rsidR="00E346BB" w:rsidRPr="005B3921" w:rsidRDefault="00E346BB" w:rsidP="00E346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1ADDD0E0" w14:textId="77777777" w:rsidR="009B199D" w:rsidRDefault="009B199D" w:rsidP="007A4FFA">
      <w:pPr>
        <w:spacing w:line="240" w:lineRule="auto"/>
        <w:rPr>
          <w:rFonts w:ascii="Arial" w:hAnsi="Arial" w:cs="Arial"/>
          <w:sz w:val="16"/>
          <w:szCs w:val="16"/>
        </w:rPr>
      </w:pPr>
    </w:p>
    <w:p w14:paraId="7B71B850" w14:textId="10BA4FC9" w:rsidR="002D4921" w:rsidRDefault="002D4921" w:rsidP="007A4FFA">
      <w:pPr>
        <w:spacing w:line="240" w:lineRule="auto"/>
        <w:rPr>
          <w:rFonts w:ascii="Arial" w:hAnsi="Arial" w:cs="Arial"/>
          <w:sz w:val="18"/>
          <w:szCs w:val="18"/>
        </w:rPr>
      </w:pPr>
      <w:r w:rsidRPr="00234B80">
        <w:rPr>
          <w:rFonts w:ascii="Arial" w:hAnsi="Arial" w:cs="Arial"/>
          <w:sz w:val="18"/>
          <w:szCs w:val="18"/>
        </w:rPr>
        <w:t>Reference</w:t>
      </w:r>
      <w:r w:rsidR="00234B80" w:rsidRPr="00234B80">
        <w:rPr>
          <w:rFonts w:ascii="Arial" w:hAnsi="Arial" w:cs="Arial"/>
          <w:sz w:val="18"/>
          <w:szCs w:val="18"/>
        </w:rPr>
        <w:t>s:</w:t>
      </w:r>
    </w:p>
    <w:p w14:paraId="51597D57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Aschim, B., Lundevall, S., Martinsen, E. W., &amp; Frich, J. C. (2011). General practitioners’ experiences using cognitive behavioural therapy in general practice: A qualitative study. Scandinavian Journal of Primary Health Care, 29(3), 176–180. </w:t>
      </w:r>
      <w:hyperlink r:id="rId7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https://doi.org/10.3109/02813432.2011.595582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712A5296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Bridgwood, B., Park, J., </w:t>
      </w:r>
      <w:proofErr w:type="spellStart"/>
      <w:r w:rsidRPr="00776EA5">
        <w:rPr>
          <w:rFonts w:ascii="Arial" w:hAnsi="Arial" w:cs="Arial"/>
          <w:sz w:val="18"/>
          <w:szCs w:val="18"/>
        </w:rPr>
        <w:t>Hawcroft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C., Kay, N. and Tang, E., 2018. International exchanges in primary care—learning from thy </w:t>
      </w:r>
      <w:proofErr w:type="spellStart"/>
      <w:r w:rsidRPr="00776EA5">
        <w:rPr>
          <w:rFonts w:ascii="Arial" w:hAnsi="Arial" w:cs="Arial"/>
          <w:sz w:val="18"/>
          <w:szCs w:val="18"/>
        </w:rPr>
        <w:t>neighbour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. Family Practice, 35(3), pp.247-252. </w:t>
      </w:r>
      <w:hyperlink r:id="rId8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https://doi.org/10.1093/fampra/cmx101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7FAF387A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Chan, T. M., </w:t>
      </w:r>
      <w:proofErr w:type="spellStart"/>
      <w:r w:rsidRPr="00776EA5">
        <w:rPr>
          <w:rFonts w:ascii="Arial" w:hAnsi="Arial" w:cs="Arial"/>
          <w:sz w:val="18"/>
          <w:szCs w:val="18"/>
        </w:rPr>
        <w:t>Dzara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K., Dimeo, S. P., Bhalerao, A., &amp; Maggio, L. A. (2020). Social media in knowledge translation and education for physicians and trainees: a scoping review. In Perspectives on Medical Education (Vol. 9, Issue 1, pp. 20–30). Bohn Stafleu van </w:t>
      </w:r>
      <w:proofErr w:type="spellStart"/>
      <w:r w:rsidRPr="00776EA5">
        <w:rPr>
          <w:rFonts w:ascii="Arial" w:hAnsi="Arial" w:cs="Arial"/>
          <w:sz w:val="18"/>
          <w:szCs w:val="18"/>
        </w:rPr>
        <w:t>Loghum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. </w:t>
      </w:r>
      <w:hyperlink r:id="rId9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https://doi.org/10.1007/s40037-019-00542-7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0016A76C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lastRenderedPageBreak/>
        <w:t>Correia, R.H., Grierson, L., Allice, I., Siu, H.Y.H., Baker, A., Panday, J. and Vanstone, M. (2022). The impact of care of the elderly certificates of added competence on family physician practice: results from a pan-Canadian multiple case study. BMC geriatrics, 22(1), p.840.  </w:t>
      </w:r>
      <w:hyperlink r:id="rId10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https://doi.org/10.1186/s12877-022-03523-4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00217A88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  <w:lang w:val="en-GB"/>
        </w:rPr>
        <w:t>Crabtree, B.F., Nutting, P.A., Miller, W.L., McDaniel, R.R., Stange, K.C., Jaen, C.R. and Stewart, E., (2011). Primary care practice transformation is hard work: insights from a 15-year developmental program of research. Medical care, 49, 28-35. </w:t>
      </w:r>
      <w:r w:rsidRPr="00776EA5">
        <w:rPr>
          <w:rFonts w:ascii="Arial" w:hAnsi="Arial" w:cs="Arial"/>
          <w:sz w:val="18"/>
          <w:szCs w:val="18"/>
        </w:rPr>
        <w:t> </w:t>
      </w:r>
      <w:hyperlink r:id="rId11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https://doi.org/10.1097/MLR.0b013e3181cad65c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1F6671E6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Damarell, R.A., Morgan, D.D. and Tieman, J.J. (2020). General practitioner strategies for managing patients with multimorbidity: a systematic review and thematic synthesis of qualitative research. BMC Family Practice, 21, pp.1-23. </w:t>
      </w:r>
      <w:hyperlink r:id="rId12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https://doi.org/10.1186/s12875-020-01197-8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382C586B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De Groot, E., van den Broek, M., </w:t>
      </w:r>
      <w:proofErr w:type="spellStart"/>
      <w:r w:rsidRPr="00776EA5">
        <w:rPr>
          <w:rFonts w:ascii="Arial" w:hAnsi="Arial" w:cs="Arial"/>
          <w:sz w:val="18"/>
          <w:szCs w:val="18"/>
        </w:rPr>
        <w:t>Fokkens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J.T., Witte, J.A., </w:t>
      </w:r>
      <w:proofErr w:type="spellStart"/>
      <w:r w:rsidRPr="00776EA5">
        <w:rPr>
          <w:rFonts w:ascii="Arial" w:hAnsi="Arial" w:cs="Arial"/>
          <w:sz w:val="18"/>
          <w:szCs w:val="18"/>
        </w:rPr>
        <w:t>Damoiseaux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R.A. and Zwart, D.L. (2021). Supervisors’ pedagogies for supporting interns to learn intra-and interprofessional collaboration: a qualitative and quantitative ego network analysis. Journal of interprofessional care, 35(2), pp.185 192.  </w:t>
      </w:r>
      <w:hyperlink r:id="rId13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https://doi.org/10.1080/13561820.2020.1712336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1848D9D0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Darley, S., Coulson, T., Peek, N., </w:t>
      </w:r>
      <w:proofErr w:type="spellStart"/>
      <w:r w:rsidRPr="00776EA5">
        <w:rPr>
          <w:rFonts w:ascii="Arial" w:hAnsi="Arial" w:cs="Arial"/>
          <w:sz w:val="18"/>
          <w:szCs w:val="18"/>
        </w:rPr>
        <w:t>Moschogianis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S., van der Veer, S. N., Wong, D. C., &amp; Brown, B. C. (2022). Understanding How the Design and Implementation of Online Consultations Affect Primary Care Quality: Systematic Review of Evidence With Recommendations for Designers, Providers, and Researchers. In Journal of Medical Internet Research (Vol. 24, Issue 10). JMIR Publications Inc. </w:t>
      </w:r>
      <w:hyperlink r:id="rId14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https://doi.org/10.2196/37436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3DD8CB57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Deutsch, T., Lippmann, S., Frese, T., &amp; </w:t>
      </w:r>
      <w:proofErr w:type="spellStart"/>
      <w:r w:rsidRPr="00776EA5">
        <w:rPr>
          <w:rFonts w:ascii="Arial" w:hAnsi="Arial" w:cs="Arial"/>
          <w:sz w:val="18"/>
          <w:szCs w:val="18"/>
        </w:rPr>
        <w:t>Sandholzer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H. (2015). Who wants to become a general practitioner? Student and curriculum factors associated with choosing a GP career - A multivariable analysis with particular consideration of practice-orientated GP courses. Scandinavian Journal of Primary Health Care, 33(1), 47–53. </w:t>
      </w:r>
      <w:hyperlink r:id="rId15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https://doi.org/10.3109/02813432.2015.1020661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40FDAD16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Dowling, S., Last, J., Finnigan, H., &amp; Cullen, W. (2018). Continuing education for general practitioners working in rural practice: A review of the literature. In Education for Primary Care (Vol. 29, Issue 3, pp. 151–165). Taylor and Francis Ltd. </w:t>
      </w:r>
      <w:hyperlink r:id="rId16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https://doi.org/10.1080/14739879.2018.1450096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5EE5EEB8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Druel, V., Gimenez, L., </w:t>
      </w:r>
      <w:proofErr w:type="spellStart"/>
      <w:r w:rsidRPr="00776EA5">
        <w:rPr>
          <w:rFonts w:ascii="Arial" w:hAnsi="Arial" w:cs="Arial"/>
          <w:sz w:val="18"/>
          <w:szCs w:val="18"/>
        </w:rPr>
        <w:t>Paricaud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K., Delord, J.P., Grosclaude, P., Boussier, N. and Bugat, M.E.R. (2020). Improving communication between the general practitioner and the oncologist: a key role in coordinating care for patients suffering from cancer. BMC cancer, 20, pp.1-9. </w:t>
      </w:r>
      <w:hyperlink r:id="rId17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https://doi.org/10.1186/s12885-020-06993-0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3603FEDB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>Ellis, B. and Howard, J. (2011). Clinical governance, education and learning to manage health information. Clinical Governance: An International Journal, 16(4), pp.337-352.  </w:t>
      </w:r>
      <w:hyperlink r:id="rId18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https://doi.org/10.1108/14777271111175378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5254F49E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Ferguson, J., Wakeling, J., &amp; Cunningham, D. E. (2014). General practice training in Scotland: The views of GP trainers and educators. Education for Primary Care, 25(4), 211–220. </w:t>
      </w:r>
      <w:hyperlink r:id="rId19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https://doi.org/10.1080/14739879.2014.11494279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2039422B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Hjortdahl, M., Halvorsen, P., &amp; Risør, M. B. (2016). Rural GPs’ attitudes toward participating in emergency medicine: a qualitative study. Scandinavian Journal of Primary Health Care, 34(4), 377–384. </w:t>
      </w:r>
      <w:hyperlink r:id="rId20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https://doi.org/10.1080/02813432.2016.1249047</w:t>
        </w:r>
      </w:hyperlink>
      <w:r w:rsidRPr="00776EA5">
        <w:rPr>
          <w:rFonts w:ascii="Arial" w:hAnsi="Arial" w:cs="Arial"/>
          <w:sz w:val="18"/>
          <w:szCs w:val="18"/>
        </w:rPr>
        <w:t> </w:t>
      </w:r>
    </w:p>
    <w:p w14:paraId="4FAC2D42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Hudson, J. N., Knight, P. J., &amp; Weston, K. M. (2012). Patient perceptions of innovative longitudinal integrated clerkships based in regional, rural and remote primary care: A qualitative study. BMC Family Practice, 13. </w:t>
      </w:r>
      <w:hyperlink r:id="rId21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https://doi.org/10.1186/1471-2296-13-72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1B511B50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Joffe, M., MacLeod, S., Kedziora, M., &amp; Main, P. (2016). GP trainers and trainees - Trait and gender differences in personality: Implications for GP training. Education for Primary Care, 27(3), 205–213. </w:t>
      </w:r>
      <w:hyperlink r:id="rId22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https://doi.org/10.1080/14739879.2016.1147135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119199D7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Le, J.V., Pedersen, L.B., Riisgaard, H., Lykkegaard, J., Nexøe, J., Lemmergaard, J. and Søndergaard, J. (2016). Variation in general practitioners’ information-seeking behaviour–a cross-sectional study on the influence of gender, age and practice form. Scandinavian journal of primary health care, 34(4), pp.327-335. </w:t>
      </w:r>
      <w:hyperlink r:id="rId23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https://doi.org/10.1080/02813432.2016.1249057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70CF5B8F" w14:textId="77777777" w:rsidR="00AF421D" w:rsidRDefault="00AF421D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AF421D">
        <w:rPr>
          <w:rFonts w:ascii="Arial" w:hAnsi="Arial" w:cs="Arial"/>
          <w:sz w:val="18"/>
          <w:szCs w:val="18"/>
        </w:rPr>
        <w:t>McDermott, I., Spooner, S., Goff, M., Gibson, J., Dalgarno, E., Francetic, I., ... &amp; Sutton, M. (2022). Scale, scope and impact of skill mix change in primary care in England: a mixed-methods study. </w:t>
      </w:r>
      <w:r w:rsidRPr="00AF421D">
        <w:rPr>
          <w:rFonts w:ascii="Arial" w:hAnsi="Arial" w:cs="Arial"/>
          <w:i/>
          <w:iCs/>
          <w:sz w:val="18"/>
          <w:szCs w:val="18"/>
        </w:rPr>
        <w:t>Health and Social Care Delivery Research</w:t>
      </w:r>
      <w:r w:rsidRPr="00AF421D">
        <w:rPr>
          <w:rFonts w:ascii="Arial" w:hAnsi="Arial" w:cs="Arial"/>
          <w:sz w:val="18"/>
          <w:szCs w:val="18"/>
        </w:rPr>
        <w:t>, </w:t>
      </w:r>
      <w:r w:rsidRPr="00AF421D">
        <w:rPr>
          <w:rFonts w:ascii="Arial" w:hAnsi="Arial" w:cs="Arial"/>
          <w:i/>
          <w:iCs/>
          <w:sz w:val="18"/>
          <w:szCs w:val="18"/>
        </w:rPr>
        <w:t>10</w:t>
      </w:r>
      <w:r w:rsidRPr="00AF421D">
        <w:rPr>
          <w:rFonts w:ascii="Arial" w:hAnsi="Arial" w:cs="Arial"/>
          <w:sz w:val="18"/>
          <w:szCs w:val="18"/>
        </w:rPr>
        <w:t xml:space="preserve">(9), 1-148. </w:t>
      </w:r>
    </w:p>
    <w:p w14:paraId="18BBC1DA" w14:textId="4AA681D3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McDonnell, J., Williams, S., Chavannes, N. H., de Sousa, J. C., John Fardy, H., Fletcher, M., Stout, J., Tomlins, R., Yusuf, O. M., &amp; Pinnock, H. (2012). Effecting change in primary care management of respiratory conditions: A global scoping exercise and literature review of educational interventions to inform the IPCRG’s E-Quality initiative. In Primary Care Respiratory Journal (Vol. 21, Issue 4, pp. 431–436). </w:t>
      </w:r>
      <w:hyperlink r:id="rId24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https://doi.org/10.4104/pcrj.2012.00071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76088077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lastRenderedPageBreak/>
        <w:t xml:space="preserve">McNab, D., Bowie, P., Ross, A., &amp; Morrison, J. (2016). Understanding and responding when things go wrong: Key principles for primary care educators. Education for Primary Care, 27(4), 258–266. </w:t>
      </w:r>
      <w:hyperlink r:id="rId25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https://doi.org/10.1080/14739879.2016.1205959</w:t>
        </w:r>
      </w:hyperlink>
      <w:r w:rsidRPr="00776EA5">
        <w:rPr>
          <w:rFonts w:ascii="Arial" w:hAnsi="Arial" w:cs="Arial"/>
          <w:sz w:val="18"/>
          <w:szCs w:val="18"/>
        </w:rPr>
        <w:t>  </w:t>
      </w:r>
    </w:p>
    <w:p w14:paraId="3F353EE1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Mueller, T., Preston, K. E., </w:t>
      </w:r>
      <w:proofErr w:type="spellStart"/>
      <w:r w:rsidRPr="00776EA5">
        <w:rPr>
          <w:rFonts w:ascii="Arial" w:hAnsi="Arial" w:cs="Arial"/>
          <w:sz w:val="18"/>
          <w:szCs w:val="18"/>
        </w:rPr>
        <w:t>Mcfadyen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 Weir, N., Bennie, M., &amp; Newham, R. (2021). Competencies required for General Practice Clinical Pharmacists providing the Scottish Pharmacotherapy Service: A modified </w:t>
      </w:r>
      <w:proofErr w:type="spellStart"/>
      <w:r w:rsidRPr="00776EA5">
        <w:rPr>
          <w:rFonts w:ascii="Arial" w:hAnsi="Arial" w:cs="Arial"/>
          <w:sz w:val="18"/>
          <w:szCs w:val="18"/>
        </w:rPr>
        <w:t>eDelphi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 study. Health and Social Care in the Community, 29(6), e328–e337. </w:t>
      </w:r>
      <w:hyperlink r:id="rId26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https://doi.org/10.1111/hsc.13357</w:t>
        </w:r>
      </w:hyperlink>
      <w:r w:rsidRPr="00776EA5">
        <w:rPr>
          <w:rFonts w:ascii="Arial" w:hAnsi="Arial" w:cs="Arial"/>
          <w:sz w:val="18"/>
          <w:szCs w:val="18"/>
        </w:rPr>
        <w:t>  </w:t>
      </w:r>
    </w:p>
    <w:p w14:paraId="78BA1C12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Nilsen, S., </w:t>
      </w:r>
      <w:proofErr w:type="spellStart"/>
      <w:r w:rsidRPr="00776EA5">
        <w:rPr>
          <w:rFonts w:ascii="Arial" w:hAnsi="Arial" w:cs="Arial"/>
          <w:sz w:val="18"/>
          <w:szCs w:val="18"/>
        </w:rPr>
        <w:t>Malterud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K., Werner, E. L., </w:t>
      </w:r>
      <w:proofErr w:type="spellStart"/>
      <w:r w:rsidRPr="00776EA5">
        <w:rPr>
          <w:rFonts w:ascii="Arial" w:hAnsi="Arial" w:cs="Arial"/>
          <w:sz w:val="18"/>
          <w:szCs w:val="18"/>
        </w:rPr>
        <w:t>Maeland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S., &amp; Magnussen, L. H. (2015). GPs’ negotiation strategies regarding sick leave for subjective health complaints. Scandinavian Journal of Primary Health Care, 33(1), 40–46. </w:t>
      </w:r>
      <w:hyperlink r:id="rId27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https://doi.org/10.3109/02813432.2015.1001943</w:t>
        </w:r>
      </w:hyperlink>
      <w:r w:rsidRPr="00776EA5">
        <w:rPr>
          <w:rFonts w:ascii="Arial" w:hAnsi="Arial" w:cs="Arial"/>
          <w:sz w:val="18"/>
          <w:szCs w:val="18"/>
        </w:rPr>
        <w:t> </w:t>
      </w:r>
    </w:p>
    <w:p w14:paraId="16D3D2AE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O’Shea, E. B. (2009). Extension of training for general practice: A review of the evidence. In Education for Primary Care (Vol. 20, Issue 1, pp. 15–20). Radcliffe Publishing Ltd. </w:t>
      </w:r>
      <w:hyperlink r:id="rId28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https://doi.org/10.1080/14739879.2009.11493750 </w:t>
        </w:r>
      </w:hyperlink>
      <w:r w:rsidRPr="00776EA5">
        <w:rPr>
          <w:rFonts w:ascii="Arial" w:hAnsi="Arial" w:cs="Arial"/>
          <w:sz w:val="18"/>
          <w:szCs w:val="18"/>
        </w:rPr>
        <w:t>  </w:t>
      </w:r>
    </w:p>
    <w:p w14:paraId="574625AA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Peters, S., Rogers, A., Salmon, P., Gask, L., Dowrick, C., Towey, M., ... &amp; Morriss, R. (2009). What do patients choose to tell their doctors? Qualitative analysis of potential barriers to reattributing medically unexplained symptoms. Journal of general internal medicine, 24, 443-449. </w:t>
      </w:r>
      <w:hyperlink r:id="rId29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https://doi.org/10.1007/s11606-008-0872-x 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6B769214" w14:textId="77777777" w:rsidR="00836826" w:rsidRDefault="00836826" w:rsidP="00776EA5">
      <w:pPr>
        <w:spacing w:line="240" w:lineRule="auto"/>
        <w:rPr>
          <w:rFonts w:ascii="Arial" w:hAnsi="Arial" w:cs="Arial"/>
          <w:sz w:val="18"/>
          <w:szCs w:val="18"/>
        </w:rPr>
      </w:pPr>
      <w:proofErr w:type="spellStart"/>
      <w:r w:rsidRPr="00836826">
        <w:rPr>
          <w:rFonts w:ascii="Arial" w:hAnsi="Arial" w:cs="Arial"/>
          <w:sz w:val="18"/>
          <w:szCs w:val="18"/>
        </w:rPr>
        <w:t>Roos</w:t>
      </w:r>
      <w:proofErr w:type="spellEnd"/>
      <w:r w:rsidRPr="00836826">
        <w:rPr>
          <w:rFonts w:ascii="Arial" w:hAnsi="Arial" w:cs="Arial"/>
          <w:sz w:val="18"/>
          <w:szCs w:val="18"/>
        </w:rPr>
        <w:t>, M., Watson, J., Wensing, M., &amp; Peters-Klimm, F. (2014). Motivation for career choice and job satisfaction of GP trainees and newly qualified GPs across Europe: a seven countries cross-sectional survey. </w:t>
      </w:r>
      <w:r w:rsidRPr="00836826">
        <w:rPr>
          <w:rFonts w:ascii="Arial" w:hAnsi="Arial" w:cs="Arial"/>
          <w:i/>
          <w:iCs/>
          <w:sz w:val="18"/>
          <w:szCs w:val="18"/>
        </w:rPr>
        <w:t>Education for Primary Care</w:t>
      </w:r>
      <w:r w:rsidRPr="00836826">
        <w:rPr>
          <w:rFonts w:ascii="Arial" w:hAnsi="Arial" w:cs="Arial"/>
          <w:sz w:val="18"/>
          <w:szCs w:val="18"/>
        </w:rPr>
        <w:t>, </w:t>
      </w:r>
      <w:r w:rsidRPr="00836826">
        <w:rPr>
          <w:rFonts w:ascii="Arial" w:hAnsi="Arial" w:cs="Arial"/>
          <w:i/>
          <w:iCs/>
          <w:sz w:val="18"/>
          <w:szCs w:val="18"/>
        </w:rPr>
        <w:t>25</w:t>
      </w:r>
      <w:r w:rsidRPr="00836826">
        <w:rPr>
          <w:rFonts w:ascii="Arial" w:hAnsi="Arial" w:cs="Arial"/>
          <w:sz w:val="18"/>
          <w:szCs w:val="18"/>
        </w:rPr>
        <w:t xml:space="preserve">(4), 202-210. </w:t>
      </w:r>
    </w:p>
    <w:p w14:paraId="167D6873" w14:textId="74869E5F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Sargent, L., Taylor, J., &amp; Lowe, J. (2021). Barriers and facilitators to general practitioners participating in implementation research: A mixed methods systematic review protocol. In JBI Evidence Synthesis (Vol. 19, Issue 6, pp. 1354–1361). Lippincott Williams and Wilkins. </w:t>
      </w:r>
      <w:hyperlink r:id="rId30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https://doi.org/10.11124/JBIES-20-00187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43FD1241" w14:textId="77777777" w:rsidR="006B2D74" w:rsidRDefault="006B2D74" w:rsidP="00776EA5">
      <w:pPr>
        <w:spacing w:line="240" w:lineRule="auto"/>
        <w:rPr>
          <w:rFonts w:ascii="Arial" w:hAnsi="Arial" w:cs="Arial"/>
          <w:sz w:val="18"/>
          <w:szCs w:val="18"/>
          <w:lang w:val="en-GB"/>
        </w:rPr>
      </w:pPr>
      <w:r w:rsidRPr="006B2D74">
        <w:rPr>
          <w:rFonts w:ascii="Arial" w:hAnsi="Arial" w:cs="Arial"/>
          <w:sz w:val="18"/>
          <w:szCs w:val="18"/>
        </w:rPr>
        <w:t xml:space="preserve">Sikorski, C., Luppa, M., König, H. H., van den </w:t>
      </w:r>
      <w:proofErr w:type="spellStart"/>
      <w:r w:rsidRPr="006B2D74">
        <w:rPr>
          <w:rFonts w:ascii="Arial" w:hAnsi="Arial" w:cs="Arial"/>
          <w:sz w:val="18"/>
          <w:szCs w:val="18"/>
        </w:rPr>
        <w:t>Bussche</w:t>
      </w:r>
      <w:proofErr w:type="spellEnd"/>
      <w:r w:rsidRPr="006B2D74">
        <w:rPr>
          <w:rFonts w:ascii="Arial" w:hAnsi="Arial" w:cs="Arial"/>
          <w:sz w:val="18"/>
          <w:szCs w:val="18"/>
        </w:rPr>
        <w:t>, H., &amp; Riedel-Heller, S. G. (2012). Does GP training in depression care affect patient outcome?-A systematic review and meta-analysis. </w:t>
      </w:r>
      <w:r w:rsidRPr="006B2D74">
        <w:rPr>
          <w:rFonts w:ascii="Arial" w:hAnsi="Arial" w:cs="Arial"/>
          <w:i/>
          <w:iCs/>
          <w:sz w:val="18"/>
          <w:szCs w:val="18"/>
        </w:rPr>
        <w:t>BMC health services research</w:t>
      </w:r>
      <w:r w:rsidRPr="006B2D74">
        <w:rPr>
          <w:rFonts w:ascii="Arial" w:hAnsi="Arial" w:cs="Arial"/>
          <w:sz w:val="18"/>
          <w:szCs w:val="18"/>
        </w:rPr>
        <w:t>, </w:t>
      </w:r>
      <w:r w:rsidRPr="006B2D74">
        <w:rPr>
          <w:rFonts w:ascii="Arial" w:hAnsi="Arial" w:cs="Arial"/>
          <w:i/>
          <w:iCs/>
          <w:sz w:val="18"/>
          <w:szCs w:val="18"/>
        </w:rPr>
        <w:t>12</w:t>
      </w:r>
      <w:r w:rsidRPr="006B2D74">
        <w:rPr>
          <w:rFonts w:ascii="Arial" w:hAnsi="Arial" w:cs="Arial"/>
          <w:sz w:val="18"/>
          <w:szCs w:val="18"/>
        </w:rPr>
        <w:t>, 1-11.</w:t>
      </w:r>
      <w:r w:rsidRPr="006B2D74">
        <w:rPr>
          <w:rFonts w:ascii="Arial" w:hAnsi="Arial" w:cs="Arial"/>
          <w:sz w:val="18"/>
          <w:szCs w:val="18"/>
          <w:lang w:val="en-GB"/>
        </w:rPr>
        <w:t xml:space="preserve"> </w:t>
      </w:r>
    </w:p>
    <w:p w14:paraId="3F2A4DB4" w14:textId="16EAAD0A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  <w:lang w:val="en-GB"/>
        </w:rPr>
        <w:t>Sturmberg, J. P., Martin, C. M. and Katerndahl, D. A. (2014). Systems and complexity thinking in the general practice literature: an integrative, historical narrative review. The Annals of Family Medicine, 12(1), 66-74. </w:t>
      </w:r>
      <w:r w:rsidRPr="00776EA5">
        <w:rPr>
          <w:rFonts w:ascii="Arial" w:hAnsi="Arial" w:cs="Arial"/>
          <w:sz w:val="18"/>
          <w:szCs w:val="18"/>
        </w:rPr>
        <w:t> </w:t>
      </w:r>
      <w:hyperlink r:id="rId31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https://doi.org/10.1370/afm.1593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54F3D5BF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Thompson, L., Dowell, A., Hilder, J., Macdonald, L., Stubbe, M., &amp; Alchin, J. (2021). How do patients and General Practitioners talk about pain and negotiate empathy in consultations? A direct observational study. Health and Social Care in the Community, 29(5), e153–e162. </w:t>
      </w:r>
      <w:hyperlink r:id="rId32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https://doi.org/10.1111/hsc.13259</w:t>
        </w:r>
      </w:hyperlink>
      <w:r w:rsidRPr="00776EA5">
        <w:rPr>
          <w:rFonts w:ascii="Arial" w:hAnsi="Arial" w:cs="Arial"/>
          <w:sz w:val="18"/>
          <w:szCs w:val="18"/>
        </w:rPr>
        <w:t>  </w:t>
      </w:r>
    </w:p>
    <w:p w14:paraId="295BD4AF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>Thomson, J.S., Anderson, K.J., Mara, P.R. and Stevenson, A.D. (2011). Supervision—growing and building a sustainable general practice supervisor system. Medical Journal of Australia, 194(11), p.S101.  </w:t>
      </w:r>
      <w:hyperlink r:id="rId33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https://doi.org/10.5694/j.1326-5377.2011.tb03139.x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42FAFE50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Thorsen, O., Hartveit, M. and </w:t>
      </w:r>
      <w:proofErr w:type="spellStart"/>
      <w:r w:rsidRPr="00776EA5">
        <w:rPr>
          <w:rFonts w:ascii="Arial" w:hAnsi="Arial" w:cs="Arial"/>
          <w:sz w:val="18"/>
          <w:szCs w:val="18"/>
        </w:rPr>
        <w:t>Baerheim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A. (2012). General practitioners’ reflections on referring: An asymmetric or non-dialogical </w:t>
      </w:r>
      <w:proofErr w:type="gramStart"/>
      <w:r w:rsidRPr="00776EA5">
        <w:rPr>
          <w:rFonts w:ascii="Arial" w:hAnsi="Arial" w:cs="Arial"/>
          <w:sz w:val="18"/>
          <w:szCs w:val="18"/>
        </w:rPr>
        <w:t>process?.</w:t>
      </w:r>
      <w:proofErr w:type="gramEnd"/>
      <w:r w:rsidRPr="00776EA5">
        <w:rPr>
          <w:rFonts w:ascii="Arial" w:hAnsi="Arial" w:cs="Arial"/>
          <w:sz w:val="18"/>
          <w:szCs w:val="18"/>
        </w:rPr>
        <w:t> Scandinavian journal of primary health care, 30(4), pp.241-246. </w:t>
      </w:r>
      <w:hyperlink r:id="rId34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https://doi.org/10.3109/02813432.2012.711190</w:t>
        </w:r>
      </w:hyperlink>
      <w:r w:rsidRPr="00776EA5">
        <w:rPr>
          <w:rFonts w:ascii="Arial" w:hAnsi="Arial" w:cs="Arial"/>
          <w:sz w:val="18"/>
          <w:szCs w:val="18"/>
        </w:rPr>
        <w:t> </w:t>
      </w:r>
    </w:p>
    <w:p w14:paraId="31FB1A81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Von Below, B., Haffling, A. C., Brorsson, A., Mattsson, B., &amp; </w:t>
      </w:r>
      <w:proofErr w:type="spellStart"/>
      <w:r w:rsidRPr="00776EA5">
        <w:rPr>
          <w:rFonts w:ascii="Arial" w:hAnsi="Arial" w:cs="Arial"/>
          <w:sz w:val="18"/>
          <w:szCs w:val="18"/>
        </w:rPr>
        <w:t>Wahlqvist</w:t>
      </w:r>
      <w:proofErr w:type="spellEnd"/>
      <w:r w:rsidRPr="00776EA5">
        <w:rPr>
          <w:rFonts w:ascii="Arial" w:hAnsi="Arial" w:cs="Arial"/>
          <w:sz w:val="18"/>
          <w:szCs w:val="18"/>
        </w:rPr>
        <w:t>, M. (2015). Student-</w:t>
      </w:r>
      <w:proofErr w:type="spellStart"/>
      <w:r w:rsidRPr="00776EA5">
        <w:rPr>
          <w:rFonts w:ascii="Arial" w:hAnsi="Arial" w:cs="Arial"/>
          <w:sz w:val="18"/>
          <w:szCs w:val="18"/>
        </w:rPr>
        <w:t>centred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 GP ambassadors: Perceptions of experienced clinical tutors in general practice undergraduate training. Scandinavian Journal of Primary Health Care, 33(2), 142–149. </w:t>
      </w:r>
      <w:hyperlink r:id="rId35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https://doi.org/10.3109/02813432.2015.1041826</w:t>
        </w:r>
      </w:hyperlink>
      <w:r w:rsidRPr="00776EA5">
        <w:rPr>
          <w:rFonts w:ascii="Arial" w:hAnsi="Arial" w:cs="Arial"/>
          <w:sz w:val="18"/>
          <w:szCs w:val="18"/>
        </w:rPr>
        <w:t>    </w:t>
      </w:r>
    </w:p>
    <w:p w14:paraId="09349FBB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proofErr w:type="spellStart"/>
      <w:r w:rsidRPr="00776EA5">
        <w:rPr>
          <w:rFonts w:ascii="Arial" w:hAnsi="Arial" w:cs="Arial"/>
          <w:sz w:val="18"/>
          <w:szCs w:val="18"/>
        </w:rPr>
        <w:t>Wanderås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M. R., </w:t>
      </w:r>
      <w:proofErr w:type="spellStart"/>
      <w:r w:rsidRPr="00776EA5">
        <w:rPr>
          <w:rFonts w:ascii="Arial" w:hAnsi="Arial" w:cs="Arial"/>
          <w:sz w:val="18"/>
          <w:szCs w:val="18"/>
        </w:rPr>
        <w:t>Abildsnes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E., Thygesen, E., &amp; Martinez, S. G. (2023). Video consultation in general practice: a scoping review on use, experiences, and clinical decisions. BMC Health Services Research, 23(1). </w:t>
      </w:r>
      <w:hyperlink r:id="rId36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https://doi.org/10.1186/s12913-023-09309-7 </w:t>
        </w:r>
      </w:hyperlink>
      <w:r w:rsidRPr="00776EA5">
        <w:rPr>
          <w:rFonts w:ascii="Arial" w:hAnsi="Arial" w:cs="Arial"/>
          <w:sz w:val="18"/>
          <w:szCs w:val="18"/>
        </w:rPr>
        <w:t>  </w:t>
      </w:r>
    </w:p>
    <w:p w14:paraId="42E08CBE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Wearne, S.M., Brown, J.B., Kirby, C. and </w:t>
      </w:r>
      <w:proofErr w:type="spellStart"/>
      <w:r w:rsidRPr="00776EA5">
        <w:rPr>
          <w:rFonts w:ascii="Arial" w:hAnsi="Arial" w:cs="Arial"/>
          <w:sz w:val="18"/>
          <w:szCs w:val="18"/>
        </w:rPr>
        <w:t>Snadden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D. (2019). International medical graduates and general practice training: How do educational leaders facilitate the transition from new migrant to local family </w:t>
      </w:r>
      <w:proofErr w:type="gramStart"/>
      <w:r w:rsidRPr="00776EA5">
        <w:rPr>
          <w:rFonts w:ascii="Arial" w:hAnsi="Arial" w:cs="Arial"/>
          <w:sz w:val="18"/>
          <w:szCs w:val="18"/>
        </w:rPr>
        <w:t>doctor?.</w:t>
      </w:r>
      <w:proofErr w:type="gramEnd"/>
      <w:r w:rsidRPr="00776EA5">
        <w:rPr>
          <w:rFonts w:ascii="Arial" w:hAnsi="Arial" w:cs="Arial"/>
          <w:sz w:val="18"/>
          <w:szCs w:val="18"/>
        </w:rPr>
        <w:t> Medical Teacher, 41(9), pp.1065-1072.</w:t>
      </w:r>
    </w:p>
    <w:p w14:paraId="3B843DA0" w14:textId="77777777" w:rsidR="00776EA5" w:rsidRPr="00776EA5" w:rsidRDefault="00776EA5" w:rsidP="00776EA5">
      <w:pPr>
        <w:spacing w:line="240" w:lineRule="auto"/>
        <w:rPr>
          <w:rFonts w:ascii="Arial" w:hAnsi="Arial" w:cs="Arial"/>
          <w:sz w:val="18"/>
          <w:szCs w:val="18"/>
        </w:rPr>
      </w:pPr>
      <w:r w:rsidRPr="00776EA5">
        <w:rPr>
          <w:rFonts w:ascii="Arial" w:hAnsi="Arial" w:cs="Arial"/>
          <w:sz w:val="18"/>
          <w:szCs w:val="18"/>
        </w:rPr>
        <w:t xml:space="preserve">Wesnes, S. L., Aasland, O., &amp; </w:t>
      </w:r>
      <w:proofErr w:type="spellStart"/>
      <w:r w:rsidRPr="00776EA5">
        <w:rPr>
          <w:rFonts w:ascii="Arial" w:hAnsi="Arial" w:cs="Arial"/>
          <w:sz w:val="18"/>
          <w:szCs w:val="18"/>
        </w:rPr>
        <w:t>Baerheim</w:t>
      </w:r>
      <w:proofErr w:type="spellEnd"/>
      <w:r w:rsidRPr="00776EA5">
        <w:rPr>
          <w:rFonts w:ascii="Arial" w:hAnsi="Arial" w:cs="Arial"/>
          <w:sz w:val="18"/>
          <w:szCs w:val="18"/>
        </w:rPr>
        <w:t xml:space="preserve">, A. (2012). Career choice and place of graduation among physicians in Norway. Scandinavian Journal of Primary Health Care, 30(1), 35–40. </w:t>
      </w:r>
      <w:hyperlink r:id="rId37" w:tgtFrame="_blank" w:history="1">
        <w:r w:rsidRPr="00776EA5">
          <w:rPr>
            <w:rStyle w:val="Hyperlink"/>
            <w:rFonts w:ascii="Arial" w:hAnsi="Arial" w:cs="Arial"/>
            <w:sz w:val="18"/>
            <w:szCs w:val="18"/>
          </w:rPr>
          <w:t>https://doi.org/10.3109/02813432.2012.654195</w:t>
        </w:r>
      </w:hyperlink>
      <w:r w:rsidRPr="00776EA5">
        <w:rPr>
          <w:rFonts w:ascii="Arial" w:hAnsi="Arial" w:cs="Arial"/>
          <w:sz w:val="18"/>
          <w:szCs w:val="18"/>
        </w:rPr>
        <w:t>   </w:t>
      </w:r>
    </w:p>
    <w:p w14:paraId="751343B1" w14:textId="77777777" w:rsidR="00234B80" w:rsidRPr="00234B80" w:rsidRDefault="00234B80" w:rsidP="007A4FFA">
      <w:pPr>
        <w:spacing w:line="240" w:lineRule="auto"/>
        <w:rPr>
          <w:rFonts w:ascii="Arial" w:hAnsi="Arial" w:cs="Arial"/>
          <w:sz w:val="18"/>
          <w:szCs w:val="18"/>
        </w:rPr>
      </w:pPr>
    </w:p>
    <w:sectPr w:rsidR="00234B80" w:rsidRPr="00234B80" w:rsidSect="008D49B1">
      <w:footerReference w:type="default" r:id="rId38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E4079" w14:textId="77777777" w:rsidR="004D2ED2" w:rsidRDefault="004D2ED2" w:rsidP="00E001DB">
      <w:pPr>
        <w:spacing w:after="0" w:line="240" w:lineRule="auto"/>
      </w:pPr>
      <w:r>
        <w:separator/>
      </w:r>
    </w:p>
  </w:endnote>
  <w:endnote w:type="continuationSeparator" w:id="0">
    <w:p w14:paraId="5B7ED8EE" w14:textId="77777777" w:rsidR="004D2ED2" w:rsidRDefault="004D2ED2" w:rsidP="00E00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08466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46F953" w14:textId="6CD0F53F" w:rsidR="00E41AEC" w:rsidRDefault="00E41A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38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19365E8" w14:textId="77777777" w:rsidR="00E41AEC" w:rsidRDefault="00E41A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31592" w14:textId="77777777" w:rsidR="004D2ED2" w:rsidRDefault="004D2ED2" w:rsidP="00E001DB">
      <w:pPr>
        <w:spacing w:after="0" w:line="240" w:lineRule="auto"/>
      </w:pPr>
      <w:r>
        <w:separator/>
      </w:r>
    </w:p>
  </w:footnote>
  <w:footnote w:type="continuationSeparator" w:id="0">
    <w:p w14:paraId="7A75A1B8" w14:textId="77777777" w:rsidR="004D2ED2" w:rsidRDefault="004D2ED2" w:rsidP="00E00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B8C"/>
    <w:multiLevelType w:val="hybridMultilevel"/>
    <w:tmpl w:val="4CC81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2324F"/>
    <w:multiLevelType w:val="hybridMultilevel"/>
    <w:tmpl w:val="6F661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766A0"/>
    <w:multiLevelType w:val="hybridMultilevel"/>
    <w:tmpl w:val="AA6C6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464F3"/>
    <w:multiLevelType w:val="hybridMultilevel"/>
    <w:tmpl w:val="0C9AD6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6347AF"/>
    <w:multiLevelType w:val="hybridMultilevel"/>
    <w:tmpl w:val="A454A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71DB7"/>
    <w:multiLevelType w:val="hybridMultilevel"/>
    <w:tmpl w:val="3E50E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F36CA"/>
    <w:multiLevelType w:val="hybridMultilevel"/>
    <w:tmpl w:val="5C8CCF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F33D3"/>
    <w:multiLevelType w:val="hybridMultilevel"/>
    <w:tmpl w:val="A3E89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080E29"/>
    <w:multiLevelType w:val="hybridMultilevel"/>
    <w:tmpl w:val="F82C6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D0400"/>
    <w:multiLevelType w:val="hybridMultilevel"/>
    <w:tmpl w:val="481CB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744A79"/>
    <w:multiLevelType w:val="hybridMultilevel"/>
    <w:tmpl w:val="B5CAA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42771A"/>
    <w:multiLevelType w:val="hybridMultilevel"/>
    <w:tmpl w:val="DD383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A02CB"/>
    <w:multiLevelType w:val="hybridMultilevel"/>
    <w:tmpl w:val="A000A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157E5"/>
    <w:multiLevelType w:val="hybridMultilevel"/>
    <w:tmpl w:val="7F44B8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DA348C"/>
    <w:multiLevelType w:val="hybridMultilevel"/>
    <w:tmpl w:val="39968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B0A68"/>
    <w:multiLevelType w:val="hybridMultilevel"/>
    <w:tmpl w:val="E0768B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242955"/>
    <w:multiLevelType w:val="hybridMultilevel"/>
    <w:tmpl w:val="D86E9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096D15"/>
    <w:multiLevelType w:val="hybridMultilevel"/>
    <w:tmpl w:val="35E87D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40706E"/>
    <w:multiLevelType w:val="hybridMultilevel"/>
    <w:tmpl w:val="0DA82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A4EC3"/>
    <w:multiLevelType w:val="hybridMultilevel"/>
    <w:tmpl w:val="CE5E9D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4014"/>
    <w:multiLevelType w:val="hybridMultilevel"/>
    <w:tmpl w:val="EF206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134FE8"/>
    <w:multiLevelType w:val="hybridMultilevel"/>
    <w:tmpl w:val="78D05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F40227"/>
    <w:multiLevelType w:val="hybridMultilevel"/>
    <w:tmpl w:val="A4864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314F87"/>
    <w:multiLevelType w:val="hybridMultilevel"/>
    <w:tmpl w:val="8A880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256F6"/>
    <w:multiLevelType w:val="hybridMultilevel"/>
    <w:tmpl w:val="C160F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AA1F4D"/>
    <w:multiLevelType w:val="hybridMultilevel"/>
    <w:tmpl w:val="1A4409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A0288"/>
    <w:multiLevelType w:val="hybridMultilevel"/>
    <w:tmpl w:val="56E035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722BDF"/>
    <w:multiLevelType w:val="hybridMultilevel"/>
    <w:tmpl w:val="829CFC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CE0148"/>
    <w:multiLevelType w:val="hybridMultilevel"/>
    <w:tmpl w:val="BCCC4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180F39"/>
    <w:multiLevelType w:val="hybridMultilevel"/>
    <w:tmpl w:val="3C9C8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410BE1"/>
    <w:multiLevelType w:val="hybridMultilevel"/>
    <w:tmpl w:val="ABB24B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0551CF"/>
    <w:multiLevelType w:val="hybridMultilevel"/>
    <w:tmpl w:val="93049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E7088A"/>
    <w:multiLevelType w:val="hybridMultilevel"/>
    <w:tmpl w:val="73A60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0B7AF4"/>
    <w:multiLevelType w:val="hybridMultilevel"/>
    <w:tmpl w:val="6ADAC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6E4FC0"/>
    <w:multiLevelType w:val="hybridMultilevel"/>
    <w:tmpl w:val="8B9C5F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A4FE0"/>
    <w:multiLevelType w:val="hybridMultilevel"/>
    <w:tmpl w:val="0A8A8E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9936E0"/>
    <w:multiLevelType w:val="hybridMultilevel"/>
    <w:tmpl w:val="EE8AC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9F715D"/>
    <w:multiLevelType w:val="hybridMultilevel"/>
    <w:tmpl w:val="BDBA1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073B71"/>
    <w:multiLevelType w:val="hybridMultilevel"/>
    <w:tmpl w:val="20105E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C30BD3"/>
    <w:multiLevelType w:val="hybridMultilevel"/>
    <w:tmpl w:val="A184CE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FC3228"/>
    <w:multiLevelType w:val="hybridMultilevel"/>
    <w:tmpl w:val="EA7AF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EB3DD6"/>
    <w:multiLevelType w:val="hybridMultilevel"/>
    <w:tmpl w:val="EB7A2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4E5880"/>
    <w:multiLevelType w:val="hybridMultilevel"/>
    <w:tmpl w:val="C7BE4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08245B"/>
    <w:multiLevelType w:val="hybridMultilevel"/>
    <w:tmpl w:val="CF3A7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054100">
    <w:abstractNumId w:val="24"/>
  </w:num>
  <w:num w:numId="2" w16cid:durableId="806748274">
    <w:abstractNumId w:val="42"/>
  </w:num>
  <w:num w:numId="3" w16cid:durableId="1716081635">
    <w:abstractNumId w:val="23"/>
  </w:num>
  <w:num w:numId="4" w16cid:durableId="1656228748">
    <w:abstractNumId w:val="9"/>
  </w:num>
  <w:num w:numId="5" w16cid:durableId="1851092894">
    <w:abstractNumId w:val="37"/>
  </w:num>
  <w:num w:numId="6" w16cid:durableId="1048452699">
    <w:abstractNumId w:val="8"/>
  </w:num>
  <w:num w:numId="7" w16cid:durableId="1094473980">
    <w:abstractNumId w:val="32"/>
  </w:num>
  <w:num w:numId="8" w16cid:durableId="72288736">
    <w:abstractNumId w:val="18"/>
  </w:num>
  <w:num w:numId="9" w16cid:durableId="2017532764">
    <w:abstractNumId w:val="6"/>
  </w:num>
  <w:num w:numId="10" w16cid:durableId="274290299">
    <w:abstractNumId w:val="28"/>
  </w:num>
  <w:num w:numId="11" w16cid:durableId="1653673770">
    <w:abstractNumId w:val="21"/>
  </w:num>
  <w:num w:numId="12" w16cid:durableId="1443845721">
    <w:abstractNumId w:val="7"/>
  </w:num>
  <w:num w:numId="13" w16cid:durableId="2069573559">
    <w:abstractNumId w:val="35"/>
  </w:num>
  <w:num w:numId="14" w16cid:durableId="2044937213">
    <w:abstractNumId w:val="41"/>
  </w:num>
  <w:num w:numId="15" w16cid:durableId="1657956667">
    <w:abstractNumId w:val="14"/>
  </w:num>
  <w:num w:numId="16" w16cid:durableId="1234049846">
    <w:abstractNumId w:val="4"/>
  </w:num>
  <w:num w:numId="17" w16cid:durableId="1629432716">
    <w:abstractNumId w:val="22"/>
  </w:num>
  <w:num w:numId="18" w16cid:durableId="527987414">
    <w:abstractNumId w:val="34"/>
  </w:num>
  <w:num w:numId="19" w16cid:durableId="1790003841">
    <w:abstractNumId w:val="31"/>
  </w:num>
  <w:num w:numId="20" w16cid:durableId="1741367956">
    <w:abstractNumId w:val="19"/>
  </w:num>
  <w:num w:numId="21" w16cid:durableId="412627330">
    <w:abstractNumId w:val="20"/>
  </w:num>
  <w:num w:numId="22" w16cid:durableId="20205757">
    <w:abstractNumId w:val="29"/>
  </w:num>
  <w:num w:numId="23" w16cid:durableId="656499659">
    <w:abstractNumId w:val="33"/>
  </w:num>
  <w:num w:numId="24" w16cid:durableId="1194659235">
    <w:abstractNumId w:val="11"/>
  </w:num>
  <w:num w:numId="25" w16cid:durableId="2023311354">
    <w:abstractNumId w:val="0"/>
  </w:num>
  <w:num w:numId="26" w16cid:durableId="304896077">
    <w:abstractNumId w:val="2"/>
  </w:num>
  <w:num w:numId="27" w16cid:durableId="359671218">
    <w:abstractNumId w:val="1"/>
  </w:num>
  <w:num w:numId="28" w16cid:durableId="315457227">
    <w:abstractNumId w:val="16"/>
  </w:num>
  <w:num w:numId="29" w16cid:durableId="1134325779">
    <w:abstractNumId w:val="40"/>
  </w:num>
  <w:num w:numId="30" w16cid:durableId="879785164">
    <w:abstractNumId w:val="30"/>
  </w:num>
  <w:num w:numId="31" w16cid:durableId="322467428">
    <w:abstractNumId w:val="43"/>
  </w:num>
  <w:num w:numId="32" w16cid:durableId="212469234">
    <w:abstractNumId w:val="12"/>
  </w:num>
  <w:num w:numId="33" w16cid:durableId="1523781865">
    <w:abstractNumId w:val="5"/>
  </w:num>
  <w:num w:numId="34" w16cid:durableId="879126806">
    <w:abstractNumId w:val="25"/>
  </w:num>
  <w:num w:numId="35" w16cid:durableId="1125931465">
    <w:abstractNumId w:val="36"/>
  </w:num>
  <w:num w:numId="36" w16cid:durableId="1196112859">
    <w:abstractNumId w:val="13"/>
  </w:num>
  <w:num w:numId="37" w16cid:durableId="51806153">
    <w:abstractNumId w:val="15"/>
  </w:num>
  <w:num w:numId="38" w16cid:durableId="1941208922">
    <w:abstractNumId w:val="27"/>
  </w:num>
  <w:num w:numId="39" w16cid:durableId="1718776165">
    <w:abstractNumId w:val="17"/>
  </w:num>
  <w:num w:numId="40" w16cid:durableId="1777014789">
    <w:abstractNumId w:val="38"/>
  </w:num>
  <w:num w:numId="41" w16cid:durableId="2037148934">
    <w:abstractNumId w:val="26"/>
  </w:num>
  <w:num w:numId="42" w16cid:durableId="793326366">
    <w:abstractNumId w:val="39"/>
  </w:num>
  <w:num w:numId="43" w16cid:durableId="990986721">
    <w:abstractNumId w:val="10"/>
  </w:num>
  <w:num w:numId="44" w16cid:durableId="2069256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99D"/>
    <w:rsid w:val="00020C71"/>
    <w:rsid w:val="00051F85"/>
    <w:rsid w:val="00081AAC"/>
    <w:rsid w:val="0008383E"/>
    <w:rsid w:val="00126BD4"/>
    <w:rsid w:val="001314CD"/>
    <w:rsid w:val="001345C4"/>
    <w:rsid w:val="001527C3"/>
    <w:rsid w:val="001D17F0"/>
    <w:rsid w:val="00234B80"/>
    <w:rsid w:val="002B1EE4"/>
    <w:rsid w:val="002D4921"/>
    <w:rsid w:val="0030103D"/>
    <w:rsid w:val="00311DEF"/>
    <w:rsid w:val="003A3846"/>
    <w:rsid w:val="003F6D6A"/>
    <w:rsid w:val="00411463"/>
    <w:rsid w:val="00446B6A"/>
    <w:rsid w:val="0048308F"/>
    <w:rsid w:val="00497002"/>
    <w:rsid w:val="004B4F3D"/>
    <w:rsid w:val="004B6F44"/>
    <w:rsid w:val="004D2ED2"/>
    <w:rsid w:val="004E5575"/>
    <w:rsid w:val="004E5877"/>
    <w:rsid w:val="005165AF"/>
    <w:rsid w:val="00541706"/>
    <w:rsid w:val="005516E2"/>
    <w:rsid w:val="00561808"/>
    <w:rsid w:val="005835EB"/>
    <w:rsid w:val="005923AC"/>
    <w:rsid w:val="005A613D"/>
    <w:rsid w:val="005B3921"/>
    <w:rsid w:val="0061432B"/>
    <w:rsid w:val="0061536C"/>
    <w:rsid w:val="00623812"/>
    <w:rsid w:val="0067615C"/>
    <w:rsid w:val="00680FA3"/>
    <w:rsid w:val="00687490"/>
    <w:rsid w:val="00693329"/>
    <w:rsid w:val="006A2003"/>
    <w:rsid w:val="006B2D74"/>
    <w:rsid w:val="006D3FF3"/>
    <w:rsid w:val="006E1D73"/>
    <w:rsid w:val="00711129"/>
    <w:rsid w:val="00737548"/>
    <w:rsid w:val="007453AE"/>
    <w:rsid w:val="00771B52"/>
    <w:rsid w:val="00776EA5"/>
    <w:rsid w:val="00786341"/>
    <w:rsid w:val="00797136"/>
    <w:rsid w:val="00797FCE"/>
    <w:rsid w:val="007A3658"/>
    <w:rsid w:val="007A3B61"/>
    <w:rsid w:val="007A4FFA"/>
    <w:rsid w:val="007F2893"/>
    <w:rsid w:val="00836826"/>
    <w:rsid w:val="008529C7"/>
    <w:rsid w:val="00852DFC"/>
    <w:rsid w:val="00893246"/>
    <w:rsid w:val="008A375C"/>
    <w:rsid w:val="008C761A"/>
    <w:rsid w:val="008C7EFA"/>
    <w:rsid w:val="008D49B1"/>
    <w:rsid w:val="008D6B5D"/>
    <w:rsid w:val="008F64D8"/>
    <w:rsid w:val="009307A6"/>
    <w:rsid w:val="009671CE"/>
    <w:rsid w:val="009A5C9E"/>
    <w:rsid w:val="009B199D"/>
    <w:rsid w:val="009B2FDC"/>
    <w:rsid w:val="00A028B8"/>
    <w:rsid w:val="00A20865"/>
    <w:rsid w:val="00A408BF"/>
    <w:rsid w:val="00A834E3"/>
    <w:rsid w:val="00A95026"/>
    <w:rsid w:val="00A9591A"/>
    <w:rsid w:val="00AA3146"/>
    <w:rsid w:val="00AB1CE2"/>
    <w:rsid w:val="00AE67A4"/>
    <w:rsid w:val="00AF421D"/>
    <w:rsid w:val="00BC730E"/>
    <w:rsid w:val="00BE50C0"/>
    <w:rsid w:val="00BE56C1"/>
    <w:rsid w:val="00BF5DC9"/>
    <w:rsid w:val="00C477DF"/>
    <w:rsid w:val="00C52A53"/>
    <w:rsid w:val="00C633F0"/>
    <w:rsid w:val="00C63A23"/>
    <w:rsid w:val="00C86FAD"/>
    <w:rsid w:val="00C917E2"/>
    <w:rsid w:val="00CB6394"/>
    <w:rsid w:val="00CD1880"/>
    <w:rsid w:val="00CF01EC"/>
    <w:rsid w:val="00CF0B74"/>
    <w:rsid w:val="00D47526"/>
    <w:rsid w:val="00D522E2"/>
    <w:rsid w:val="00D80E0C"/>
    <w:rsid w:val="00D84A24"/>
    <w:rsid w:val="00D9576A"/>
    <w:rsid w:val="00E001DB"/>
    <w:rsid w:val="00E03C29"/>
    <w:rsid w:val="00E346BB"/>
    <w:rsid w:val="00E41AEC"/>
    <w:rsid w:val="00E74BF9"/>
    <w:rsid w:val="00EA359D"/>
    <w:rsid w:val="00EA58AE"/>
    <w:rsid w:val="00ED135A"/>
    <w:rsid w:val="00EE16E0"/>
    <w:rsid w:val="00EF371E"/>
    <w:rsid w:val="00F037EF"/>
    <w:rsid w:val="00F30E1D"/>
    <w:rsid w:val="00F4577A"/>
    <w:rsid w:val="00F51F39"/>
    <w:rsid w:val="00FA16CA"/>
    <w:rsid w:val="00FA56C3"/>
    <w:rsid w:val="00FD1F23"/>
    <w:rsid w:val="00FE1465"/>
    <w:rsid w:val="00FE3DDD"/>
    <w:rsid w:val="00FE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DDCF84"/>
  <w15:chartTrackingRefBased/>
  <w15:docId w15:val="{631E3A15-3A38-41D2-BA32-752D80A0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0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1DB"/>
  </w:style>
  <w:style w:type="paragraph" w:styleId="Footer">
    <w:name w:val="footer"/>
    <w:basedOn w:val="Normal"/>
    <w:link w:val="FooterChar"/>
    <w:uiPriority w:val="99"/>
    <w:unhideWhenUsed/>
    <w:rsid w:val="00E001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1DB"/>
  </w:style>
  <w:style w:type="paragraph" w:styleId="ListParagraph">
    <w:name w:val="List Paragraph"/>
    <w:basedOn w:val="Normal"/>
    <w:uiPriority w:val="34"/>
    <w:qFormat/>
    <w:rsid w:val="008D49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6E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6EA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457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2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0/13561820.2020.1712336" TargetMode="External"/><Relationship Id="rId18" Type="http://schemas.openxmlformats.org/officeDocument/2006/relationships/hyperlink" Target="https://doi.org/10.1108/14777271111175378" TargetMode="External"/><Relationship Id="rId26" Type="http://schemas.openxmlformats.org/officeDocument/2006/relationships/hyperlink" Target="https://doi.org/10.1111/hsc.13357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doi.org/10.1186/1471-2296-13-72" TargetMode="External"/><Relationship Id="rId34" Type="http://schemas.openxmlformats.org/officeDocument/2006/relationships/hyperlink" Target="https://doi.org/10.3109/02813432.2012.711190" TargetMode="External"/><Relationship Id="rId7" Type="http://schemas.openxmlformats.org/officeDocument/2006/relationships/hyperlink" Target="https://doi.org/10.3109/02813432.2011.595582" TargetMode="External"/><Relationship Id="rId12" Type="http://schemas.openxmlformats.org/officeDocument/2006/relationships/hyperlink" Target="https://doi.org/10.1186/s12875-020-01197-8" TargetMode="External"/><Relationship Id="rId17" Type="http://schemas.openxmlformats.org/officeDocument/2006/relationships/hyperlink" Target="https://doi.org/10.1186/s12885-020-06993-0" TargetMode="External"/><Relationship Id="rId25" Type="http://schemas.openxmlformats.org/officeDocument/2006/relationships/hyperlink" Target="https://doi.org/10.1080/14739879.2016.1205959" TargetMode="External"/><Relationship Id="rId33" Type="http://schemas.openxmlformats.org/officeDocument/2006/relationships/hyperlink" Target="https://doi.org/10.5694/j.1326-5377.2011.tb03139.x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080/14739879.2018.1450096" TargetMode="External"/><Relationship Id="rId20" Type="http://schemas.openxmlformats.org/officeDocument/2006/relationships/hyperlink" Target="https://doi.org/10.1080/02813432.2016.1249047" TargetMode="External"/><Relationship Id="rId29" Type="http://schemas.openxmlformats.org/officeDocument/2006/relationships/hyperlink" Target="https://doi.org/10.1007/s11606-008-0872-x%E2%80%A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97/MLR.0b013e3181cad65c" TargetMode="External"/><Relationship Id="rId24" Type="http://schemas.openxmlformats.org/officeDocument/2006/relationships/hyperlink" Target="https://doi.org/10.4104/pcrj.2012.00071" TargetMode="External"/><Relationship Id="rId32" Type="http://schemas.openxmlformats.org/officeDocument/2006/relationships/hyperlink" Target="https://doi.org/10.1111/hsc.13259" TargetMode="External"/><Relationship Id="rId37" Type="http://schemas.openxmlformats.org/officeDocument/2006/relationships/hyperlink" Target="https://doi.org/10.3109/02813432.2012.654195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i.org/10.3109/02813432.2015.1020661" TargetMode="External"/><Relationship Id="rId23" Type="http://schemas.openxmlformats.org/officeDocument/2006/relationships/hyperlink" Target="https://doi.org/10.1080/02813432.2016.1249057" TargetMode="External"/><Relationship Id="rId28" Type="http://schemas.openxmlformats.org/officeDocument/2006/relationships/hyperlink" Target="https://doi.org/10.1080/14739879.2009.11493750%E2%80%AF" TargetMode="External"/><Relationship Id="rId36" Type="http://schemas.openxmlformats.org/officeDocument/2006/relationships/hyperlink" Target="https://doi.org/10.1186/s12913-023-09309-7%E2%80%AF" TargetMode="External"/><Relationship Id="rId10" Type="http://schemas.openxmlformats.org/officeDocument/2006/relationships/hyperlink" Target="https://doi.org/10.1186/s12877-022-03523-4" TargetMode="External"/><Relationship Id="rId19" Type="http://schemas.openxmlformats.org/officeDocument/2006/relationships/hyperlink" Target="https://doi.org/10.1080/14739879.2014.11494279" TargetMode="External"/><Relationship Id="rId31" Type="http://schemas.openxmlformats.org/officeDocument/2006/relationships/hyperlink" Target="https://doi.org/10.1370/afm.15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40037-019-00542-7" TargetMode="External"/><Relationship Id="rId14" Type="http://schemas.openxmlformats.org/officeDocument/2006/relationships/hyperlink" Target="https://doi.org/10.2196/37436" TargetMode="External"/><Relationship Id="rId22" Type="http://schemas.openxmlformats.org/officeDocument/2006/relationships/hyperlink" Target="https://doi.org/10.1080/14739879.2016.1147135" TargetMode="External"/><Relationship Id="rId27" Type="http://schemas.openxmlformats.org/officeDocument/2006/relationships/hyperlink" Target="https://doi.org/10.3109/02813432.2015.1001943" TargetMode="External"/><Relationship Id="rId30" Type="http://schemas.openxmlformats.org/officeDocument/2006/relationships/hyperlink" Target="https://doi.org/10.11124/JBIES-20-00187" TargetMode="External"/><Relationship Id="rId35" Type="http://schemas.openxmlformats.org/officeDocument/2006/relationships/hyperlink" Target="https://doi.org/10.3109/02813432.2015.1041826" TargetMode="External"/><Relationship Id="rId8" Type="http://schemas.openxmlformats.org/officeDocument/2006/relationships/hyperlink" Target="https://doi.org/10.1093/fampra/cmx101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35c3da-39ae-4632-9ac1-afc2f25d2852}" enabled="0" method="" siteId="{5f35c3da-39ae-4632-9ac1-afc2f25d28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5234</Words>
  <Characters>33707</Characters>
  <Application>Microsoft Office Word</Application>
  <DocSecurity>0</DocSecurity>
  <Lines>963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Ahluwalia, Sanjiv</cp:lastModifiedBy>
  <cp:revision>2</cp:revision>
  <dcterms:created xsi:type="dcterms:W3CDTF">2026-01-10T17:09:00Z</dcterms:created>
  <dcterms:modified xsi:type="dcterms:W3CDTF">2026-01-10T17:09:00Z</dcterms:modified>
</cp:coreProperties>
</file>