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6F" w:rsidRDefault="0017606F" w:rsidP="0017606F">
      <w:pPr>
        <w:pStyle w:val="Geenafstand"/>
        <w:rPr>
          <w:rFonts w:cstheme="minorHAnsi"/>
          <w:sz w:val="24"/>
          <w:szCs w:val="20"/>
          <w:lang w:val="en-US"/>
        </w:rPr>
      </w:pPr>
      <w:r w:rsidRPr="007F15E7">
        <w:rPr>
          <w:rFonts w:cstheme="minorHAnsi"/>
          <w:b/>
          <w:sz w:val="24"/>
          <w:szCs w:val="20"/>
          <w:lang w:val="en-US"/>
        </w:rPr>
        <w:t>Supple</w:t>
      </w:r>
      <w:r>
        <w:rPr>
          <w:rFonts w:cstheme="minorHAnsi"/>
          <w:b/>
          <w:sz w:val="24"/>
          <w:szCs w:val="20"/>
          <w:lang w:val="en-US"/>
        </w:rPr>
        <w:t xml:space="preserve">ment </w:t>
      </w:r>
      <w:proofErr w:type="gramStart"/>
      <w:r>
        <w:rPr>
          <w:rFonts w:cstheme="minorHAnsi"/>
          <w:b/>
          <w:sz w:val="24"/>
          <w:szCs w:val="20"/>
          <w:lang w:val="en-US"/>
        </w:rPr>
        <w:t>3</w:t>
      </w:r>
      <w:proofErr w:type="gramEnd"/>
      <w:r w:rsidRPr="007F15E7">
        <w:rPr>
          <w:rFonts w:cstheme="minorHAnsi"/>
          <w:b/>
          <w:sz w:val="24"/>
          <w:szCs w:val="20"/>
          <w:lang w:val="en-US"/>
        </w:rPr>
        <w:t>.</w:t>
      </w:r>
      <w:r w:rsidRPr="007F15E7">
        <w:rPr>
          <w:rFonts w:cstheme="minorHAnsi"/>
          <w:sz w:val="24"/>
          <w:szCs w:val="20"/>
          <w:lang w:val="en-US"/>
        </w:rPr>
        <w:t xml:space="preserve"> Major events among women and men: specified diagnoses. </w:t>
      </w:r>
    </w:p>
    <w:p w:rsidR="0017606F" w:rsidRPr="007F15E7" w:rsidRDefault="0017606F" w:rsidP="0017606F">
      <w:pPr>
        <w:pStyle w:val="Geenafstand"/>
        <w:rPr>
          <w:rFonts w:cstheme="minorHAnsi"/>
          <w:sz w:val="24"/>
          <w:szCs w:val="20"/>
          <w:lang w:val="en-US"/>
        </w:rPr>
      </w:pPr>
    </w:p>
    <w:tbl>
      <w:tblPr>
        <w:tblStyle w:val="Tabelraster"/>
        <w:tblW w:w="7932" w:type="dxa"/>
        <w:tblLayout w:type="fixed"/>
        <w:tblLook w:val="04A0" w:firstRow="1" w:lastRow="0" w:firstColumn="1" w:lastColumn="0" w:noHBand="0" w:noVBand="1"/>
      </w:tblPr>
      <w:tblGrid>
        <w:gridCol w:w="236"/>
        <w:gridCol w:w="4579"/>
        <w:gridCol w:w="1133"/>
        <w:gridCol w:w="1134"/>
        <w:gridCol w:w="850"/>
      </w:tblGrid>
      <w:tr w:rsidR="0017606F" w:rsidRPr="007F15E7" w:rsidTr="00844026">
        <w:tc>
          <w:tcPr>
            <w:tcW w:w="48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17606F" w:rsidRPr="007F15E7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17606F" w:rsidRDefault="0017606F" w:rsidP="00844026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Women</w:t>
            </w:r>
          </w:p>
          <w:p w:rsidR="0017606F" w:rsidRPr="00606D70" w:rsidRDefault="0017606F" w:rsidP="00844026">
            <w:pPr>
              <w:pStyle w:val="Geenafstand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(n=849)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17606F" w:rsidRDefault="0017606F" w:rsidP="00844026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Men</w:t>
            </w:r>
          </w:p>
          <w:p w:rsidR="0017606F" w:rsidRPr="00606D70" w:rsidRDefault="0017606F" w:rsidP="00844026">
            <w:pPr>
              <w:pStyle w:val="Geenafstand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(n=621)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17606F" w:rsidRPr="00606D70" w:rsidRDefault="0017606F" w:rsidP="00844026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</w:t>
            </w:r>
          </w:p>
        </w:tc>
      </w:tr>
      <w:tr w:rsidR="0017606F" w:rsidRPr="00606D70" w:rsidTr="00844026">
        <w:tc>
          <w:tcPr>
            <w:tcW w:w="4815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b/>
                <w:sz w:val="20"/>
                <w:szCs w:val="20"/>
                <w:lang w:val="en-US"/>
              </w:rPr>
              <w:t>Major event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>(total)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b/>
                <w:sz w:val="20"/>
                <w:szCs w:val="20"/>
                <w:lang w:val="en-US"/>
              </w:rPr>
              <w:t>109 (12.8)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b/>
                <w:sz w:val="20"/>
                <w:szCs w:val="20"/>
                <w:lang w:val="en-US"/>
              </w:rPr>
              <w:t>129 (20.8)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b/>
                <w:sz w:val="20"/>
                <w:szCs w:val="20"/>
                <w:lang w:val="en-US"/>
              </w:rPr>
              <w:t>&lt;0.001</w:t>
            </w:r>
          </w:p>
        </w:tc>
      </w:tr>
      <w:tr w:rsidR="0017606F" w:rsidRPr="00606D70" w:rsidTr="00844026">
        <w:tc>
          <w:tcPr>
            <w:tcW w:w="4815" w:type="dxa"/>
            <w:gridSpan w:val="2"/>
            <w:tcBorders>
              <w:left w:val="nil"/>
              <w:bottom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b/>
                <w:sz w:val="20"/>
                <w:szCs w:val="20"/>
                <w:lang w:val="en-US"/>
              </w:rPr>
              <w:t>Cardiovascular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82 (9.7)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102 (16.4)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&lt;0.001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>Acute coronary syndrome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46 (5.4)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53 (8.5)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0.019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 xml:space="preserve">Chronic coronary syndrome </w:t>
            </w:r>
            <w:r w:rsidRPr="001F154D">
              <w:rPr>
                <w:rFonts w:cstheme="minorHAnsi"/>
                <w:i/>
                <w:iCs/>
                <w:sz w:val="20"/>
                <w:szCs w:val="20"/>
                <w:lang w:val="en-US"/>
              </w:rPr>
              <w:t>(e.g. stable angina, ischemic disease without angina)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 (0.6)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 (0.5)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>Atrial fibrillation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19 (2.2)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19 (3.1)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0.34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>Congestive heart failure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 (0.7)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 (1.1)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0.40</w:t>
            </w:r>
          </w:p>
        </w:tc>
      </w:tr>
      <w:tr w:rsidR="0017606F" w:rsidRPr="00211A41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1F154D">
              <w:rPr>
                <w:rFonts w:cstheme="minorHAnsi"/>
                <w:sz w:val="20"/>
                <w:szCs w:val="20"/>
                <w:lang w:val="en-US"/>
              </w:rPr>
              <w:t>Peri</w:t>
            </w:r>
            <w:proofErr w:type="spellEnd"/>
            <w:r w:rsidRPr="001F154D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1F154D">
              <w:rPr>
                <w:rFonts w:cstheme="minorHAnsi"/>
                <w:sz w:val="20"/>
                <w:szCs w:val="20"/>
                <w:lang w:val="en-US"/>
              </w:rPr>
              <w:t>myo</w:t>
            </w:r>
            <w:proofErr w:type="spellEnd"/>
            <w:r w:rsidRPr="001F154D">
              <w:rPr>
                <w:rFonts w:cstheme="minorHAnsi"/>
                <w:sz w:val="20"/>
                <w:szCs w:val="20"/>
                <w:lang w:val="en-US"/>
              </w:rPr>
              <w:t>)</w:t>
            </w:r>
            <w:proofErr w:type="spellStart"/>
            <w:r w:rsidRPr="001F154D">
              <w:rPr>
                <w:rFonts w:cstheme="minorHAnsi"/>
                <w:sz w:val="20"/>
                <w:szCs w:val="20"/>
                <w:lang w:val="en-US"/>
              </w:rPr>
              <w:t>carditis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 (0.3)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0.58</w:t>
            </w:r>
          </w:p>
        </w:tc>
      </w:tr>
      <w:tr w:rsidR="0017606F" w:rsidRPr="00211A41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 xml:space="preserve">Aortic aneurysm or dissection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 (0.5)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0.08</w:t>
            </w:r>
          </w:p>
        </w:tc>
      </w:tr>
      <w:tr w:rsidR="0017606F" w:rsidRPr="00211A41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>Pulmonary embolism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 (1.3)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0.022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 xml:space="preserve">Cerebrovascular disease </w:t>
            </w:r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>(CVA and TIA)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</w:tr>
      <w:tr w:rsidR="0017606F" w:rsidRPr="001F154D" w:rsidTr="00844026"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>Other cardiovascular (</w:t>
            </w:r>
            <w:proofErr w:type="spellStart"/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>tachycardias</w:t>
            </w:r>
            <w:proofErr w:type="spellEnd"/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>valvular</w:t>
            </w:r>
            <w:proofErr w:type="spellEnd"/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 xml:space="preserve"> disorders, unspecified complaints)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 (0.4)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 (0.5)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0.70</w:t>
            </w:r>
          </w:p>
        </w:tc>
      </w:tr>
      <w:tr w:rsidR="0017606F" w:rsidRPr="00606D70" w:rsidTr="00844026">
        <w:tc>
          <w:tcPr>
            <w:tcW w:w="4815" w:type="dxa"/>
            <w:gridSpan w:val="2"/>
            <w:tcBorders>
              <w:left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b/>
                <w:sz w:val="20"/>
                <w:szCs w:val="20"/>
                <w:lang w:val="en-US"/>
              </w:rPr>
              <w:t>Musculoskeletal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 (0.7)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 (0.3)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0.48</w:t>
            </w:r>
          </w:p>
        </w:tc>
      </w:tr>
      <w:tr w:rsidR="0017606F" w:rsidRPr="00606D70" w:rsidTr="00844026">
        <w:tc>
          <w:tcPr>
            <w:tcW w:w="4815" w:type="dxa"/>
            <w:gridSpan w:val="2"/>
            <w:tcBorders>
              <w:left w:val="nil"/>
              <w:bottom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b/>
                <w:sz w:val="20"/>
                <w:szCs w:val="20"/>
                <w:lang w:val="en-US"/>
              </w:rPr>
              <w:t xml:space="preserve">Respiratory 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 (1.2)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13 (2.1)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0.16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>Pneumonia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 (0.6)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 (1.6)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0.05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>Pneumothorax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</w:tr>
      <w:tr w:rsidR="0017606F" w:rsidRPr="001F154D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 xml:space="preserve">Chronic pulmonary diseases </w:t>
            </w:r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>(e.g. asthma, COPD)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>Respiratory complaints other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 (0.2)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(0.2)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100</w:t>
            </w:r>
          </w:p>
        </w:tc>
      </w:tr>
      <w:tr w:rsidR="0017606F" w:rsidRPr="00606D70" w:rsidTr="00844026">
        <w:tc>
          <w:tcPr>
            <w:tcW w:w="4815" w:type="dxa"/>
            <w:gridSpan w:val="2"/>
            <w:tcBorders>
              <w:left w:val="nil"/>
              <w:bottom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b/>
                <w:sz w:val="20"/>
                <w:szCs w:val="20"/>
                <w:lang w:val="en-US"/>
              </w:rPr>
              <w:t>Abdominal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 (0.9)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 (1.4)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0.37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 xml:space="preserve">Stomach and esophageal related complaints/diseases </w:t>
            </w:r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>(e.g. heartburn, reflux disease, nausea, indigestion, epigastric pain)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 xml:space="preserve">Inflammatory &amp; biliary </w:t>
            </w:r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 xml:space="preserve">(appendicitis, chronic enteritis, pancreatitis, </w:t>
            </w:r>
            <w:proofErr w:type="spellStart"/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>cholecystitis</w:t>
            </w:r>
            <w:proofErr w:type="spellEnd"/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 xml:space="preserve"> w/o </w:t>
            </w:r>
            <w:proofErr w:type="spellStart"/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>cholelithiasis</w:t>
            </w:r>
            <w:proofErr w:type="spellEnd"/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 (0.5)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 (0.8)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0.51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 xml:space="preserve">Urological infection or calculi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 (0.2)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 (0.3)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</w:tr>
      <w:tr w:rsidR="0017606F" w:rsidRPr="00606D70" w:rsidTr="00844026"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sz w:val="20"/>
                <w:szCs w:val="20"/>
                <w:lang w:val="en-US"/>
              </w:rPr>
              <w:t>Other unspecified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(0.1)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(0.2)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</w:tr>
      <w:tr w:rsidR="0017606F" w:rsidRPr="001F154D" w:rsidTr="00844026">
        <w:tc>
          <w:tcPr>
            <w:tcW w:w="4815" w:type="dxa"/>
            <w:gridSpan w:val="2"/>
            <w:tcBorders>
              <w:left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b/>
                <w:sz w:val="20"/>
                <w:szCs w:val="20"/>
                <w:lang w:val="en-US"/>
              </w:rPr>
              <w:t>Psychological and mental health</w:t>
            </w:r>
            <w:r w:rsidRPr="001F154D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>intoxication</w:t>
            </w:r>
            <w:r w:rsidRPr="001F154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(0.1)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1.00</w:t>
            </w:r>
          </w:p>
        </w:tc>
      </w:tr>
      <w:tr w:rsidR="0017606F" w:rsidRPr="001F154D" w:rsidTr="00844026">
        <w:tc>
          <w:tcPr>
            <w:tcW w:w="481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rPr>
                <w:rFonts w:cstheme="minorHAnsi"/>
                <w:sz w:val="20"/>
                <w:szCs w:val="20"/>
                <w:lang w:val="en-US"/>
              </w:rPr>
            </w:pPr>
            <w:r w:rsidRPr="001F154D">
              <w:rPr>
                <w:rFonts w:cstheme="minorHAnsi"/>
                <w:b/>
                <w:sz w:val="20"/>
                <w:szCs w:val="20"/>
                <w:lang w:val="en-US"/>
              </w:rPr>
              <w:t>Other</w:t>
            </w:r>
            <w:r w:rsidRPr="001F1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1F154D">
              <w:rPr>
                <w:rFonts w:cstheme="minorHAnsi"/>
                <w:i/>
                <w:sz w:val="20"/>
                <w:szCs w:val="20"/>
                <w:lang w:val="en-US"/>
              </w:rPr>
              <w:t>(thyroid disease, diabetes related, fever, anaphylaxis)</w:t>
            </w:r>
          </w:p>
        </w:tc>
        <w:tc>
          <w:tcPr>
            <w:tcW w:w="1133" w:type="dxa"/>
            <w:tcBorders>
              <w:left w:val="nil"/>
              <w:bottom w:val="single" w:sz="12" w:space="0" w:color="auto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 (0.2)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 (0.5)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nil"/>
            </w:tcBorders>
            <w:shd w:val="clear" w:color="auto" w:fill="EFF5FB"/>
          </w:tcPr>
          <w:p w:rsidR="0017606F" w:rsidRPr="001F154D" w:rsidRDefault="0017606F" w:rsidP="00844026">
            <w:pPr>
              <w:pStyle w:val="Geenafstand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0.66</w:t>
            </w:r>
          </w:p>
        </w:tc>
      </w:tr>
    </w:tbl>
    <w:p w:rsidR="0017606F" w:rsidRPr="00B348B5" w:rsidRDefault="0017606F" w:rsidP="0017606F">
      <w:pPr>
        <w:pStyle w:val="Geenafstand"/>
        <w:rPr>
          <w:rFonts w:cstheme="minorHAnsi"/>
          <w:i/>
          <w:sz w:val="18"/>
          <w:szCs w:val="20"/>
          <w:lang w:val="en-US"/>
        </w:rPr>
      </w:pPr>
      <w:r w:rsidRPr="00B348B5">
        <w:rPr>
          <w:rFonts w:cstheme="minorHAnsi"/>
          <w:i/>
          <w:sz w:val="18"/>
          <w:szCs w:val="20"/>
          <w:lang w:val="en-US"/>
        </w:rPr>
        <w:t xml:space="preserve">Supplement </w:t>
      </w:r>
      <w:proofErr w:type="gramStart"/>
      <w:r>
        <w:rPr>
          <w:rFonts w:cstheme="minorHAnsi"/>
          <w:i/>
          <w:sz w:val="18"/>
          <w:szCs w:val="20"/>
          <w:lang w:val="en-US"/>
        </w:rPr>
        <w:t>2</w:t>
      </w:r>
      <w:proofErr w:type="gramEnd"/>
      <w:r>
        <w:rPr>
          <w:rFonts w:cstheme="minorHAnsi"/>
          <w:i/>
          <w:sz w:val="18"/>
          <w:szCs w:val="20"/>
          <w:lang w:val="en-US"/>
        </w:rPr>
        <w:t xml:space="preserve">. </w:t>
      </w:r>
      <w:r w:rsidRPr="00B348B5">
        <w:rPr>
          <w:rFonts w:cstheme="minorHAnsi"/>
          <w:i/>
          <w:sz w:val="18"/>
          <w:szCs w:val="20"/>
          <w:lang w:val="en-US"/>
        </w:rPr>
        <w:t xml:space="preserve">Major events among women and men: specified final diagnoses. </w:t>
      </w:r>
    </w:p>
    <w:p w:rsidR="0017606F" w:rsidRDefault="0017606F" w:rsidP="0017606F">
      <w:pPr>
        <w:pStyle w:val="Geenafstand"/>
        <w:rPr>
          <w:rFonts w:cstheme="minorHAnsi"/>
          <w:sz w:val="18"/>
          <w:szCs w:val="20"/>
          <w:lang w:val="en-US"/>
        </w:rPr>
      </w:pPr>
      <w:r>
        <w:rPr>
          <w:rFonts w:cstheme="minorHAnsi"/>
          <w:sz w:val="18"/>
          <w:szCs w:val="20"/>
          <w:lang w:val="en-US"/>
        </w:rPr>
        <w:t xml:space="preserve">The table shows the total amount of major event for each sex and the subdivision of specific major event diagnoses. ‘Major events’ is a composite of all-cause mortality and urgent cardiovascular and non-cardiovascular conditions, occurring within 6 weeks of initial contact. </w:t>
      </w:r>
    </w:p>
    <w:p w:rsidR="0017606F" w:rsidRDefault="0017606F" w:rsidP="0017606F">
      <w:pPr>
        <w:pStyle w:val="Geenafstand"/>
        <w:rPr>
          <w:rFonts w:cstheme="minorHAnsi"/>
          <w:sz w:val="18"/>
          <w:szCs w:val="20"/>
          <w:lang w:val="en-US"/>
        </w:rPr>
      </w:pPr>
      <w:r>
        <w:rPr>
          <w:rFonts w:cstheme="minorHAnsi"/>
          <w:i/>
          <w:sz w:val="18"/>
          <w:szCs w:val="20"/>
          <w:lang w:val="en-US"/>
        </w:rPr>
        <w:t>Abbreviations:</w:t>
      </w:r>
      <w:r>
        <w:rPr>
          <w:rFonts w:cstheme="minorHAnsi"/>
          <w:sz w:val="18"/>
          <w:szCs w:val="20"/>
          <w:lang w:val="en-US"/>
        </w:rPr>
        <w:t xml:space="preserve"> cerebrovascular accident (CVA), transient ischemic attack (TIA), chronic obstructive pulmonary disease (COPD). </w:t>
      </w:r>
    </w:p>
    <w:p w:rsidR="002F1159" w:rsidRPr="0017606F" w:rsidRDefault="0017606F">
      <w:pPr>
        <w:rPr>
          <w:lang w:val="en-US"/>
        </w:rPr>
      </w:pPr>
      <w:bookmarkStart w:id="0" w:name="_GoBack"/>
      <w:bookmarkEnd w:id="0"/>
    </w:p>
    <w:sectPr w:rsidR="002F1159" w:rsidRPr="0017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6F"/>
    <w:rsid w:val="0017606F"/>
    <w:rsid w:val="005E2BC3"/>
    <w:rsid w:val="00D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5499-B003-4C8E-9301-A6162419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760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7606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7606F"/>
  </w:style>
  <w:style w:type="table" w:styleId="Tabelraster">
    <w:name w:val="Table Grid"/>
    <w:basedOn w:val="Standaardtabel"/>
    <w:uiPriority w:val="39"/>
    <w:rsid w:val="0017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1749</Characters>
  <Application>Microsoft Office Word</Application>
  <DocSecurity>0</DocSecurity>
  <Lines>14</Lines>
  <Paragraphs>4</Paragraphs>
  <ScaleCrop>false</ScaleCrop>
  <Company>AMC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Manten, A. (Amy)</dc:creator>
  <cp:keywords/>
  <dc:description/>
  <cp:lastModifiedBy>Manten, A. (Amy)</cp:lastModifiedBy>
  <cp:revision>1</cp:revision>
  <dcterms:created xsi:type="dcterms:W3CDTF">2023-07-10T08:38:00Z</dcterms:created>
  <dcterms:modified xsi:type="dcterms:W3CDTF">2023-07-10T08:38:00Z</dcterms:modified>
</cp:coreProperties>
</file>