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D0" w:rsidRPr="00E819A6" w:rsidRDefault="00E67F9F" w:rsidP="00FB3432">
      <w:pPr>
        <w:jc w:val="center"/>
        <w:rPr>
          <w:rFonts w:asciiTheme="minorHAnsi" w:hAnsiTheme="minorHAnsi" w:cstheme="minorHAnsi"/>
          <w:b/>
          <w:sz w:val="24"/>
          <w:szCs w:val="22"/>
        </w:rPr>
      </w:pPr>
      <w:r w:rsidRPr="00E819A6">
        <w:rPr>
          <w:rFonts w:asciiTheme="minorHAnsi" w:hAnsiTheme="minorHAnsi" w:cstheme="minorHAnsi"/>
          <w:b/>
          <w:sz w:val="24"/>
          <w:szCs w:val="22"/>
        </w:rPr>
        <w:t xml:space="preserve">Prediction of fat-free mass and fat mass from bioimpedance spectroscopy and anthropometry: a validation study in </w:t>
      </w:r>
      <w:r w:rsidR="00971E44" w:rsidRPr="00E819A6">
        <w:rPr>
          <w:rFonts w:asciiTheme="minorHAnsi" w:hAnsiTheme="minorHAnsi" w:cstheme="minorHAnsi"/>
          <w:b/>
          <w:sz w:val="24"/>
          <w:szCs w:val="22"/>
        </w:rPr>
        <w:t>7</w:t>
      </w:r>
      <w:r w:rsidR="00105305" w:rsidRPr="00E819A6">
        <w:rPr>
          <w:rFonts w:asciiTheme="minorHAnsi" w:hAnsiTheme="minorHAnsi" w:cstheme="minorHAnsi"/>
          <w:b/>
          <w:sz w:val="24"/>
          <w:szCs w:val="22"/>
        </w:rPr>
        <w:t>-</w:t>
      </w:r>
      <w:r w:rsidR="00971E44" w:rsidRPr="00E819A6">
        <w:rPr>
          <w:rFonts w:asciiTheme="minorHAnsi" w:hAnsiTheme="minorHAnsi" w:cstheme="minorHAnsi"/>
          <w:b/>
          <w:sz w:val="24"/>
          <w:szCs w:val="22"/>
        </w:rPr>
        <w:t xml:space="preserve"> to 9-year-old</w:t>
      </w:r>
      <w:r w:rsidRPr="00E819A6">
        <w:rPr>
          <w:rFonts w:asciiTheme="minorHAnsi" w:hAnsiTheme="minorHAnsi" w:cstheme="minorHAnsi"/>
          <w:b/>
          <w:sz w:val="24"/>
          <w:szCs w:val="22"/>
        </w:rPr>
        <w:t xml:space="preserve"> Kuwaiti children</w:t>
      </w:r>
    </w:p>
    <w:p w:rsidR="003423D0" w:rsidRPr="00FB3432" w:rsidRDefault="003423D0" w:rsidP="00FB3432">
      <w:pPr>
        <w:jc w:val="both"/>
        <w:rPr>
          <w:rFonts w:asciiTheme="minorHAnsi" w:hAnsiTheme="minorHAnsi" w:cstheme="minorHAnsi"/>
          <w:szCs w:val="22"/>
        </w:rPr>
      </w:pPr>
    </w:p>
    <w:p w:rsidR="005A6F83" w:rsidRDefault="005A6F83" w:rsidP="00F3343E">
      <w:pPr>
        <w:autoSpaceDE w:val="0"/>
        <w:autoSpaceDN w:val="0"/>
        <w:adjustRightInd w:val="0"/>
        <w:spacing w:line="360" w:lineRule="auto"/>
        <w:jc w:val="center"/>
        <w:rPr>
          <w:rFonts w:asciiTheme="minorHAnsi" w:hAnsiTheme="minorHAnsi" w:cstheme="minorHAnsi"/>
          <w:b/>
          <w:bCs/>
          <w:sz w:val="28"/>
          <w:szCs w:val="22"/>
        </w:rPr>
      </w:pPr>
      <w:r w:rsidRPr="00F3343E">
        <w:rPr>
          <w:rFonts w:asciiTheme="minorHAnsi" w:hAnsiTheme="minorHAnsi" w:cstheme="minorHAnsi"/>
          <w:b/>
          <w:bCs/>
          <w:sz w:val="28"/>
          <w:szCs w:val="22"/>
        </w:rPr>
        <w:t>Legend</w:t>
      </w:r>
      <w:r w:rsidR="00F3343E" w:rsidRPr="00F3343E">
        <w:rPr>
          <w:rFonts w:asciiTheme="minorHAnsi" w:hAnsiTheme="minorHAnsi" w:cstheme="minorHAnsi"/>
          <w:b/>
          <w:bCs/>
          <w:sz w:val="28"/>
          <w:szCs w:val="22"/>
        </w:rPr>
        <w:t>s</w:t>
      </w:r>
      <w:r w:rsidRPr="00F3343E">
        <w:rPr>
          <w:rFonts w:asciiTheme="minorHAnsi" w:hAnsiTheme="minorHAnsi" w:cstheme="minorHAnsi"/>
          <w:b/>
          <w:bCs/>
          <w:sz w:val="28"/>
          <w:szCs w:val="22"/>
        </w:rPr>
        <w:t xml:space="preserve"> to supplementary figures</w:t>
      </w:r>
    </w:p>
    <w:p w:rsidR="00F3343E" w:rsidRPr="00F3343E" w:rsidRDefault="00F3343E" w:rsidP="00F3343E">
      <w:pPr>
        <w:autoSpaceDE w:val="0"/>
        <w:autoSpaceDN w:val="0"/>
        <w:adjustRightInd w:val="0"/>
        <w:spacing w:line="360" w:lineRule="auto"/>
        <w:jc w:val="center"/>
        <w:rPr>
          <w:rFonts w:asciiTheme="minorHAnsi" w:hAnsiTheme="minorHAnsi" w:cstheme="minorHAnsi"/>
          <w:b/>
          <w:bCs/>
          <w:sz w:val="28"/>
          <w:szCs w:val="22"/>
        </w:rPr>
      </w:pPr>
    </w:p>
    <w:p w:rsidR="005A6F83" w:rsidRDefault="00F3343E" w:rsidP="00CE1C3A">
      <w:pPr>
        <w:spacing w:line="360" w:lineRule="auto"/>
        <w:rPr>
          <w:rFonts w:asciiTheme="minorHAnsi" w:hAnsiTheme="minorHAnsi" w:cstheme="minorHAnsi"/>
          <w:sz w:val="24"/>
          <w:szCs w:val="24"/>
        </w:rPr>
      </w:pPr>
      <w:r>
        <w:rPr>
          <w:rFonts w:asciiTheme="minorHAnsi" w:hAnsiTheme="minorHAnsi" w:cstheme="minorHAnsi"/>
          <w:b/>
          <w:sz w:val="24"/>
          <w:szCs w:val="24"/>
        </w:rPr>
        <w:t xml:space="preserve">Supplementary </w:t>
      </w:r>
      <w:r w:rsidR="005A6F83" w:rsidRPr="00F3343E">
        <w:rPr>
          <w:rFonts w:asciiTheme="minorHAnsi" w:hAnsiTheme="minorHAnsi" w:cstheme="minorHAnsi"/>
          <w:b/>
          <w:sz w:val="24"/>
          <w:szCs w:val="24"/>
        </w:rPr>
        <w:t>Figure 1</w:t>
      </w:r>
      <w:r w:rsidR="005A6F83" w:rsidRPr="00F658C8">
        <w:rPr>
          <w:rFonts w:asciiTheme="minorHAnsi" w:hAnsiTheme="minorHAnsi" w:cstheme="minorHAnsi"/>
          <w:sz w:val="24"/>
          <w:szCs w:val="24"/>
        </w:rPr>
        <w:t xml:space="preserve">: </w:t>
      </w:r>
      <w:r w:rsidR="007A70AB">
        <w:rPr>
          <w:rFonts w:asciiTheme="minorHAnsi" w:hAnsiTheme="minorHAnsi" w:cstheme="minorHAnsi"/>
          <w:sz w:val="24"/>
          <w:szCs w:val="24"/>
        </w:rPr>
        <w:t xml:space="preserve"> B</w:t>
      </w:r>
      <w:r w:rsidR="008804A4">
        <w:rPr>
          <w:rFonts w:asciiTheme="minorHAnsi" w:hAnsiTheme="minorHAnsi" w:cstheme="minorHAnsi"/>
          <w:sz w:val="24"/>
          <w:szCs w:val="24"/>
        </w:rPr>
        <w:t>ody fat percentage</w:t>
      </w:r>
      <w:r w:rsidR="005A6F83">
        <w:rPr>
          <w:rFonts w:asciiTheme="minorHAnsi" w:hAnsiTheme="minorHAnsi" w:cstheme="minorHAnsi"/>
          <w:sz w:val="24"/>
          <w:szCs w:val="24"/>
        </w:rPr>
        <w:t xml:space="preserve"> </w:t>
      </w:r>
      <w:r w:rsidR="008804A4">
        <w:rPr>
          <w:rFonts w:asciiTheme="minorHAnsi" w:hAnsiTheme="minorHAnsi" w:cstheme="minorHAnsi"/>
          <w:sz w:val="24"/>
          <w:szCs w:val="24"/>
        </w:rPr>
        <w:t xml:space="preserve">(%BF) </w:t>
      </w:r>
      <w:r w:rsidR="005A6F83">
        <w:rPr>
          <w:rFonts w:asciiTheme="minorHAnsi" w:hAnsiTheme="minorHAnsi" w:cstheme="minorHAnsi"/>
          <w:sz w:val="24"/>
          <w:szCs w:val="24"/>
        </w:rPr>
        <w:t xml:space="preserve">predicted by different anthropometric </w:t>
      </w:r>
      <w:r w:rsidR="007A70AB">
        <w:rPr>
          <w:rFonts w:asciiTheme="minorHAnsi" w:hAnsiTheme="minorHAnsi" w:cstheme="minorHAnsi"/>
          <w:sz w:val="24"/>
          <w:szCs w:val="24"/>
        </w:rPr>
        <w:t>algorithms</w:t>
      </w:r>
      <w:r w:rsidR="005A6F83">
        <w:rPr>
          <w:rFonts w:asciiTheme="minorHAnsi" w:hAnsiTheme="minorHAnsi" w:cstheme="minorHAnsi"/>
          <w:sz w:val="24"/>
          <w:szCs w:val="24"/>
        </w:rPr>
        <w:t xml:space="preserve"> compared to the reference method of deuterium dilution </w:t>
      </w:r>
    </w:p>
    <w:p w:rsidR="00F3343E" w:rsidRDefault="00F3343E" w:rsidP="00CE1C3A">
      <w:pPr>
        <w:spacing w:line="360" w:lineRule="auto"/>
        <w:rPr>
          <w:rFonts w:asciiTheme="minorHAnsi" w:hAnsiTheme="minorHAnsi" w:cstheme="minorHAnsi"/>
          <w:sz w:val="24"/>
          <w:szCs w:val="24"/>
        </w:rPr>
      </w:pPr>
    </w:p>
    <w:p w:rsidR="00F3343E" w:rsidRDefault="00F3343E" w:rsidP="00CE1C3A">
      <w:pPr>
        <w:spacing w:line="360" w:lineRule="auto"/>
        <w:rPr>
          <w:rFonts w:asciiTheme="minorHAnsi" w:hAnsiTheme="minorHAnsi" w:cstheme="minorHAnsi"/>
          <w:sz w:val="24"/>
          <w:szCs w:val="24"/>
        </w:rPr>
      </w:pPr>
      <w:r>
        <w:rPr>
          <w:rFonts w:asciiTheme="minorHAnsi" w:hAnsiTheme="minorHAnsi" w:cstheme="minorHAnsi"/>
          <w:sz w:val="24"/>
          <w:szCs w:val="24"/>
        </w:rPr>
        <w:t>Data are presented as limits of agreement plots [difference between methods (deuterium-derived reference – named prediction method} plotted against the deuterium reference values].</w:t>
      </w:r>
    </w:p>
    <w:p w:rsidR="00F3343E" w:rsidRPr="00F658C8" w:rsidRDefault="00F3343E" w:rsidP="00CE1C3A">
      <w:pPr>
        <w:spacing w:line="360" w:lineRule="auto"/>
        <w:rPr>
          <w:rFonts w:asciiTheme="minorHAnsi" w:hAnsiTheme="minorHAnsi" w:cstheme="minorHAnsi"/>
          <w:sz w:val="24"/>
          <w:szCs w:val="24"/>
        </w:rPr>
      </w:pPr>
    </w:p>
    <w:p w:rsidR="005A6F83" w:rsidRPr="00F658C8" w:rsidRDefault="005A6F83" w:rsidP="00CE1C3A">
      <w:pPr>
        <w:spacing w:line="360" w:lineRule="auto"/>
        <w:rPr>
          <w:rFonts w:asciiTheme="minorHAnsi" w:hAnsiTheme="minorHAnsi" w:cstheme="minorHAnsi"/>
          <w:sz w:val="24"/>
          <w:szCs w:val="24"/>
        </w:rPr>
      </w:pPr>
      <w:r w:rsidRPr="00F658C8">
        <w:rPr>
          <w:rFonts w:asciiTheme="minorHAnsi" w:hAnsiTheme="minorHAnsi" w:cstheme="minorHAnsi"/>
          <w:sz w:val="24"/>
          <w:szCs w:val="24"/>
        </w:rPr>
        <w:t>Key</w:t>
      </w:r>
      <w:r w:rsidRPr="00F658C8">
        <w:rPr>
          <w:rFonts w:asciiTheme="minorHAnsi" w:hAnsiTheme="minorHAnsi" w:cstheme="minorHAnsi"/>
          <w:sz w:val="24"/>
          <w:szCs w:val="24"/>
        </w:rPr>
        <w:tab/>
      </w:r>
      <w:r w:rsidR="007A70AB">
        <w:rPr>
          <w:rFonts w:asciiTheme="minorHAnsi" w:hAnsiTheme="minorHAnsi" w:cstheme="minorHAnsi"/>
          <w:sz w:val="24"/>
          <w:szCs w:val="24"/>
        </w:rPr>
        <w:tab/>
      </w:r>
      <w:r w:rsidRPr="00F658C8">
        <w:rPr>
          <w:rFonts w:asciiTheme="minorHAnsi" w:hAnsiTheme="minorHAnsi" w:cstheme="minorHAnsi"/>
          <w:sz w:val="24"/>
          <w:szCs w:val="24"/>
        </w:rPr>
        <w:sym w:font="Wingdings" w:char="F0A1"/>
      </w:r>
      <w:r w:rsidRPr="00F658C8">
        <w:rPr>
          <w:rFonts w:asciiTheme="minorHAnsi" w:hAnsiTheme="minorHAnsi" w:cstheme="minorHAnsi"/>
          <w:sz w:val="24"/>
          <w:szCs w:val="24"/>
        </w:rPr>
        <w:tab/>
      </w:r>
      <w:r w:rsidRPr="00F658C8">
        <w:rPr>
          <w:rFonts w:asciiTheme="minorHAnsi" w:hAnsiTheme="minorHAnsi" w:cstheme="minorHAnsi"/>
          <w:sz w:val="24"/>
          <w:szCs w:val="24"/>
        </w:rPr>
        <w:tab/>
        <w:t xml:space="preserve">Female </w:t>
      </w:r>
      <w:r w:rsidR="00E819A6">
        <w:rPr>
          <w:rFonts w:asciiTheme="minorHAnsi" w:hAnsiTheme="minorHAnsi" w:cstheme="minorHAnsi"/>
          <w:sz w:val="24"/>
          <w:szCs w:val="24"/>
        </w:rPr>
        <w:t>participants</w:t>
      </w:r>
    </w:p>
    <w:p w:rsidR="005A6F83" w:rsidRPr="00F658C8" w:rsidRDefault="00BF6554" w:rsidP="00CE1C3A">
      <w:pPr>
        <w:spacing w:line="360" w:lineRule="auto"/>
        <w:ind w:left="1418"/>
        <w:rPr>
          <w:rFonts w:asciiTheme="minorHAnsi" w:hAnsiTheme="minorHAnsi" w:cstheme="minorHAnsi"/>
          <w:sz w:val="24"/>
          <w:szCs w:val="24"/>
        </w:rPr>
      </w:pPr>
      <w:r>
        <w:rPr>
          <w:rFonts w:asciiTheme="minorHAnsi" w:hAnsiTheme="minorHAnsi" w:cstheme="minorHAnsi"/>
          <w:sz w:val="24"/>
          <w:szCs w:val="24"/>
        </w:rPr>
        <w:t xml:space="preserve"> </w:t>
      </w:r>
      <w:r w:rsidR="005A6F83" w:rsidRPr="00F658C8">
        <w:rPr>
          <w:rFonts w:asciiTheme="minorHAnsi" w:hAnsiTheme="minorHAnsi" w:cstheme="minorHAnsi"/>
          <w:sz w:val="24"/>
          <w:szCs w:val="24"/>
        </w:rPr>
        <w:sym w:font="Wingdings" w:char="F06C"/>
      </w:r>
      <w:r w:rsidR="005A6F83" w:rsidRPr="00F658C8">
        <w:rPr>
          <w:rFonts w:asciiTheme="minorHAnsi" w:hAnsiTheme="minorHAnsi" w:cstheme="minorHAnsi"/>
          <w:sz w:val="24"/>
          <w:szCs w:val="24"/>
        </w:rPr>
        <w:tab/>
      </w:r>
      <w:r w:rsidR="005A6F83" w:rsidRPr="00F658C8">
        <w:rPr>
          <w:rFonts w:asciiTheme="minorHAnsi" w:hAnsiTheme="minorHAnsi" w:cstheme="minorHAnsi"/>
          <w:sz w:val="24"/>
          <w:szCs w:val="24"/>
        </w:rPr>
        <w:tab/>
        <w:t xml:space="preserve">Male </w:t>
      </w:r>
      <w:r w:rsidR="00E819A6">
        <w:rPr>
          <w:rFonts w:asciiTheme="minorHAnsi" w:hAnsiTheme="minorHAnsi" w:cstheme="minorHAnsi"/>
          <w:sz w:val="24"/>
          <w:szCs w:val="24"/>
        </w:rPr>
        <w:t>participants</w:t>
      </w:r>
    </w:p>
    <w:p w:rsidR="005A6F83" w:rsidRPr="00F658C8" w:rsidRDefault="007A70AB" w:rsidP="00CE1C3A">
      <w:pPr>
        <w:spacing w:line="360" w:lineRule="auto"/>
        <w:ind w:left="698" w:firstLine="436"/>
        <w:rPr>
          <w:rFonts w:asciiTheme="minorHAnsi" w:hAnsiTheme="minorHAnsi" w:cstheme="minorHAnsi"/>
          <w:sz w:val="24"/>
          <w:szCs w:val="24"/>
        </w:rPr>
      </w:pPr>
      <w:r w:rsidRPr="007A70AB">
        <w:rPr>
          <w:rFonts w:asciiTheme="minorHAnsi" w:hAnsiTheme="minorHAnsi" w:cstheme="minorHAnsi"/>
          <w:b/>
          <w:bCs/>
          <w:sz w:val="24"/>
          <w:szCs w:val="24"/>
        </w:rPr>
        <w:t>------</w:t>
      </w:r>
      <w:r>
        <w:rPr>
          <w:rFonts w:asciiTheme="minorHAnsi" w:hAnsiTheme="minorHAnsi" w:cstheme="minorHAnsi"/>
          <w:b/>
          <w:bCs/>
          <w:sz w:val="24"/>
          <w:szCs w:val="24"/>
        </w:rPr>
        <w:t>----</w:t>
      </w:r>
      <w:r w:rsidRPr="007A70AB">
        <w:rPr>
          <w:rFonts w:asciiTheme="minorHAnsi" w:hAnsiTheme="minorHAnsi" w:cstheme="minorHAnsi"/>
          <w:b/>
          <w:bCs/>
          <w:sz w:val="24"/>
          <w:szCs w:val="24"/>
        </w:rPr>
        <w:t>--</w:t>
      </w:r>
      <w:r>
        <w:rPr>
          <w:rFonts w:asciiTheme="minorHAnsi" w:hAnsiTheme="minorHAnsi" w:cstheme="minorHAnsi"/>
          <w:sz w:val="24"/>
          <w:szCs w:val="24"/>
        </w:rPr>
        <w:tab/>
      </w:r>
      <w:r>
        <w:rPr>
          <w:rFonts w:asciiTheme="minorHAnsi" w:hAnsiTheme="minorHAnsi" w:cstheme="minorHAnsi"/>
          <w:sz w:val="24"/>
          <w:szCs w:val="24"/>
        </w:rPr>
        <w:tab/>
      </w:r>
      <w:r w:rsidR="005A6F83" w:rsidRPr="00F658C8">
        <w:rPr>
          <w:rFonts w:asciiTheme="minorHAnsi" w:hAnsiTheme="minorHAnsi" w:cstheme="minorHAnsi"/>
          <w:sz w:val="24"/>
          <w:szCs w:val="24"/>
        </w:rPr>
        <w:t xml:space="preserve">Limits of agreement </w:t>
      </w:r>
      <w:r>
        <w:rPr>
          <w:rFonts w:asciiTheme="minorHAnsi" w:hAnsiTheme="minorHAnsi" w:cstheme="minorHAnsi"/>
          <w:sz w:val="24"/>
          <w:szCs w:val="24"/>
        </w:rPr>
        <w:t>(</w:t>
      </w:r>
      <w:r w:rsidR="005A6F83" w:rsidRPr="00F658C8">
        <w:rPr>
          <w:rFonts w:asciiTheme="minorHAnsi" w:hAnsiTheme="minorHAnsi" w:cstheme="minorHAnsi"/>
          <w:sz w:val="24"/>
          <w:szCs w:val="24"/>
        </w:rPr>
        <w:t>± 1.96 SD</w:t>
      </w:r>
      <w:r>
        <w:rPr>
          <w:rFonts w:asciiTheme="minorHAnsi" w:hAnsiTheme="minorHAnsi" w:cstheme="minorHAnsi"/>
          <w:sz w:val="24"/>
          <w:szCs w:val="24"/>
        </w:rPr>
        <w:t>)</w:t>
      </w:r>
    </w:p>
    <w:p w:rsidR="005A6F83" w:rsidRPr="00F658C8" w:rsidRDefault="00C207F8" w:rsidP="00CE1C3A">
      <w:pPr>
        <w:spacing w:line="360" w:lineRule="auto"/>
        <w:ind w:left="2814" w:firstLine="33"/>
        <w:rPr>
          <w:rFonts w:asciiTheme="minorHAnsi" w:hAnsiTheme="minorHAnsi" w:cstheme="minorHAnsi"/>
          <w:sz w:val="24"/>
          <w:szCs w:val="24"/>
        </w:rPr>
      </w:pPr>
      <w:r w:rsidRPr="00C207F8">
        <w:rPr>
          <w:rFonts w:asciiTheme="minorHAnsi" w:hAnsiTheme="minorHAnsi" w:cstheme="minorHAnsi"/>
          <w:noProof/>
          <w:sz w:val="24"/>
          <w:szCs w:val="24"/>
        </w:rPr>
        <w:pict>
          <v:group id="Group 7178" o:spid="_x0000_s1026" style="position:absolute;left:0;text-align:left;margin-left:52.7pt;margin-top:8.1pt;width:45.35pt;height:0;z-index:251661312;mso-wrap-distance-top:-3e-5mm;mso-wrap-distance-bottom:-3e-5mm" coordsize="5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JpoQIAAOwLAAAOAAAAZHJzL2Uyb0RvYy54bWzsVktP3DAQvlfqf7B8L0nYR3Yjshyg5YJa&#10;1G17N46dRDi2ZZvN7r/v2HlVLAJEJaRWXCI/ZsYz33wzmbPzfSPQjhlbK5nj5CTGiEmqilqWOf75&#10;48unFUbWEVkQoSTL8YFZfL75+OGs1Rk7VZUSBTMIjEibtTrHlXM6iyJLK9YQe6I0k3DJlWmIg60p&#10;o8KQFqw3IjqN42XUKlNooyizFk4vu0u8CfY5Z9R949wyh0SOwTcXviZ8b/032pyRrDREVzXt3SCv&#10;8KIhtYRHR1OXxBF0b+ojU01NjbKKuxOqmkhxXlMWYoBokvhBNFdG3esQS5m1pR5hAmgf4PRqs/Tr&#10;7sagushxmqSQK0kayFJ4GIUTAKjVZQZyV0Zv9Y3pooTltaJ3Fq6jh/d+X07Ce24arwTBon1A/jAi&#10;z/YOUThcpIv1fIERna5oBZk7UqDV50klnc06lcTnMSJZ91RwaHSg1cAsO4Fn/w68bUU0CzmxHpQJ&#10;vPkA3tYZUpeVQxdKSiCgMh7JuXfR+wJKF/LG9DvbI/oSkJI0TlZA4hGkMWKSaWPdFVMN8osci1p6&#10;J0lGdtfWdeAMIv5YSNRCua7jRSgBQMxmnSth5Q6CdWLfGQd2QIaSYC7UJbsQBu0IVFRxNyAvJEh6&#10;FV4LMSrFTyv1sl6NhVp9qeIoHV5U0o2KTS2VeexVtx9c5Z18IC5E3cXqw75VxSEkJsABnOkS9hbk&#10;WT5NnuXz5EFc1PrXkKe+1k7jGTRJjKaqGgpuOV+voNw9lQZcBgoOPHmn0j9JJeiiXRN/vA8tnqeS&#10;L6qeQLN1uvZN9phASZquPLXem9F/14zSpxmUPs+gR5vRLJ4HxhxzaTlP03cqwd/8zagURiQYKcPU&#10;1I+/fmb9cx9+kNOQvvkNAAD//wMAUEsDBBQABgAIAAAAIQCrK5P73gAAAAkBAAAPAAAAZHJzL2Rv&#10;d25yZXYueG1sTI9BS8NAEIXvgv9hGcGb3aTaoDGbUop6KoKtIN6myTQJzc6G7DZJ/71TPOht3szj&#10;zfey5WRbNVDvG8cG4lkEirhwZcOVgc/d690jKB+QS2wdk4EzeVjm11cZpqUb+YOGbaiUhLBP0UAd&#10;Qpdq7YuaLPqZ64jldnC9xSCyr3TZ4yjhttXzKEq0xYblQ40drWsqjtuTNfA24ri6j1+GzfGwPn/v&#10;Fu9fm5iMub2ZVs+gAk3hzwwXfEGHXJj27sSlV63oaPEgVhmSOaiL4SmJQe1/FzrP9P8G+Q8AAAD/&#10;/wMAUEsBAi0AFAAGAAgAAAAhALaDOJL+AAAA4QEAABMAAAAAAAAAAAAAAAAAAAAAAFtDb250ZW50&#10;X1R5cGVzXS54bWxQSwECLQAUAAYACAAAACEAOP0h/9YAAACUAQAACwAAAAAAAAAAAAAAAAAvAQAA&#10;X3JlbHMvLnJlbHNQSwECLQAUAAYACAAAACEAtDkCaaECAADsCwAADgAAAAAAAAAAAAAAAAAuAgAA&#10;ZHJzL2Uyb0RvYy54bWxQSwECLQAUAAYACAAAACEAqyuT+94AAAAJAQAADwAAAAAAAAAAAAAAAAD7&#10;BAAAZHJzL2Rvd25yZXYueG1sUEsFBgAAAAAEAAQA8wAAAAYGAAAAAA==&#10;">
            <v:line id="Straight Connector 7174" o:spid="_x0000_s1027" style="position:absolute;visibility:visible" from="0,0" to="1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vo2wwAAAN0AAAAPAAAAZHJzL2Rvd25yZXYueG1sRI9Ba8JA&#10;FITvQv/D8grezCZSakhdpVikvRoL7fGRfWaD2bch+9T477uFQo/DzHzDrLeT79WVxtgFNlBkOSji&#10;JtiOWwOfx/2iBBUF2WIfmAzcKcJ28zBbY2XDjQ90raVVCcKxQgNOZKi0jo0jjzELA3HyTmH0KEmO&#10;rbYj3hLc93qZ58/aY8dpweFAO0fNub54A/6r65uC5Pgm/N3uy9rtyveDMfPH6fUFlNAk/+G/9oc1&#10;sCpWT/D7Jj0BvfkBAAD//wMAUEsBAi0AFAAGAAgAAAAhANvh9svuAAAAhQEAABMAAAAAAAAAAAAA&#10;AAAAAAAAAFtDb250ZW50X1R5cGVzXS54bWxQSwECLQAUAAYACAAAACEAWvQsW78AAAAVAQAACwAA&#10;AAAAAAAAAAAAAAAfAQAAX3JlbHMvLnJlbHNQSwECLQAUAAYACAAAACEAxeL6NsMAAADdAAAADwAA&#10;AAAAAAAAAAAAAAAHAgAAZHJzL2Rvd25yZXYueG1sUEsFBgAAAAADAAMAtwAAAPcCAAAAAA==&#10;" strokecolor="black [3040]" strokeweight="1.5pt"/>
            <v:line id="Straight Connector 7176" o:spid="_x0000_s1028" style="position:absolute;flip:y;visibility:visible" from="2032,0" to="2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tBBxwAAAN0AAAAPAAAAZHJzL2Rvd25yZXYueG1sRI9Pa8JA&#10;FMTvhX6H5RV6qxuFaolZRQuS9lY1UL09sy9/bPZtzG41fntXKPQ4zMxvmGTem0acqXO1ZQXDQQSC&#10;OLe65lJBtl29vIFwHlljY5kUXMnBfPb4kGCs7YXXdN74UgQIuxgVVN63sZQur8igG9iWOHiF7Qz6&#10;ILtS6g4vAW4aOYqisTRYc1iosKX3ivKfza9RsP9Oj8vXYpfmqV1+HU42+zytI6Wen/rFFISn3v+H&#10;/9ofWsFkOBnD/U14AnJ2AwAA//8DAFBLAQItABQABgAIAAAAIQDb4fbL7gAAAIUBAAATAAAAAAAA&#10;AAAAAAAAAAAAAABbQ29udGVudF9UeXBlc10ueG1sUEsBAi0AFAAGAAgAAAAhAFr0LFu/AAAAFQEA&#10;AAsAAAAAAAAAAAAAAAAAHwEAAF9yZWxzLy5yZWxzUEsBAi0AFAAGAAgAAAAhAN7S0EHHAAAA3QAA&#10;AA8AAAAAAAAAAAAAAAAABwIAAGRycy9kb3ducmV2LnhtbFBLBQYAAAAAAwADALcAAAD7AgAAAAA=&#10;" strokecolor="black [3040]" strokeweight="1.5pt"/>
            <v:line id="Straight Connector 7175" o:spid="_x0000_s1029" style="position:absolute;visibility:visible" from="3979,0" to="57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twwAAAN0AAAAPAAAAZHJzL2Rvd25yZXYueG1sRI9Ba8JA&#10;FITvQv/D8grezCZCa0hdpVikvRoL7fGRfWaD2bch+9T477uFQo/DzHzDrLeT79WVxtgFNlBkOSji&#10;JtiOWwOfx/2iBBUF2WIfmAzcKcJ28zBbY2XDjQ90raVVCcKxQgNOZKi0jo0jjzELA3HyTmH0KEmO&#10;rbYj3hLc93qZ58/aY8dpweFAO0fNub54A/6r65uC5Pgm/N3uy9rtyveDMfPH6fUFlNAk/+G/9oc1&#10;sCpWT/D7Jj0BvfkBAAD//wMAUEsBAi0AFAAGAAgAAAAhANvh9svuAAAAhQEAABMAAAAAAAAAAAAA&#10;AAAAAAAAAFtDb250ZW50X1R5cGVzXS54bWxQSwECLQAUAAYACAAAACEAWvQsW78AAAAVAQAACwAA&#10;AAAAAAAAAAAAAAAfAQAAX3JlbHMvLnJlbHNQSwECLQAUAAYACAAAACEAqq5frcMAAADdAAAADwAA&#10;AAAAAAAAAAAAAAAHAgAAZHJzL2Rvd25yZXYueG1sUEsFBgAAAAADAAMAtwAAAPcCAAAAAA==&#10;" strokecolor="black [3040]" strokeweight="1.5pt"/>
            <v:line id="Straight Connector 7177" o:spid="_x0000_s1030" style="position:absolute;flip:y;visibility:visible" from="3048,0" to="3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nXaxgAAAN0AAAAPAAAAZHJzL2Rvd25yZXYueG1sRI9Ba8JA&#10;FITvQv/D8oTedKNQU1JXUaGk3tQKbW/P7DOJzb6N2VXjv3cFweMwM98w42lrKnGmxpWWFQz6EQji&#10;zOqScwXb78/eOwjnkTVWlknBlRxMJy+dMSbaXnhN543PRYCwS1BB4X2dSOmyggy6vq2Jg7e3jUEf&#10;ZJNL3eAlwE0lh1E0kgZLDgsF1rQoKPvfnIyCv5/0MH/b/6ZZauer3dFul8d1pNRrt519gPDU+mf4&#10;0f7SCuJBHMP9TXgCcnIDAAD//wMAUEsBAi0AFAAGAAgAAAAhANvh9svuAAAAhQEAABMAAAAAAAAA&#10;AAAAAAAAAAAAAFtDb250ZW50X1R5cGVzXS54bWxQSwECLQAUAAYACAAAACEAWvQsW78AAAAVAQAA&#10;CwAAAAAAAAAAAAAAAAAfAQAAX3JlbHMvLnJlbHNQSwECLQAUAAYACAAAACEAsZ512sYAAADdAAAA&#10;DwAAAAAAAAAAAAAAAAAHAgAAZHJzL2Rvd25yZXYueG1sUEsFBgAAAAADAAMAtwAAAPoCAAAAAA==&#10;" strokecolor="black [3040]" strokeweight="1.5pt"/>
          </v:group>
        </w:pict>
      </w:r>
      <w:r w:rsidR="007A70AB">
        <w:rPr>
          <w:rFonts w:asciiTheme="minorHAnsi" w:hAnsiTheme="minorHAnsi" w:cstheme="minorHAnsi"/>
          <w:noProof/>
          <w:sz w:val="24"/>
          <w:szCs w:val="24"/>
        </w:rPr>
        <w:t>Regression line</w:t>
      </w:r>
    </w:p>
    <w:p w:rsidR="005A6F83" w:rsidRDefault="005A6F83" w:rsidP="00CE1C3A">
      <w:pPr>
        <w:spacing w:line="360" w:lineRule="auto"/>
        <w:rPr>
          <w:rFonts w:asciiTheme="minorHAnsi" w:hAnsiTheme="minorHAnsi" w:cstheme="minorHAnsi"/>
          <w:sz w:val="24"/>
          <w:szCs w:val="24"/>
        </w:rPr>
      </w:pPr>
      <w:r w:rsidRPr="00F658C8">
        <w:rPr>
          <w:rFonts w:asciiTheme="minorHAnsi" w:hAnsiTheme="minorHAnsi" w:cstheme="minorHAnsi"/>
          <w:sz w:val="24"/>
          <w:szCs w:val="24"/>
        </w:rPr>
        <w:tab/>
        <w:t xml:space="preserve">       </w:t>
      </w:r>
      <w:r w:rsidR="007A70AB">
        <w:rPr>
          <w:rFonts w:asciiTheme="minorHAnsi" w:hAnsiTheme="minorHAnsi" w:cstheme="minorHAnsi"/>
          <w:sz w:val="24"/>
          <w:szCs w:val="24"/>
        </w:rPr>
        <w:t>…………..</w:t>
      </w:r>
      <w:r w:rsidRPr="00F658C8">
        <w:rPr>
          <w:rFonts w:asciiTheme="minorHAnsi" w:hAnsiTheme="minorHAnsi" w:cstheme="minorHAnsi"/>
          <w:sz w:val="24"/>
          <w:szCs w:val="24"/>
        </w:rPr>
        <w:tab/>
      </w:r>
      <w:r w:rsidR="007A70AB">
        <w:rPr>
          <w:rFonts w:asciiTheme="minorHAnsi" w:hAnsiTheme="minorHAnsi" w:cstheme="minorHAnsi"/>
          <w:sz w:val="24"/>
          <w:szCs w:val="24"/>
        </w:rPr>
        <w:tab/>
        <w:t>Bias</w:t>
      </w:r>
    </w:p>
    <w:p w:rsidR="00F3343E" w:rsidRDefault="00F3343E" w:rsidP="00CE1C3A">
      <w:pPr>
        <w:spacing w:line="360" w:lineRule="auto"/>
        <w:rPr>
          <w:rFonts w:asciiTheme="minorHAnsi" w:hAnsiTheme="minorHAnsi" w:cstheme="minorHAnsi"/>
          <w:sz w:val="24"/>
          <w:szCs w:val="24"/>
        </w:rPr>
      </w:pPr>
    </w:p>
    <w:p w:rsidR="00F3343E" w:rsidRDefault="00F3343E" w:rsidP="00CE1C3A">
      <w:pPr>
        <w:spacing w:line="360" w:lineRule="auto"/>
        <w:rPr>
          <w:rFonts w:asciiTheme="minorHAnsi" w:hAnsiTheme="minorHAnsi" w:cstheme="minorHAnsi"/>
          <w:sz w:val="24"/>
          <w:szCs w:val="24"/>
        </w:rPr>
      </w:pPr>
    </w:p>
    <w:p w:rsidR="007A70AB" w:rsidRPr="00F658C8" w:rsidRDefault="007A70AB" w:rsidP="00CE1C3A">
      <w:pPr>
        <w:spacing w:line="360" w:lineRule="auto"/>
        <w:rPr>
          <w:rFonts w:asciiTheme="minorHAnsi" w:hAnsiTheme="minorHAnsi" w:cstheme="minorHAnsi"/>
          <w:sz w:val="24"/>
          <w:szCs w:val="24"/>
        </w:rPr>
      </w:pPr>
    </w:p>
    <w:p w:rsidR="007A70AB" w:rsidRDefault="00F3343E" w:rsidP="00CE1C3A">
      <w:pPr>
        <w:spacing w:line="360" w:lineRule="auto"/>
        <w:rPr>
          <w:rFonts w:asciiTheme="minorHAnsi" w:hAnsiTheme="minorHAnsi" w:cstheme="minorHAnsi"/>
          <w:sz w:val="24"/>
          <w:szCs w:val="24"/>
        </w:rPr>
      </w:pPr>
      <w:r>
        <w:rPr>
          <w:rFonts w:asciiTheme="minorHAnsi" w:hAnsiTheme="minorHAnsi" w:cstheme="minorHAnsi"/>
          <w:b/>
          <w:sz w:val="24"/>
          <w:szCs w:val="24"/>
        </w:rPr>
        <w:t xml:space="preserve">Supplementary </w:t>
      </w:r>
      <w:r w:rsidR="007A70AB" w:rsidRPr="00F3343E">
        <w:rPr>
          <w:rFonts w:asciiTheme="minorHAnsi" w:hAnsiTheme="minorHAnsi" w:cstheme="minorHAnsi"/>
          <w:b/>
          <w:sz w:val="24"/>
          <w:szCs w:val="24"/>
        </w:rPr>
        <w:t>Figure 2</w:t>
      </w:r>
      <w:r w:rsidR="007A70AB" w:rsidRPr="00F658C8">
        <w:rPr>
          <w:rFonts w:asciiTheme="minorHAnsi" w:hAnsiTheme="minorHAnsi" w:cstheme="minorHAnsi"/>
          <w:sz w:val="24"/>
          <w:szCs w:val="24"/>
        </w:rPr>
        <w:t xml:space="preserve">: </w:t>
      </w:r>
      <w:r w:rsidR="007A70AB">
        <w:rPr>
          <w:rFonts w:asciiTheme="minorHAnsi" w:hAnsiTheme="minorHAnsi" w:cstheme="minorHAnsi"/>
          <w:sz w:val="24"/>
          <w:szCs w:val="24"/>
        </w:rPr>
        <w:t xml:space="preserve"> Total body water </w:t>
      </w:r>
      <w:r w:rsidR="008804A4">
        <w:rPr>
          <w:rFonts w:asciiTheme="minorHAnsi" w:hAnsiTheme="minorHAnsi" w:cstheme="minorHAnsi"/>
          <w:sz w:val="24"/>
          <w:szCs w:val="24"/>
        </w:rPr>
        <w:t xml:space="preserve">(L) </w:t>
      </w:r>
      <w:r w:rsidR="007A70AB">
        <w:rPr>
          <w:rFonts w:asciiTheme="minorHAnsi" w:hAnsiTheme="minorHAnsi" w:cstheme="minorHAnsi"/>
          <w:sz w:val="24"/>
          <w:szCs w:val="24"/>
        </w:rPr>
        <w:t xml:space="preserve">predicted by different impedance algorithms compared to the reference method of deuterium dilution </w:t>
      </w:r>
      <w:r w:rsidR="008804A4">
        <w:rPr>
          <w:rFonts w:asciiTheme="minorHAnsi" w:hAnsiTheme="minorHAnsi" w:cstheme="minorHAnsi"/>
          <w:sz w:val="24"/>
          <w:szCs w:val="24"/>
        </w:rPr>
        <w:t>(D</w:t>
      </w:r>
      <w:r w:rsidR="008804A4" w:rsidRPr="008804A4">
        <w:rPr>
          <w:rFonts w:asciiTheme="minorHAnsi" w:hAnsiTheme="minorHAnsi" w:cstheme="minorHAnsi"/>
          <w:sz w:val="24"/>
          <w:szCs w:val="24"/>
          <w:vertAlign w:val="subscript"/>
        </w:rPr>
        <w:t>2</w:t>
      </w:r>
      <w:r w:rsidR="008804A4">
        <w:rPr>
          <w:rFonts w:asciiTheme="minorHAnsi" w:hAnsiTheme="minorHAnsi" w:cstheme="minorHAnsi"/>
          <w:sz w:val="24"/>
          <w:szCs w:val="24"/>
        </w:rPr>
        <w:t>O)</w:t>
      </w:r>
    </w:p>
    <w:p w:rsidR="00F3343E" w:rsidRDefault="00F3343E" w:rsidP="00CE1C3A">
      <w:pPr>
        <w:spacing w:line="360" w:lineRule="auto"/>
        <w:rPr>
          <w:rFonts w:asciiTheme="minorHAnsi" w:hAnsiTheme="minorHAnsi" w:cstheme="minorHAnsi"/>
          <w:sz w:val="24"/>
          <w:szCs w:val="24"/>
        </w:rPr>
      </w:pPr>
    </w:p>
    <w:p w:rsidR="00F3343E" w:rsidRDefault="00F3343E" w:rsidP="00F3343E">
      <w:pPr>
        <w:spacing w:line="360" w:lineRule="auto"/>
        <w:rPr>
          <w:rFonts w:asciiTheme="minorHAnsi" w:hAnsiTheme="minorHAnsi" w:cstheme="minorHAnsi"/>
          <w:sz w:val="24"/>
          <w:szCs w:val="24"/>
        </w:rPr>
      </w:pPr>
      <w:r>
        <w:rPr>
          <w:rFonts w:asciiTheme="minorHAnsi" w:hAnsiTheme="minorHAnsi" w:cstheme="minorHAnsi"/>
          <w:sz w:val="24"/>
          <w:szCs w:val="24"/>
        </w:rPr>
        <w:t>Data are presented as limits of agreement plots [difference between methods (deuterium-derived reference – named prediction method} plotted against the deuterium reference values].</w:t>
      </w:r>
    </w:p>
    <w:p w:rsidR="00F3343E" w:rsidRPr="00F658C8" w:rsidRDefault="00F3343E" w:rsidP="00CE1C3A">
      <w:pPr>
        <w:spacing w:line="360" w:lineRule="auto"/>
        <w:rPr>
          <w:rFonts w:asciiTheme="minorHAnsi" w:hAnsiTheme="minorHAnsi" w:cstheme="minorHAnsi"/>
          <w:sz w:val="24"/>
          <w:szCs w:val="24"/>
        </w:rPr>
      </w:pPr>
    </w:p>
    <w:p w:rsidR="007A70AB" w:rsidRPr="00F658C8" w:rsidRDefault="007A70AB" w:rsidP="00CE1C3A">
      <w:pPr>
        <w:spacing w:line="360" w:lineRule="auto"/>
        <w:rPr>
          <w:rFonts w:asciiTheme="minorHAnsi" w:hAnsiTheme="minorHAnsi" w:cstheme="minorHAnsi"/>
          <w:sz w:val="24"/>
          <w:szCs w:val="24"/>
        </w:rPr>
      </w:pPr>
      <w:r w:rsidRPr="00F658C8">
        <w:rPr>
          <w:rFonts w:asciiTheme="minorHAnsi" w:hAnsiTheme="minorHAnsi" w:cstheme="minorHAnsi"/>
          <w:sz w:val="24"/>
          <w:szCs w:val="24"/>
        </w:rPr>
        <w:t>Key</w:t>
      </w:r>
      <w:r w:rsidRPr="00F658C8">
        <w:rPr>
          <w:rFonts w:asciiTheme="minorHAnsi" w:hAnsiTheme="minorHAnsi" w:cstheme="minorHAnsi"/>
          <w:sz w:val="24"/>
          <w:szCs w:val="24"/>
        </w:rPr>
        <w:tab/>
      </w:r>
      <w:r>
        <w:rPr>
          <w:rFonts w:asciiTheme="minorHAnsi" w:hAnsiTheme="minorHAnsi" w:cstheme="minorHAnsi"/>
          <w:sz w:val="24"/>
          <w:szCs w:val="24"/>
        </w:rPr>
        <w:tab/>
      </w:r>
      <w:r w:rsidRPr="00F658C8">
        <w:rPr>
          <w:rFonts w:asciiTheme="minorHAnsi" w:hAnsiTheme="minorHAnsi" w:cstheme="minorHAnsi"/>
          <w:sz w:val="24"/>
          <w:szCs w:val="24"/>
        </w:rPr>
        <w:sym w:font="Wingdings" w:char="F0A1"/>
      </w:r>
      <w:r w:rsidRPr="00F658C8">
        <w:rPr>
          <w:rFonts w:asciiTheme="minorHAnsi" w:hAnsiTheme="minorHAnsi" w:cstheme="minorHAnsi"/>
          <w:sz w:val="24"/>
          <w:szCs w:val="24"/>
        </w:rPr>
        <w:tab/>
      </w:r>
      <w:r w:rsidRPr="00F658C8">
        <w:rPr>
          <w:rFonts w:asciiTheme="minorHAnsi" w:hAnsiTheme="minorHAnsi" w:cstheme="minorHAnsi"/>
          <w:sz w:val="24"/>
          <w:szCs w:val="24"/>
        </w:rPr>
        <w:tab/>
        <w:t xml:space="preserve">Female </w:t>
      </w:r>
      <w:r w:rsidR="00E819A6">
        <w:rPr>
          <w:rFonts w:asciiTheme="minorHAnsi" w:hAnsiTheme="minorHAnsi" w:cstheme="minorHAnsi"/>
          <w:sz w:val="24"/>
          <w:szCs w:val="24"/>
        </w:rPr>
        <w:t>participants</w:t>
      </w:r>
    </w:p>
    <w:p w:rsidR="007A70AB" w:rsidRPr="00F658C8" w:rsidRDefault="00BF6554" w:rsidP="00CE1C3A">
      <w:pPr>
        <w:spacing w:line="360" w:lineRule="auto"/>
        <w:ind w:left="1418"/>
        <w:rPr>
          <w:rFonts w:asciiTheme="minorHAnsi" w:hAnsiTheme="minorHAnsi" w:cstheme="minorHAnsi"/>
          <w:sz w:val="24"/>
          <w:szCs w:val="24"/>
        </w:rPr>
      </w:pPr>
      <w:r>
        <w:rPr>
          <w:rFonts w:asciiTheme="minorHAnsi" w:hAnsiTheme="minorHAnsi" w:cstheme="minorHAnsi"/>
          <w:sz w:val="24"/>
          <w:szCs w:val="24"/>
        </w:rPr>
        <w:t xml:space="preserve"> </w:t>
      </w:r>
      <w:r w:rsidR="007A70AB" w:rsidRPr="00F658C8">
        <w:rPr>
          <w:rFonts w:asciiTheme="minorHAnsi" w:hAnsiTheme="minorHAnsi" w:cstheme="minorHAnsi"/>
          <w:sz w:val="24"/>
          <w:szCs w:val="24"/>
        </w:rPr>
        <w:sym w:font="Wingdings" w:char="F06C"/>
      </w:r>
      <w:r w:rsidR="007A70AB" w:rsidRPr="00F658C8">
        <w:rPr>
          <w:rFonts w:asciiTheme="minorHAnsi" w:hAnsiTheme="minorHAnsi" w:cstheme="minorHAnsi"/>
          <w:sz w:val="24"/>
          <w:szCs w:val="24"/>
        </w:rPr>
        <w:tab/>
      </w:r>
      <w:r w:rsidR="007A70AB" w:rsidRPr="00F658C8">
        <w:rPr>
          <w:rFonts w:asciiTheme="minorHAnsi" w:hAnsiTheme="minorHAnsi" w:cstheme="minorHAnsi"/>
          <w:sz w:val="24"/>
          <w:szCs w:val="24"/>
        </w:rPr>
        <w:tab/>
        <w:t xml:space="preserve">Male </w:t>
      </w:r>
      <w:r w:rsidR="00E819A6">
        <w:rPr>
          <w:rFonts w:asciiTheme="minorHAnsi" w:hAnsiTheme="minorHAnsi" w:cstheme="minorHAnsi"/>
          <w:sz w:val="24"/>
          <w:szCs w:val="24"/>
        </w:rPr>
        <w:t>participants</w:t>
      </w:r>
    </w:p>
    <w:p w:rsidR="007A70AB" w:rsidRPr="00F658C8" w:rsidRDefault="007A70AB" w:rsidP="00CE1C3A">
      <w:pPr>
        <w:spacing w:line="360" w:lineRule="auto"/>
        <w:ind w:left="698" w:firstLine="436"/>
        <w:rPr>
          <w:rFonts w:asciiTheme="minorHAnsi" w:hAnsiTheme="minorHAnsi" w:cstheme="minorHAnsi"/>
          <w:sz w:val="24"/>
          <w:szCs w:val="24"/>
        </w:rPr>
      </w:pPr>
      <w:r w:rsidRPr="007A70AB">
        <w:rPr>
          <w:rFonts w:asciiTheme="minorHAnsi" w:hAnsiTheme="minorHAnsi" w:cstheme="minorHAnsi"/>
          <w:b/>
          <w:bCs/>
          <w:sz w:val="24"/>
          <w:szCs w:val="24"/>
        </w:rPr>
        <w:t>------</w:t>
      </w:r>
      <w:r>
        <w:rPr>
          <w:rFonts w:asciiTheme="minorHAnsi" w:hAnsiTheme="minorHAnsi" w:cstheme="minorHAnsi"/>
          <w:b/>
          <w:bCs/>
          <w:sz w:val="24"/>
          <w:szCs w:val="24"/>
        </w:rPr>
        <w:t>----</w:t>
      </w:r>
      <w:r w:rsidRPr="007A70AB">
        <w:rPr>
          <w:rFonts w:asciiTheme="minorHAnsi" w:hAnsiTheme="minorHAnsi" w:cstheme="minorHAnsi"/>
          <w:b/>
          <w:bCs/>
          <w:sz w:val="24"/>
          <w:szCs w:val="24"/>
        </w:rPr>
        <w:t>--</w:t>
      </w:r>
      <w:r>
        <w:rPr>
          <w:rFonts w:asciiTheme="minorHAnsi" w:hAnsiTheme="minorHAnsi" w:cstheme="minorHAnsi"/>
          <w:sz w:val="24"/>
          <w:szCs w:val="24"/>
        </w:rPr>
        <w:tab/>
      </w:r>
      <w:r>
        <w:rPr>
          <w:rFonts w:asciiTheme="minorHAnsi" w:hAnsiTheme="minorHAnsi" w:cstheme="minorHAnsi"/>
          <w:sz w:val="24"/>
          <w:szCs w:val="24"/>
        </w:rPr>
        <w:tab/>
      </w:r>
      <w:r w:rsidRPr="00F658C8">
        <w:rPr>
          <w:rFonts w:asciiTheme="minorHAnsi" w:hAnsiTheme="minorHAnsi" w:cstheme="minorHAnsi"/>
          <w:sz w:val="24"/>
          <w:szCs w:val="24"/>
        </w:rPr>
        <w:t xml:space="preserve">Limits of agreement </w:t>
      </w:r>
      <w:r>
        <w:rPr>
          <w:rFonts w:asciiTheme="minorHAnsi" w:hAnsiTheme="minorHAnsi" w:cstheme="minorHAnsi"/>
          <w:sz w:val="24"/>
          <w:szCs w:val="24"/>
        </w:rPr>
        <w:t>(</w:t>
      </w:r>
      <w:r w:rsidRPr="00F658C8">
        <w:rPr>
          <w:rFonts w:asciiTheme="minorHAnsi" w:hAnsiTheme="minorHAnsi" w:cstheme="minorHAnsi"/>
          <w:sz w:val="24"/>
          <w:szCs w:val="24"/>
        </w:rPr>
        <w:t>± 1.96 SD</w:t>
      </w:r>
      <w:r>
        <w:rPr>
          <w:rFonts w:asciiTheme="minorHAnsi" w:hAnsiTheme="minorHAnsi" w:cstheme="minorHAnsi"/>
          <w:sz w:val="24"/>
          <w:szCs w:val="24"/>
        </w:rPr>
        <w:t>)</w:t>
      </w:r>
    </w:p>
    <w:p w:rsidR="007A70AB" w:rsidRPr="00F658C8" w:rsidRDefault="00C207F8" w:rsidP="00CE1C3A">
      <w:pPr>
        <w:spacing w:line="360" w:lineRule="auto"/>
        <w:ind w:left="2814" w:firstLine="33"/>
        <w:rPr>
          <w:rFonts w:asciiTheme="minorHAnsi" w:hAnsiTheme="minorHAnsi" w:cstheme="minorHAnsi"/>
          <w:sz w:val="24"/>
          <w:szCs w:val="24"/>
        </w:rPr>
      </w:pPr>
      <w:r w:rsidRPr="00C207F8">
        <w:rPr>
          <w:rFonts w:asciiTheme="minorHAnsi" w:hAnsiTheme="minorHAnsi" w:cstheme="minorHAnsi"/>
          <w:noProof/>
          <w:sz w:val="24"/>
          <w:szCs w:val="24"/>
        </w:rPr>
        <w:pict>
          <v:group id="Group 2" o:spid="_x0000_s1031" style="position:absolute;left:0;text-align:left;margin-left:52.7pt;margin-top:8.1pt;width:45.35pt;height:0;z-index:251663360;mso-wrap-distance-top:-3e-5mm;mso-wrap-distance-bottom:-3e-5mm" coordsize="5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RfmwIAAM4LAAAOAAAAZHJzL2Uyb0RvYy54bWzslk1v3CAQhu+V+h8Q98b2fnnXijeHpM0l&#10;aqNs2zvBYKPYgICsd/99B/yxVTZNolSK1CoXy4aZYeblGczp2a6p0ZYZK5TMcXISY8QkVYWQZY5/&#10;fP/yaYmRdUQWpFaS5XjPLD5bf/xw2uqMTVSl6oIZBEGkzVqd48o5nUWRpRVriD1RmkmY5Mo0xMGn&#10;KaPCkBaiN3U0ieNF1CpTaKMosxZGL7pJvA7xOWfUfePcMofqHENuLjxNeN76Z7Q+JVlpiK4E7dMg&#10;r8iiIULComOoC+IIujfiKFQjqFFWcXdCVRMpzgVloQaoJokfVHNp1L0OtZRZW+pRJpD2gU6vDku/&#10;bq8NEkWOJxhJ0sAWhVXRxEvT6jIDi0ujN/radPXB65Widxamo4fz/rs8GO+4abwTlIl2QfP9qDnb&#10;OURhcJ7OV7M5RvQwRSvYsyMHWn0+uKTTaeeS+DQjknVLhYTGBFoNTNmDbPbvZNtURLOwG9aL0ssG&#10;eXSybZwhoqwcOldSAnfKoGmnYTA/l9cmKGoz22v5EnmSNE6WAO4oz1grybSx7pKpBvmXHNdC+vRI&#10;RrZX1nWyDCZ+uJaohRZdxfOAPWg1pBLe3L5mndkN40AE7E0SwoVeZOe1QVsCXVTcDZrXEiy9Cxd1&#10;PTrFTzv1tt6Nhf58qeNoHVZU0o2OjZDKPLaq2w2p8s4+IAtVd7X6sm9VsQ8bE+QAWjz0b4ANEP9H&#10;bObPY4N4LfTPYYf6/prEUzgSMTp00tBki9lqCQexh2hQZIBvIOQdon8PosUTEC2eh8g3Uo/OdJWu&#10;/JF6jE6SpksP1fsB9H8dQOkT7KTPs/PoATSNZ4GVY4oWszR9hwj+3W8GUbgKwaUx3I76C66/lf7+&#10;HX6Hh2v4+hcAAAD//wMAUEsDBBQABgAIAAAAIQCrK5P73gAAAAkBAAAPAAAAZHJzL2Rvd25yZXYu&#10;eG1sTI9BS8NAEIXvgv9hGcGb3aTaoDGbUop6KoKtIN6myTQJzc6G7DZJ/71TPOht3szjzfey5WRb&#10;NVDvG8cG4lkEirhwZcOVgc/d690jKB+QS2wdk4EzeVjm11cZpqUb+YOGbaiUhLBP0UAdQpdq7Yua&#10;LPqZ64jldnC9xSCyr3TZ4yjhttXzKEq0xYblQ40drWsqjtuTNfA24ri6j1+GzfGwPn/vFu9fm5iM&#10;ub2ZVs+gAk3hzwwXfEGHXJj27sSlV63oaPEgVhmSOaiL4SmJQe1/FzrP9P8G+Q8AAAD//wMAUEsB&#10;Ai0AFAAGAAgAAAAhALaDOJL+AAAA4QEAABMAAAAAAAAAAAAAAAAAAAAAAFtDb250ZW50X1R5cGVz&#10;XS54bWxQSwECLQAUAAYACAAAACEAOP0h/9YAAACUAQAACwAAAAAAAAAAAAAAAAAvAQAAX3JlbHMv&#10;LnJlbHNQSwECLQAUAAYACAAAACEAGZokX5sCAADOCwAADgAAAAAAAAAAAAAAAAAuAgAAZHJzL2Uy&#10;b0RvYy54bWxQSwECLQAUAAYACAAAACEAqyuT+94AAAAJAQAADwAAAAAAAAAAAAAAAAD1BAAAZHJz&#10;L2Rvd25yZXYueG1sUEsFBgAAAAAEAAQA8wAAAAAGAAAAAA==&#10;">
            <v:line id="Straight Connector 3" o:spid="_x0000_s1035" style="position:absolute;visibility:visible" from="0,0" to="1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7ETvwAAANoAAAAPAAAAZHJzL2Rvd25yZXYueG1sRI9Ba8JA&#10;FITvBf/D8gRvdaNCCdFVRBG9Ggvt8ZF9ZoPZtyH71Pjvu4VCj8PMfMOsNoNv1YP62AQ2MJtmoIir&#10;YBuuDXxeDu85qCjIFtvAZOBFETbr0dsKCxuefKZHKbVKEI4FGnAiXaF1rBx5jNPQESfvGnqPkmRf&#10;a9vjM8F9q+dZ9qE9NpwWHHa0c1Tdyrs34L+atpqRXPbC3/UhL90uP56NmYyH7RKU0CD/4b/2yRpY&#10;wO+VdAP0+gcAAP//AwBQSwECLQAUAAYACAAAACEA2+H2y+4AAACFAQAAEwAAAAAAAAAAAAAAAAAA&#10;AAAAW0NvbnRlbnRfVHlwZXNdLnhtbFBLAQItABQABgAIAAAAIQBa9CxbvwAAABUBAAALAAAAAAAA&#10;AAAAAAAAAB8BAABfcmVscy8ucmVsc1BLAQItABQABgAIAAAAIQD8I7ETvwAAANoAAAAPAAAAAAAA&#10;AAAAAAAAAAcCAABkcnMvZG93bnJldi54bWxQSwUGAAAAAAMAAwC3AAAA8wIAAAAA&#10;" strokecolor="black [3040]" strokeweight="1.5pt"/>
            <v:line id="Straight Connector 5" o:spid="_x0000_s1034" style="position:absolute;flip:y;visibility:visible" from="2032,0" to="2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2XdwwAAANoAAAAPAAAAZHJzL2Rvd25yZXYueG1sRI9Pi8Iw&#10;FMTvgt8hPMGbpiu4SNcoKkj15j/Y9fZsnm3d5qU2Ubvf3gjCHoeZ+Q0znjamFHeqXWFZwUc/AkGc&#10;Wl1wpuCwX/ZGIJxH1lhaJgV/5GA6abfGGGv74C3ddz4TAcIuRgW591UspUtzMuj6tiIO3tnWBn2Q&#10;dSZ1jY8AN6UcRNGnNFhwWMixokVO6e/uZhQcv5PLfHj+SdLEzjenqz2sr9tIqW6nmX2B8NT4//C7&#10;vdIKhvC6Em6AnDwBAAD//wMAUEsBAi0AFAAGAAgAAAAhANvh9svuAAAAhQEAABMAAAAAAAAAAAAA&#10;AAAAAAAAAFtDb250ZW50X1R5cGVzXS54bWxQSwECLQAUAAYACAAAACEAWvQsW78AAAAVAQAACwAA&#10;AAAAAAAAAAAAAAAfAQAAX3JlbHMvLnJlbHNQSwECLQAUAAYACAAAACEAWVtl3cMAAADaAAAADwAA&#10;AAAAAAAAAAAAAAAHAgAAZHJzL2Rvd25yZXYueG1sUEsFBgAAAAADAAMAtwAAAPcCAAAAAA==&#10;" strokecolor="black [3040]" strokeweight="1.5pt"/>
            <v:line id="Straight Connector 6" o:spid="_x0000_s1033" style="position:absolute;visibility:visible" from="3979,0" to="57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KLvwAAANoAAAAPAAAAZHJzL2Rvd25yZXYueG1sRI9Bi8Iw&#10;FITvC/6H8ARva+oepHSNIoq4V+vC7vHRPJti81Kap9Z/bwTB4zAz3zCL1eBbdaU+NoENzKYZKOIq&#10;2IZrA7/H3WcOKgqyxTYwGbhThNVy9LHAwoYbH+haSq0ShGOBBpxIV2gdK0ce4zR0xMk7hd6jJNnX&#10;2vZ4S3Df6q8sm2uPDacFhx1tHFXn8uIN+L+mrWYkx63wf73LS7fJ9wdjJuNh/Q1KaJB3+NX+sQbm&#10;8LySboBePgAAAP//AwBQSwECLQAUAAYACAAAACEA2+H2y+4AAACFAQAAEwAAAAAAAAAAAAAAAAAA&#10;AAAAW0NvbnRlbnRfVHlwZXNdLnhtbFBLAQItABQABgAIAAAAIQBa9CxbvwAAABUBAAALAAAAAAAA&#10;AAAAAAAAAB8BAABfcmVscy8ucmVsc1BLAQItABQABgAIAAAAIQDsVBKLvwAAANoAAAAPAAAAAAAA&#10;AAAAAAAAAAcCAABkcnMvZG93bnJldi54bWxQSwUGAAAAAAMAAwC3AAAA8wIAAAAA&#10;" strokecolor="black [3040]" strokeweight="1.5pt"/>
            <v:line id="Straight Connector 7" o:spid="_x0000_s1032" style="position:absolute;flip:y;visibility:visible" from="3048,0" to="3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4xxAAAANoAAAAPAAAAZHJzL2Rvd25yZXYueG1sRI9Ba8JA&#10;FITvBf/D8oTe6qZCrURXqQWJ3hoNqLfX7DNJm30bs6tJ/31XKPQ4zMw3zHzZm1rcqHWVZQXPowgE&#10;cW51xYWCbL9+moJwHlljbZkU/JCD5WLwMMdY245Tuu18IQKEXYwKSu+bWEqXl2TQjWxDHLyzbQ36&#10;INtC6ha7ADe1HEfRRBqsOCyU2NB7Sfn37moUnA7J1+rlfEzyxK4+Pi82217SSKnHYf82A+Gp9//h&#10;v/ZGK3iF+5VwA+TiFwAA//8DAFBLAQItABQABgAIAAAAIQDb4fbL7gAAAIUBAAATAAAAAAAAAAAA&#10;AAAAAAAAAABbQ29udGVudF9UeXBlc10ueG1sUEsBAi0AFAAGAAgAAAAhAFr0LFu/AAAAFQEAAAsA&#10;AAAAAAAAAAAAAAAAHwEAAF9yZWxzLy5yZWxzUEsBAi0AFAAGAAgAAAAhAMbFXjHEAAAA2gAAAA8A&#10;AAAAAAAAAAAAAAAABwIAAGRycy9kb3ducmV2LnhtbFBLBQYAAAAAAwADALcAAAD4AgAAAAA=&#10;" strokecolor="black [3040]" strokeweight="1.5pt"/>
          </v:group>
        </w:pict>
      </w:r>
      <w:r w:rsidR="007A70AB">
        <w:rPr>
          <w:rFonts w:asciiTheme="minorHAnsi" w:hAnsiTheme="minorHAnsi" w:cstheme="minorHAnsi"/>
          <w:noProof/>
          <w:sz w:val="24"/>
          <w:szCs w:val="24"/>
        </w:rPr>
        <w:t>Regression line</w:t>
      </w:r>
    </w:p>
    <w:p w:rsidR="007A70AB" w:rsidRPr="00F658C8" w:rsidRDefault="007A70AB" w:rsidP="00CE1C3A">
      <w:pPr>
        <w:spacing w:line="360" w:lineRule="auto"/>
        <w:rPr>
          <w:rFonts w:asciiTheme="minorHAnsi" w:hAnsiTheme="minorHAnsi" w:cstheme="minorHAnsi"/>
          <w:sz w:val="24"/>
          <w:szCs w:val="24"/>
        </w:rPr>
      </w:pPr>
      <w:r w:rsidRPr="00F658C8">
        <w:rPr>
          <w:rFonts w:asciiTheme="minorHAnsi" w:hAnsiTheme="minorHAnsi" w:cstheme="minorHAnsi"/>
          <w:sz w:val="24"/>
          <w:szCs w:val="24"/>
        </w:rPr>
        <w:tab/>
        <w:t xml:space="preserve">       </w:t>
      </w:r>
      <w:r>
        <w:rPr>
          <w:rFonts w:asciiTheme="minorHAnsi" w:hAnsiTheme="minorHAnsi" w:cstheme="minorHAnsi"/>
          <w:sz w:val="24"/>
          <w:szCs w:val="24"/>
        </w:rPr>
        <w:t>…………..</w:t>
      </w:r>
      <w:r w:rsidRPr="00F658C8">
        <w:rPr>
          <w:rFonts w:asciiTheme="minorHAnsi" w:hAnsiTheme="minorHAnsi" w:cstheme="minorHAnsi"/>
          <w:sz w:val="24"/>
          <w:szCs w:val="24"/>
        </w:rPr>
        <w:tab/>
      </w:r>
      <w:r>
        <w:rPr>
          <w:rFonts w:asciiTheme="minorHAnsi" w:hAnsiTheme="minorHAnsi" w:cstheme="minorHAnsi"/>
          <w:sz w:val="24"/>
          <w:szCs w:val="24"/>
        </w:rPr>
        <w:tab/>
        <w:t>Bias</w:t>
      </w:r>
    </w:p>
    <w:p w:rsidR="005A6F83" w:rsidRDefault="005A6F83">
      <w:pPr>
        <w:spacing w:after="200" w:line="276" w:lineRule="auto"/>
        <w:rPr>
          <w:rFonts w:asciiTheme="minorHAnsi" w:hAnsiTheme="minorHAnsi" w:cstheme="minorHAnsi"/>
          <w:szCs w:val="22"/>
        </w:rPr>
      </w:pPr>
      <w:bookmarkStart w:id="0" w:name="_GoBack"/>
      <w:bookmarkEnd w:id="0"/>
      <w:r>
        <w:rPr>
          <w:rFonts w:asciiTheme="minorHAnsi" w:hAnsiTheme="minorHAnsi" w:cstheme="minorHAnsi"/>
          <w:szCs w:val="22"/>
        </w:rPr>
        <w:br w:type="page"/>
      </w:r>
    </w:p>
    <w:p w:rsidR="009A78BD" w:rsidRDefault="009A78BD" w:rsidP="0089082B">
      <w:pPr>
        <w:autoSpaceDE w:val="0"/>
        <w:autoSpaceDN w:val="0"/>
        <w:adjustRightInd w:val="0"/>
        <w:rPr>
          <w:rFonts w:asciiTheme="minorHAnsi" w:hAnsiTheme="minorHAnsi" w:cstheme="minorHAnsi"/>
          <w:b/>
          <w:bCs/>
          <w:szCs w:val="22"/>
        </w:rPr>
        <w:sectPr w:rsidR="009A78BD" w:rsidSect="009A78BD">
          <w:headerReference w:type="default" r:id="rId8"/>
          <w:pgSz w:w="12240" w:h="15840"/>
          <w:pgMar w:top="1134" w:right="1134" w:bottom="1134" w:left="1134" w:header="720" w:footer="720" w:gutter="0"/>
          <w:lnNumType w:countBy="1" w:restart="continuous"/>
          <w:cols w:space="720"/>
          <w:docGrid w:linePitch="299"/>
        </w:sectPr>
      </w:pPr>
    </w:p>
    <w:p w:rsidR="008A6229" w:rsidRPr="008A6229" w:rsidRDefault="005A6F83" w:rsidP="00E01E9E">
      <w:pPr>
        <w:autoSpaceDE w:val="0"/>
        <w:autoSpaceDN w:val="0"/>
        <w:adjustRightInd w:val="0"/>
        <w:jc w:val="center"/>
        <w:rPr>
          <w:rFonts w:asciiTheme="minorHAnsi" w:hAnsiTheme="minorHAnsi" w:cstheme="minorHAnsi"/>
          <w:szCs w:val="22"/>
        </w:rPr>
      </w:pPr>
      <w:r w:rsidRPr="00F3343E">
        <w:rPr>
          <w:rFonts w:cs="Arial"/>
          <w:b/>
          <w:bCs/>
          <w:szCs w:val="22"/>
        </w:rPr>
        <w:lastRenderedPageBreak/>
        <w:t>Supplementary Figure 1</w:t>
      </w:r>
      <w:r w:rsidR="00072DA4" w:rsidRPr="00072DA4">
        <w:rPr>
          <w:rFonts w:asciiTheme="minorHAnsi" w:hAnsiTheme="minorHAnsi" w:cstheme="minorHAnsi"/>
          <w:noProof/>
          <w:szCs w:val="22"/>
          <w:lang w:val="en-US" w:eastAsia="en-US"/>
        </w:rPr>
        <w:drawing>
          <wp:inline distT="0" distB="0" distL="0" distR="0">
            <wp:extent cx="7853680" cy="5890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53680" cy="5890260"/>
                    </a:xfrm>
                    <a:prstGeom prst="rect">
                      <a:avLst/>
                    </a:prstGeom>
                    <a:noFill/>
                    <a:ln>
                      <a:noFill/>
                    </a:ln>
                  </pic:spPr>
                </pic:pic>
              </a:graphicData>
            </a:graphic>
          </wp:inline>
        </w:drawing>
      </w:r>
    </w:p>
    <w:p w:rsidR="00903FEE" w:rsidRPr="00292146" w:rsidRDefault="005A6F83" w:rsidP="00F3343E">
      <w:pPr>
        <w:spacing w:line="360" w:lineRule="auto"/>
        <w:jc w:val="center"/>
        <w:rPr>
          <w:rFonts w:asciiTheme="minorHAnsi" w:hAnsiTheme="minorHAnsi" w:cstheme="minorHAnsi"/>
          <w:b/>
          <w:bCs/>
          <w:sz w:val="24"/>
          <w:szCs w:val="24"/>
        </w:rPr>
      </w:pPr>
      <w:r w:rsidRPr="005A6F83">
        <w:rPr>
          <w:rFonts w:cstheme="majorBidi"/>
          <w:b/>
          <w:bCs/>
        </w:rPr>
        <w:lastRenderedPageBreak/>
        <w:t>Sup</w:t>
      </w:r>
      <w:r w:rsidR="007A70AB">
        <w:rPr>
          <w:rFonts w:cstheme="majorBidi"/>
          <w:b/>
          <w:bCs/>
        </w:rPr>
        <w:t>p</w:t>
      </w:r>
      <w:r w:rsidRPr="005A6F83">
        <w:rPr>
          <w:rFonts w:cstheme="majorBidi"/>
          <w:b/>
          <w:bCs/>
        </w:rPr>
        <w:t xml:space="preserve">lementary Figure </w:t>
      </w:r>
      <w:r w:rsidR="00072DA4">
        <w:rPr>
          <w:rFonts w:cstheme="majorBidi"/>
          <w:b/>
          <w:bCs/>
        </w:rPr>
        <w:t>2</w:t>
      </w:r>
      <w:r w:rsidR="00006034" w:rsidRPr="00006034">
        <w:rPr>
          <w:rFonts w:cs="Calibri"/>
          <w:noProof/>
          <w:lang w:val="en-US" w:eastAsia="en-US"/>
        </w:rPr>
        <w:drawing>
          <wp:inline distT="0" distB="0" distL="0" distR="0">
            <wp:extent cx="7840393" cy="5880295"/>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41478" cy="5881109"/>
                    </a:xfrm>
                    <a:prstGeom prst="rect">
                      <a:avLst/>
                    </a:prstGeom>
                    <a:noFill/>
                    <a:ln>
                      <a:noFill/>
                    </a:ln>
                  </pic:spPr>
                </pic:pic>
              </a:graphicData>
            </a:graphic>
          </wp:inline>
        </w:drawing>
      </w:r>
      <w:r w:rsidR="001361F9" w:rsidRPr="00F02294">
        <w:rPr>
          <w:rFonts w:cs="Calibri"/>
        </w:rPr>
        <w:br w:type="page"/>
      </w:r>
    </w:p>
    <w:p w:rsidR="00466DD0" w:rsidRPr="00292146" w:rsidRDefault="00466DD0" w:rsidP="00F3343E">
      <w:pPr>
        <w:spacing w:line="480" w:lineRule="auto"/>
        <w:jc w:val="center"/>
        <w:rPr>
          <w:rFonts w:asciiTheme="minorHAnsi" w:hAnsiTheme="minorHAnsi" w:cstheme="majorBidi"/>
          <w:b/>
          <w:bCs/>
          <w:sz w:val="24"/>
          <w:szCs w:val="24"/>
        </w:rPr>
      </w:pPr>
      <w:r w:rsidRPr="00292146">
        <w:rPr>
          <w:rFonts w:asciiTheme="minorHAnsi" w:hAnsiTheme="minorHAnsi" w:cstheme="majorBidi"/>
          <w:b/>
          <w:bCs/>
          <w:sz w:val="24"/>
          <w:szCs w:val="24"/>
        </w:rPr>
        <w:lastRenderedPageBreak/>
        <w:t xml:space="preserve">Supplementary Table </w:t>
      </w:r>
      <w:r w:rsidR="003420EA" w:rsidRPr="00292146">
        <w:rPr>
          <w:rFonts w:asciiTheme="minorHAnsi" w:hAnsiTheme="minorHAnsi" w:cstheme="majorBidi"/>
          <w:b/>
          <w:bCs/>
          <w:sz w:val="24"/>
          <w:szCs w:val="24"/>
        </w:rPr>
        <w:t>1</w:t>
      </w:r>
      <w:r w:rsidRPr="00292146">
        <w:rPr>
          <w:rFonts w:asciiTheme="minorHAnsi" w:hAnsiTheme="minorHAnsi" w:cstheme="majorBidi"/>
          <w:b/>
          <w:bCs/>
          <w:sz w:val="24"/>
          <w:szCs w:val="24"/>
        </w:rPr>
        <w:t>:</w:t>
      </w:r>
      <w:r w:rsidRPr="00292146">
        <w:rPr>
          <w:rFonts w:asciiTheme="minorHAnsi" w:hAnsiTheme="minorHAnsi" w:cstheme="majorBidi"/>
          <w:b/>
          <w:bCs/>
          <w:sz w:val="24"/>
          <w:szCs w:val="24"/>
        </w:rPr>
        <w:tab/>
        <w:t>Prediction equations for body density and %BF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1"/>
        <w:gridCol w:w="822"/>
        <w:gridCol w:w="1040"/>
        <w:gridCol w:w="1445"/>
        <w:gridCol w:w="1153"/>
        <w:gridCol w:w="2305"/>
        <w:gridCol w:w="5002"/>
      </w:tblGrid>
      <w:tr w:rsidR="00F81041" w:rsidRPr="00810076" w:rsidTr="00F81041">
        <w:tc>
          <w:tcPr>
            <w:tcW w:w="733" w:type="pct"/>
            <w:tcBorders>
              <w:top w:val="single" w:sz="24" w:space="0" w:color="auto"/>
              <w:bottom w:val="single" w:sz="18" w:space="0" w:color="auto"/>
            </w:tcBorders>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Reference</w:t>
            </w:r>
          </w:p>
        </w:tc>
        <w:tc>
          <w:tcPr>
            <w:tcW w:w="298" w:type="pct"/>
            <w:tcBorders>
              <w:top w:val="single" w:sz="24" w:space="0" w:color="auto"/>
              <w:bottom w:val="single" w:sz="18" w:space="0" w:color="auto"/>
            </w:tcBorders>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Sex</w:t>
            </w:r>
          </w:p>
          <w:p w:rsidR="008952E7" w:rsidRPr="00810076" w:rsidRDefault="008952E7" w:rsidP="00292146">
            <w:pPr>
              <w:jc w:val="center"/>
              <w:rPr>
                <w:rFonts w:asciiTheme="minorHAnsi" w:hAnsiTheme="minorHAnsi" w:cstheme="minorHAnsi"/>
              </w:rPr>
            </w:pPr>
            <w:r>
              <w:rPr>
                <w:rFonts w:asciiTheme="minorHAnsi" w:hAnsiTheme="minorHAnsi" w:cstheme="minorHAnsi"/>
              </w:rPr>
              <w:t>(n)</w:t>
            </w:r>
          </w:p>
        </w:tc>
        <w:tc>
          <w:tcPr>
            <w:tcW w:w="377" w:type="pct"/>
            <w:tcBorders>
              <w:top w:val="single" w:sz="24" w:space="0" w:color="auto"/>
              <w:bottom w:val="single" w:sz="18" w:space="0" w:color="auto"/>
            </w:tcBorders>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Age (years)</w:t>
            </w:r>
          </w:p>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Mean or range</w:t>
            </w:r>
          </w:p>
        </w:tc>
        <w:tc>
          <w:tcPr>
            <w:tcW w:w="524" w:type="pct"/>
            <w:tcBorders>
              <w:top w:val="single" w:sz="24" w:space="0" w:color="auto"/>
              <w:bottom w:val="single" w:sz="18" w:space="0" w:color="auto"/>
            </w:tcBorders>
            <w:vAlign w:val="center"/>
          </w:tcPr>
          <w:p w:rsidR="00400292" w:rsidRPr="00810076" w:rsidRDefault="008952E7" w:rsidP="00292146">
            <w:pPr>
              <w:jc w:val="center"/>
              <w:rPr>
                <w:rFonts w:asciiTheme="minorHAnsi" w:hAnsiTheme="minorHAnsi" w:cstheme="minorHAnsi"/>
              </w:rPr>
            </w:pPr>
            <w:r>
              <w:rPr>
                <w:rFonts w:asciiTheme="minorHAnsi" w:hAnsiTheme="minorHAnsi" w:cstheme="minorHAnsi"/>
              </w:rPr>
              <w:t>%BF</w:t>
            </w:r>
          </w:p>
        </w:tc>
        <w:tc>
          <w:tcPr>
            <w:tcW w:w="418" w:type="pct"/>
            <w:tcBorders>
              <w:top w:val="single" w:sz="24" w:space="0" w:color="auto"/>
              <w:bottom w:val="single" w:sz="18" w:space="0" w:color="auto"/>
            </w:tcBorders>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Ethnicity</w:t>
            </w:r>
          </w:p>
        </w:tc>
        <w:tc>
          <w:tcPr>
            <w:tcW w:w="836" w:type="pct"/>
            <w:tcBorders>
              <w:top w:val="single" w:sz="24" w:space="0" w:color="auto"/>
              <w:bottom w:val="single" w:sz="18" w:space="0" w:color="auto"/>
            </w:tcBorders>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Body density</w:t>
            </w:r>
            <w:r w:rsidRPr="0056022C">
              <w:rPr>
                <w:rFonts w:asciiTheme="minorHAnsi" w:hAnsiTheme="minorHAnsi" w:cstheme="minorHAnsi"/>
                <w:vertAlign w:val="superscript"/>
              </w:rPr>
              <w:t>a</w:t>
            </w:r>
          </w:p>
          <w:p w:rsidR="00400292" w:rsidRPr="0056022C" w:rsidRDefault="00400292" w:rsidP="00292146">
            <w:pPr>
              <w:jc w:val="center"/>
              <w:rPr>
                <w:rFonts w:asciiTheme="minorHAnsi" w:hAnsiTheme="minorHAnsi" w:cstheme="minorHAnsi"/>
              </w:rPr>
            </w:pPr>
            <w:r>
              <w:rPr>
                <w:rFonts w:asciiTheme="minorHAnsi" w:hAnsiTheme="minorHAnsi" w:cstheme="minorHAnsi"/>
              </w:rPr>
              <w:t>(BD, kgL</w:t>
            </w:r>
            <w:r w:rsidRPr="0056022C">
              <w:rPr>
                <w:rFonts w:asciiTheme="minorHAnsi" w:hAnsiTheme="minorHAnsi" w:cstheme="minorHAnsi"/>
                <w:vertAlign w:val="superscript"/>
              </w:rPr>
              <w:t>-1</w:t>
            </w:r>
            <w:r>
              <w:rPr>
                <w:rFonts w:asciiTheme="minorHAnsi" w:hAnsiTheme="minorHAnsi" w:cstheme="minorHAnsi"/>
              </w:rPr>
              <w:t>)</w:t>
            </w:r>
          </w:p>
        </w:tc>
        <w:tc>
          <w:tcPr>
            <w:tcW w:w="1814" w:type="pct"/>
            <w:tcBorders>
              <w:top w:val="single" w:sz="24" w:space="0" w:color="auto"/>
              <w:bottom w:val="single" w:sz="18" w:space="0" w:color="auto"/>
            </w:tcBorders>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%BF</w:t>
            </w:r>
          </w:p>
        </w:tc>
      </w:tr>
      <w:tr w:rsidR="00F81041" w:rsidRPr="00810076" w:rsidTr="00F81041">
        <w:tc>
          <w:tcPr>
            <w:tcW w:w="733" w:type="pct"/>
            <w:vMerge w:val="restart"/>
            <w:tcBorders>
              <w:top w:val="single" w:sz="18" w:space="0" w:color="auto"/>
            </w:tcBorders>
            <w:vAlign w:val="center"/>
          </w:tcPr>
          <w:p w:rsidR="00400292" w:rsidRPr="00810076" w:rsidRDefault="00400292" w:rsidP="00B116DF">
            <w:pPr>
              <w:jc w:val="center"/>
              <w:rPr>
                <w:rFonts w:asciiTheme="minorHAnsi" w:hAnsiTheme="minorHAnsi" w:cstheme="minorHAnsi"/>
              </w:rPr>
            </w:pPr>
            <w:r w:rsidRPr="00810076">
              <w:rPr>
                <w:rFonts w:asciiTheme="minorHAnsi" w:hAnsiTheme="minorHAnsi" w:cstheme="minorHAnsi"/>
              </w:rPr>
              <w:t>Durnin and Rahaman</w:t>
            </w:r>
            <w:r>
              <w:rPr>
                <w:rFonts w:asciiTheme="minorHAnsi" w:hAnsiTheme="minorHAnsi" w:cstheme="minorHAnsi"/>
              </w:rPr>
              <w:t xml:space="preserve"> </w:t>
            </w:r>
            <w:r w:rsidR="00C207F8">
              <w:rPr>
                <w:rFonts w:asciiTheme="minorHAnsi" w:hAnsiTheme="minorHAnsi" w:cstheme="minorHAnsi"/>
              </w:rPr>
              <w:fldChar w:fldCharType="begin" w:fldLock="1"/>
            </w:r>
            <w:r w:rsidR="00B116DF">
              <w:rPr>
                <w:rFonts w:asciiTheme="minorHAnsi" w:hAnsiTheme="minorHAnsi" w:cstheme="minorHAnsi"/>
              </w:rPr>
              <w:instrText>ADDIN CSL_CITATION {"citationItems":[{"id":"ITEM-1","itemData":{"DOI":"10.1079/BJN19670070","ISSN":"0007-1145","PMID":"6052883","abstract":"1. Skinfold thickness and body density were measured on 105 young adult men and women and 86 adolescent boys and girls.","author":[{"dropping-particle":"","family":"Durnin","given":"J. V. G. A.","non-dropping-particle":"","parse-names":false,"suffix":""},{"dropping-particle":"","family":"Rahaman","given":"M. M.","non-dropping-particle":"","parse-names":false,"suffix":""}],"container-title":"British Journal of Nutrition","id":"ITEM-1","issue":"3","issued":{"date-parts":[["1967","9","9"]]},"page":"681-689","title":"The assessment of the amount of fat in the human body from measurements of skinfold thickness","type":"article-journal","volume":"21"},"uris":["http://www.mendeley.com/documents/?uuid=1e7f4c2c-8249-4c61-8c43-3148c015c0d9"]}],"mendeley":{"formattedCitation":"&lt;sup&gt;(26)&lt;/sup&gt;","plainTextFormattedCitation":"(26)","previouslyFormattedCitation":"&lt;sup&gt;(25)&lt;/sup&gt;"},"properties":{"noteIndex":0},"schema":"https://github.com/citation-style-language/schema/raw/master/csl-citation.json"}</w:instrText>
            </w:r>
            <w:r w:rsidR="00C207F8">
              <w:rPr>
                <w:rFonts w:asciiTheme="minorHAnsi" w:hAnsiTheme="minorHAnsi" w:cstheme="minorHAnsi"/>
              </w:rPr>
              <w:fldChar w:fldCharType="separate"/>
            </w:r>
            <w:r w:rsidR="00B116DF" w:rsidRPr="00B116DF">
              <w:rPr>
                <w:rFonts w:asciiTheme="minorHAnsi" w:hAnsiTheme="minorHAnsi" w:cstheme="minorHAnsi"/>
                <w:noProof/>
                <w:vertAlign w:val="superscript"/>
              </w:rPr>
              <w:t>(26)</w:t>
            </w:r>
            <w:r w:rsidR="00C207F8">
              <w:rPr>
                <w:rFonts w:asciiTheme="minorHAnsi" w:hAnsiTheme="minorHAnsi" w:cstheme="minorHAnsi"/>
              </w:rPr>
              <w:fldChar w:fldCharType="end"/>
            </w:r>
          </w:p>
        </w:tc>
        <w:tc>
          <w:tcPr>
            <w:tcW w:w="298" w:type="pct"/>
            <w:tcBorders>
              <w:top w:val="single" w:sz="18" w:space="0" w:color="auto"/>
            </w:tcBorders>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Male</w:t>
            </w:r>
          </w:p>
          <w:p w:rsidR="008952E7" w:rsidRPr="00810076" w:rsidRDefault="008952E7" w:rsidP="00292146">
            <w:pPr>
              <w:jc w:val="center"/>
              <w:rPr>
                <w:rFonts w:asciiTheme="minorHAnsi" w:hAnsiTheme="minorHAnsi" w:cstheme="minorHAnsi"/>
              </w:rPr>
            </w:pPr>
            <w:r>
              <w:rPr>
                <w:rFonts w:asciiTheme="minorHAnsi" w:hAnsiTheme="minorHAnsi" w:cstheme="minorHAnsi"/>
              </w:rPr>
              <w:t>(48)</w:t>
            </w:r>
          </w:p>
        </w:tc>
        <w:tc>
          <w:tcPr>
            <w:tcW w:w="377" w:type="pct"/>
            <w:tcBorders>
              <w:top w:val="single" w:sz="18" w:space="0" w:color="auto"/>
            </w:tcBorders>
            <w:vAlign w:val="center"/>
          </w:tcPr>
          <w:p w:rsidR="00400292" w:rsidRPr="00810076" w:rsidRDefault="00E01E9E" w:rsidP="00292146">
            <w:pPr>
              <w:jc w:val="center"/>
              <w:rPr>
                <w:rFonts w:asciiTheme="minorHAnsi" w:hAnsiTheme="minorHAnsi" w:cstheme="minorHAnsi"/>
              </w:rPr>
            </w:pPr>
            <w:r>
              <w:rPr>
                <w:rFonts w:asciiTheme="minorHAnsi" w:hAnsiTheme="minorHAnsi" w:cstheme="minorHAnsi"/>
              </w:rPr>
              <w:t xml:space="preserve">12.7 to </w:t>
            </w:r>
            <w:r w:rsidR="00400292" w:rsidRPr="00810076">
              <w:rPr>
                <w:rFonts w:asciiTheme="minorHAnsi" w:hAnsiTheme="minorHAnsi" w:cstheme="minorHAnsi"/>
              </w:rPr>
              <w:t>15.7</w:t>
            </w:r>
          </w:p>
        </w:tc>
        <w:tc>
          <w:tcPr>
            <w:tcW w:w="524" w:type="pct"/>
            <w:tcBorders>
              <w:top w:val="single" w:sz="18" w:space="0" w:color="auto"/>
            </w:tcBorders>
            <w:vAlign w:val="center"/>
          </w:tcPr>
          <w:p w:rsidR="00400292" w:rsidRDefault="00A4545A" w:rsidP="00292146">
            <w:pPr>
              <w:jc w:val="center"/>
              <w:rPr>
                <w:rFonts w:asciiTheme="minorHAnsi" w:hAnsiTheme="minorHAnsi" w:cstheme="minorHAnsi"/>
              </w:rPr>
            </w:pPr>
            <w:r>
              <w:rPr>
                <w:rFonts w:asciiTheme="minorHAnsi" w:hAnsiTheme="minorHAnsi" w:cstheme="minorHAnsi"/>
              </w:rPr>
              <w:t>15.9</w:t>
            </w:r>
          </w:p>
          <w:p w:rsidR="009912E7" w:rsidRPr="00810076" w:rsidRDefault="009912E7" w:rsidP="00292146">
            <w:pPr>
              <w:jc w:val="center"/>
              <w:rPr>
                <w:rFonts w:asciiTheme="minorHAnsi" w:hAnsiTheme="minorHAnsi" w:cstheme="minorHAnsi"/>
              </w:rPr>
            </w:pPr>
            <w:r>
              <w:rPr>
                <w:rFonts w:asciiTheme="minorHAnsi" w:hAnsiTheme="minorHAnsi" w:cstheme="minorHAnsi"/>
              </w:rPr>
              <w:t>(5.4 to 34.7)</w:t>
            </w:r>
          </w:p>
        </w:tc>
        <w:tc>
          <w:tcPr>
            <w:tcW w:w="418" w:type="pct"/>
            <w:vMerge w:val="restart"/>
            <w:tcBorders>
              <w:top w:val="single" w:sz="18" w:space="0" w:color="auto"/>
            </w:tcBorders>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Caucasian</w:t>
            </w:r>
          </w:p>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UK</w:t>
            </w:r>
          </w:p>
        </w:tc>
        <w:tc>
          <w:tcPr>
            <w:tcW w:w="836" w:type="pct"/>
            <w:tcBorders>
              <w:top w:val="single" w:sz="18" w:space="0" w:color="auto"/>
            </w:tcBorders>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1.1533 - 0.0643 * log SSF</w:t>
            </w:r>
          </w:p>
        </w:tc>
        <w:tc>
          <w:tcPr>
            <w:tcW w:w="1814" w:type="pct"/>
            <w:tcBorders>
              <w:top w:val="single" w:sz="18" w:space="0" w:color="auto"/>
            </w:tcBorders>
            <w:vAlign w:val="center"/>
          </w:tcPr>
          <w:p w:rsidR="00400292" w:rsidRPr="00810076" w:rsidRDefault="00400292" w:rsidP="00292146">
            <w:pPr>
              <w:jc w:val="center"/>
              <w:rPr>
                <w:rFonts w:asciiTheme="minorHAnsi" w:hAnsiTheme="minorHAnsi" w:cstheme="minorHAnsi"/>
              </w:rPr>
            </w:pPr>
          </w:p>
        </w:tc>
      </w:tr>
      <w:tr w:rsidR="00F81041" w:rsidRPr="00810076" w:rsidTr="00F81041">
        <w:tc>
          <w:tcPr>
            <w:tcW w:w="733" w:type="pct"/>
            <w:vMerge/>
            <w:vAlign w:val="center"/>
          </w:tcPr>
          <w:p w:rsidR="00400292" w:rsidRPr="00810076" w:rsidRDefault="00400292" w:rsidP="00292146">
            <w:pPr>
              <w:jc w:val="center"/>
              <w:rPr>
                <w:rFonts w:asciiTheme="minorHAnsi" w:hAnsiTheme="minorHAnsi" w:cstheme="minorHAnsi"/>
              </w:rPr>
            </w:pPr>
          </w:p>
        </w:tc>
        <w:tc>
          <w:tcPr>
            <w:tcW w:w="298" w:type="pct"/>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Female</w:t>
            </w:r>
          </w:p>
          <w:p w:rsidR="008952E7" w:rsidRPr="00810076" w:rsidRDefault="008952E7" w:rsidP="00292146">
            <w:pPr>
              <w:jc w:val="center"/>
              <w:rPr>
                <w:rFonts w:asciiTheme="minorHAnsi" w:hAnsiTheme="minorHAnsi" w:cstheme="minorHAnsi"/>
              </w:rPr>
            </w:pPr>
            <w:r>
              <w:rPr>
                <w:rFonts w:asciiTheme="minorHAnsi" w:hAnsiTheme="minorHAnsi" w:cstheme="minorHAnsi"/>
              </w:rPr>
              <w:t>(38)</w:t>
            </w:r>
          </w:p>
        </w:tc>
        <w:tc>
          <w:tcPr>
            <w:tcW w:w="377" w:type="pct"/>
            <w:vAlign w:val="center"/>
          </w:tcPr>
          <w:p w:rsidR="00400292" w:rsidRPr="00810076" w:rsidRDefault="00E01E9E" w:rsidP="00292146">
            <w:pPr>
              <w:jc w:val="center"/>
              <w:rPr>
                <w:rFonts w:asciiTheme="minorHAnsi" w:hAnsiTheme="minorHAnsi" w:cstheme="minorHAnsi"/>
              </w:rPr>
            </w:pPr>
            <w:r>
              <w:rPr>
                <w:rFonts w:asciiTheme="minorHAnsi" w:hAnsiTheme="minorHAnsi" w:cstheme="minorHAnsi"/>
              </w:rPr>
              <w:t xml:space="preserve">13.2 to </w:t>
            </w:r>
            <w:r w:rsidR="00400292" w:rsidRPr="00810076">
              <w:rPr>
                <w:rFonts w:asciiTheme="minorHAnsi" w:hAnsiTheme="minorHAnsi" w:cstheme="minorHAnsi"/>
              </w:rPr>
              <w:t>16.4</w:t>
            </w:r>
          </w:p>
        </w:tc>
        <w:tc>
          <w:tcPr>
            <w:tcW w:w="524" w:type="pct"/>
            <w:vAlign w:val="center"/>
          </w:tcPr>
          <w:p w:rsidR="00400292" w:rsidRDefault="00A4545A" w:rsidP="00292146">
            <w:pPr>
              <w:jc w:val="center"/>
              <w:rPr>
                <w:rFonts w:asciiTheme="minorHAnsi" w:hAnsiTheme="minorHAnsi" w:cstheme="minorHAnsi"/>
              </w:rPr>
            </w:pPr>
            <w:r>
              <w:rPr>
                <w:rFonts w:asciiTheme="minorHAnsi" w:hAnsiTheme="minorHAnsi" w:cstheme="minorHAnsi"/>
              </w:rPr>
              <w:t>24</w:t>
            </w:r>
          </w:p>
          <w:p w:rsidR="009912E7" w:rsidRPr="00810076" w:rsidRDefault="009912E7" w:rsidP="00292146">
            <w:pPr>
              <w:jc w:val="center"/>
              <w:rPr>
                <w:rFonts w:asciiTheme="minorHAnsi" w:hAnsiTheme="minorHAnsi" w:cstheme="minorHAnsi"/>
              </w:rPr>
            </w:pPr>
            <w:r>
              <w:rPr>
                <w:rFonts w:asciiTheme="minorHAnsi" w:hAnsiTheme="minorHAnsi" w:cstheme="minorHAnsi"/>
              </w:rPr>
              <w:t>(16.0 to 33.8)</w:t>
            </w:r>
          </w:p>
        </w:tc>
        <w:tc>
          <w:tcPr>
            <w:tcW w:w="418" w:type="pct"/>
            <w:vMerge/>
            <w:vAlign w:val="center"/>
          </w:tcPr>
          <w:p w:rsidR="00400292" w:rsidRPr="00810076" w:rsidRDefault="00400292" w:rsidP="00292146">
            <w:pPr>
              <w:jc w:val="center"/>
              <w:rPr>
                <w:rFonts w:asciiTheme="minorHAnsi" w:hAnsiTheme="minorHAnsi" w:cstheme="minorHAnsi"/>
              </w:rPr>
            </w:pPr>
          </w:p>
        </w:tc>
        <w:tc>
          <w:tcPr>
            <w:tcW w:w="836" w:type="pc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1.1369 - 0.0598 * log SSF</w:t>
            </w:r>
          </w:p>
        </w:tc>
        <w:tc>
          <w:tcPr>
            <w:tcW w:w="1814" w:type="pct"/>
            <w:vAlign w:val="center"/>
          </w:tcPr>
          <w:p w:rsidR="00400292" w:rsidRPr="00810076" w:rsidRDefault="00400292" w:rsidP="00292146">
            <w:pPr>
              <w:jc w:val="center"/>
              <w:rPr>
                <w:rFonts w:asciiTheme="minorHAnsi" w:hAnsiTheme="minorHAnsi" w:cstheme="minorHAnsi"/>
              </w:rPr>
            </w:pPr>
          </w:p>
        </w:tc>
      </w:tr>
      <w:tr w:rsidR="00F81041" w:rsidRPr="00810076" w:rsidTr="00F81041">
        <w:tc>
          <w:tcPr>
            <w:tcW w:w="733" w:type="pct"/>
            <w:vMerge w:val="restart"/>
            <w:vAlign w:val="center"/>
          </w:tcPr>
          <w:p w:rsidR="00400292" w:rsidRPr="00810076" w:rsidRDefault="00400292" w:rsidP="00273216">
            <w:pPr>
              <w:jc w:val="center"/>
              <w:rPr>
                <w:rFonts w:asciiTheme="minorHAnsi" w:hAnsiTheme="minorHAnsi" w:cstheme="minorHAnsi"/>
              </w:rPr>
            </w:pPr>
            <w:r w:rsidRPr="00810076">
              <w:rPr>
                <w:rFonts w:asciiTheme="minorHAnsi" w:hAnsiTheme="minorHAnsi" w:cstheme="minorHAnsi"/>
              </w:rPr>
              <w:t>Slaughter et al.</w:t>
            </w:r>
            <w:r>
              <w:rPr>
                <w:rFonts w:asciiTheme="minorHAnsi" w:hAnsiTheme="minorHAnsi" w:cstheme="minorHAnsi"/>
              </w:rPr>
              <w:t xml:space="preserve"> </w:t>
            </w:r>
            <w:r w:rsidR="00C207F8">
              <w:rPr>
                <w:rFonts w:asciiTheme="minorHAnsi" w:hAnsiTheme="minorHAnsi" w:cstheme="minorHAnsi"/>
              </w:rPr>
              <w:fldChar w:fldCharType="begin" w:fldLock="1"/>
            </w:r>
            <w:r w:rsidR="00110206">
              <w:rPr>
                <w:rFonts w:asciiTheme="minorHAnsi" w:hAnsiTheme="minorHAnsi" w:cstheme="minorHAnsi"/>
              </w:rPr>
              <w:instrText>ADDIN CSL_CITATION {"citationItems":[{"id":"ITEM-1","itemData":{"ISSN":"0018-7143","PMID":"3224965","author":[{"dropping-particle":"","family":"Slaughter","given":"M H","non-dropping-particle":"","parse-names":false,"suffix":""},{"dropping-particle":"","family":"Lohman","given":"T G","non-dropping-particle":"","parse-names":false,"suffix":""},{"dropping-particle":"","family":"Boileau","given":"R A","non-dropping-particle":"","parse-names":false,"suffix":""},{"dropping-particle":"","family":"Horswill","given":"C A","non-dropping-particle":"","parse-names":false,"suffix":""},{"dropping-particle":"","family":"Stillman","given":"R J","non-dropping-particle":"","parse-names":false,"suffix":""},{"dropping-particle":"","family":"Loan","given":"M D","non-dropping-particle":"Van","parse-names":false,"suffix":""},{"dropping-particle":"","family":"Bemben","given":"D A","non-dropping-particle":"","parse-names":false,"suffix":""}],"container-title":"Human biology","id":"ITEM-1","issue":"5","issued":{"date-parts":[["1988","10"]]},"page":"709-23","title":"Skinfold equations for estimation of body fatness in children and youth.","type":"article-journal","volume":"60"},"uris":["http://www.mendeley.com/documents/?uuid=786409da-67ea-41d8-8ffc-3177e38dd0eb"]}],"mendeley":{"formattedCitation":"&lt;sup&gt;(9)&lt;/sup&gt;","plainTextFormattedCitation":"(9)","previouslyFormattedCitation":"&lt;sup&gt;(9)&lt;/sup&gt;"},"properties":{"noteIndex":0},"schema":"https://github.com/citation-style-language/schema/raw/master/csl-citation.json"}</w:instrText>
            </w:r>
            <w:r w:rsidR="00C207F8">
              <w:rPr>
                <w:rFonts w:asciiTheme="minorHAnsi" w:hAnsiTheme="minorHAnsi" w:cstheme="minorHAnsi"/>
              </w:rPr>
              <w:fldChar w:fldCharType="separate"/>
            </w:r>
            <w:r w:rsidR="00273216" w:rsidRPr="00273216">
              <w:rPr>
                <w:rFonts w:asciiTheme="minorHAnsi" w:hAnsiTheme="minorHAnsi" w:cstheme="minorHAnsi"/>
                <w:noProof/>
                <w:vertAlign w:val="superscript"/>
              </w:rPr>
              <w:t>(9)</w:t>
            </w:r>
            <w:r w:rsidR="00C207F8">
              <w:rPr>
                <w:rFonts w:asciiTheme="minorHAnsi" w:hAnsiTheme="minorHAnsi" w:cstheme="minorHAnsi"/>
              </w:rPr>
              <w:fldChar w:fldCharType="end"/>
            </w:r>
          </w:p>
        </w:tc>
        <w:tc>
          <w:tcPr>
            <w:tcW w:w="298" w:type="pct"/>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Male</w:t>
            </w:r>
          </w:p>
          <w:p w:rsidR="008952E7" w:rsidRPr="00810076" w:rsidRDefault="008952E7" w:rsidP="00292146">
            <w:pPr>
              <w:jc w:val="center"/>
              <w:rPr>
                <w:rFonts w:asciiTheme="minorHAnsi" w:hAnsiTheme="minorHAnsi" w:cstheme="minorHAnsi"/>
              </w:rPr>
            </w:pPr>
            <w:r>
              <w:rPr>
                <w:rFonts w:asciiTheme="minorHAnsi" w:hAnsiTheme="minorHAnsi" w:cstheme="minorHAnsi"/>
              </w:rPr>
              <w:t>(50)</w:t>
            </w:r>
          </w:p>
        </w:tc>
        <w:tc>
          <w:tcPr>
            <w:tcW w:w="377" w:type="pc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9.8</w:t>
            </w:r>
          </w:p>
        </w:tc>
        <w:tc>
          <w:tcPr>
            <w:tcW w:w="524" w:type="pct"/>
            <w:vAlign w:val="center"/>
          </w:tcPr>
          <w:p w:rsidR="00400292" w:rsidRPr="00810076" w:rsidRDefault="009912E7" w:rsidP="00292146">
            <w:pPr>
              <w:jc w:val="center"/>
              <w:rPr>
                <w:rFonts w:asciiTheme="minorHAnsi" w:hAnsiTheme="minorHAnsi" w:cstheme="minorHAnsi"/>
              </w:rPr>
            </w:pPr>
            <w:r>
              <w:rPr>
                <w:rFonts w:asciiTheme="minorHAnsi" w:hAnsiTheme="minorHAnsi" w:cstheme="minorHAnsi"/>
              </w:rPr>
              <w:t xml:space="preserve">20.4 </w:t>
            </w:r>
            <w:r w:rsidR="008952E7">
              <w:rPr>
                <w:rFonts w:asciiTheme="minorHAnsi" w:hAnsiTheme="minorHAnsi" w:cstheme="minorHAnsi"/>
              </w:rPr>
              <w:t xml:space="preserve">to </w:t>
            </w:r>
            <w:r>
              <w:rPr>
                <w:rFonts w:asciiTheme="minorHAnsi" w:hAnsiTheme="minorHAnsi" w:cstheme="minorHAnsi"/>
              </w:rPr>
              <w:t>8.2</w:t>
            </w:r>
          </w:p>
        </w:tc>
        <w:tc>
          <w:tcPr>
            <w:tcW w:w="418" w:type="pct"/>
            <w:vMerge w:val="restar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Mixed</w:t>
            </w:r>
          </w:p>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(USA)</w:t>
            </w:r>
          </w:p>
        </w:tc>
        <w:tc>
          <w:tcPr>
            <w:tcW w:w="836" w:type="pct"/>
            <w:vAlign w:val="center"/>
          </w:tcPr>
          <w:p w:rsidR="00400292" w:rsidRPr="00810076" w:rsidRDefault="00400292" w:rsidP="00292146">
            <w:pPr>
              <w:jc w:val="center"/>
              <w:rPr>
                <w:rFonts w:asciiTheme="minorHAnsi" w:hAnsiTheme="minorHAnsi" w:cstheme="minorHAnsi"/>
              </w:rPr>
            </w:pPr>
          </w:p>
        </w:tc>
        <w:tc>
          <w:tcPr>
            <w:tcW w:w="1814" w:type="pc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1.21 * SSF2 - 0.008 * (SSF2)</w:t>
            </w:r>
            <w:r w:rsidRPr="00810076">
              <w:rPr>
                <w:rFonts w:asciiTheme="minorHAnsi" w:hAnsiTheme="minorHAnsi" w:cstheme="minorHAnsi"/>
                <w:vertAlign w:val="superscript"/>
              </w:rPr>
              <w:t xml:space="preserve">2 </w:t>
            </w:r>
            <w:r w:rsidRPr="00810076">
              <w:rPr>
                <w:rFonts w:asciiTheme="minorHAnsi" w:hAnsiTheme="minorHAnsi" w:cstheme="minorHAnsi"/>
              </w:rPr>
              <w:t>- 1-7</w:t>
            </w:r>
          </w:p>
        </w:tc>
      </w:tr>
      <w:tr w:rsidR="00F81041" w:rsidRPr="00810076" w:rsidTr="00F81041">
        <w:tc>
          <w:tcPr>
            <w:tcW w:w="733" w:type="pct"/>
            <w:vMerge/>
            <w:vAlign w:val="center"/>
          </w:tcPr>
          <w:p w:rsidR="00400292" w:rsidRPr="00810076" w:rsidRDefault="00400292" w:rsidP="00292146">
            <w:pPr>
              <w:jc w:val="center"/>
              <w:rPr>
                <w:rFonts w:asciiTheme="minorHAnsi" w:hAnsiTheme="minorHAnsi" w:cstheme="minorHAnsi"/>
              </w:rPr>
            </w:pPr>
          </w:p>
        </w:tc>
        <w:tc>
          <w:tcPr>
            <w:tcW w:w="298" w:type="pct"/>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Female</w:t>
            </w:r>
          </w:p>
          <w:p w:rsidR="008952E7" w:rsidRPr="00810076" w:rsidRDefault="008952E7" w:rsidP="00292146">
            <w:pPr>
              <w:jc w:val="center"/>
              <w:rPr>
                <w:rFonts w:asciiTheme="minorHAnsi" w:hAnsiTheme="minorHAnsi" w:cstheme="minorHAnsi"/>
              </w:rPr>
            </w:pPr>
            <w:r>
              <w:rPr>
                <w:rFonts w:asciiTheme="minorHAnsi" w:hAnsiTheme="minorHAnsi" w:cstheme="minorHAnsi"/>
              </w:rPr>
              <w:t>(16)</w:t>
            </w:r>
          </w:p>
        </w:tc>
        <w:tc>
          <w:tcPr>
            <w:tcW w:w="377" w:type="pc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10</w:t>
            </w:r>
          </w:p>
        </w:tc>
        <w:tc>
          <w:tcPr>
            <w:tcW w:w="524" w:type="pct"/>
            <w:vAlign w:val="center"/>
          </w:tcPr>
          <w:p w:rsidR="00400292" w:rsidRPr="00810076" w:rsidRDefault="00A4545A" w:rsidP="00292146">
            <w:pPr>
              <w:jc w:val="center"/>
              <w:rPr>
                <w:rFonts w:asciiTheme="minorHAnsi" w:hAnsiTheme="minorHAnsi" w:cstheme="minorHAnsi"/>
              </w:rPr>
            </w:pPr>
            <w:r>
              <w:rPr>
                <w:rFonts w:asciiTheme="minorHAnsi" w:hAnsiTheme="minorHAnsi" w:cstheme="minorHAnsi"/>
              </w:rPr>
              <w:t>24.</w:t>
            </w:r>
            <w:r w:rsidR="009912E7">
              <w:rPr>
                <w:rFonts w:asciiTheme="minorHAnsi" w:hAnsiTheme="minorHAnsi" w:cstheme="minorHAnsi"/>
              </w:rPr>
              <w:t xml:space="preserve">4 </w:t>
            </w:r>
            <w:r w:rsidR="008952E7">
              <w:rPr>
                <w:rFonts w:asciiTheme="minorHAnsi" w:hAnsiTheme="minorHAnsi" w:cstheme="minorHAnsi"/>
              </w:rPr>
              <w:t>to</w:t>
            </w:r>
            <w:r w:rsidR="009912E7">
              <w:rPr>
                <w:rFonts w:asciiTheme="minorHAnsi" w:hAnsiTheme="minorHAnsi" w:cstheme="minorHAnsi"/>
              </w:rPr>
              <w:t xml:space="preserve"> 6.8</w:t>
            </w:r>
          </w:p>
        </w:tc>
        <w:tc>
          <w:tcPr>
            <w:tcW w:w="418" w:type="pct"/>
            <w:vMerge/>
            <w:vAlign w:val="center"/>
          </w:tcPr>
          <w:p w:rsidR="00400292" w:rsidRPr="00810076" w:rsidRDefault="00400292" w:rsidP="00292146">
            <w:pPr>
              <w:jc w:val="center"/>
              <w:rPr>
                <w:rFonts w:asciiTheme="minorHAnsi" w:hAnsiTheme="minorHAnsi" w:cstheme="minorHAnsi"/>
              </w:rPr>
            </w:pPr>
          </w:p>
        </w:tc>
        <w:tc>
          <w:tcPr>
            <w:tcW w:w="836" w:type="pct"/>
            <w:vAlign w:val="center"/>
          </w:tcPr>
          <w:p w:rsidR="00400292" w:rsidRPr="00810076" w:rsidRDefault="00400292" w:rsidP="00292146">
            <w:pPr>
              <w:jc w:val="center"/>
              <w:rPr>
                <w:rFonts w:asciiTheme="minorHAnsi" w:hAnsiTheme="minorHAnsi" w:cstheme="minorHAnsi"/>
              </w:rPr>
            </w:pPr>
          </w:p>
        </w:tc>
        <w:tc>
          <w:tcPr>
            <w:tcW w:w="1814" w:type="pc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1.33 * SSF2 - 0.013 * (SSF2)</w:t>
            </w:r>
            <w:r w:rsidRPr="00810076">
              <w:rPr>
                <w:rFonts w:asciiTheme="minorHAnsi" w:hAnsiTheme="minorHAnsi" w:cstheme="minorHAnsi"/>
                <w:vertAlign w:val="superscript"/>
              </w:rPr>
              <w:t xml:space="preserve">2 </w:t>
            </w:r>
            <w:r w:rsidRPr="00810076">
              <w:rPr>
                <w:rFonts w:asciiTheme="minorHAnsi" w:hAnsiTheme="minorHAnsi" w:cstheme="minorHAnsi"/>
              </w:rPr>
              <w:t>– 2.5</w:t>
            </w:r>
          </w:p>
        </w:tc>
      </w:tr>
      <w:tr w:rsidR="00F81041" w:rsidRPr="00810076" w:rsidTr="00F81041">
        <w:tc>
          <w:tcPr>
            <w:tcW w:w="733" w:type="pct"/>
            <w:vMerge w:val="restart"/>
            <w:vAlign w:val="center"/>
          </w:tcPr>
          <w:p w:rsidR="00400292" w:rsidRPr="00810076" w:rsidRDefault="00400292" w:rsidP="00B116DF">
            <w:pPr>
              <w:jc w:val="center"/>
              <w:rPr>
                <w:rFonts w:asciiTheme="minorHAnsi" w:hAnsiTheme="minorHAnsi" w:cstheme="minorHAnsi"/>
              </w:rPr>
            </w:pPr>
            <w:r w:rsidRPr="00810076">
              <w:rPr>
                <w:rFonts w:asciiTheme="minorHAnsi" w:hAnsiTheme="minorHAnsi" w:cstheme="minorHAnsi"/>
              </w:rPr>
              <w:t>Johnston et al.</w:t>
            </w:r>
            <w:r>
              <w:rPr>
                <w:rFonts w:asciiTheme="minorHAnsi" w:hAnsiTheme="minorHAnsi" w:cstheme="minorHAnsi"/>
              </w:rPr>
              <w:t xml:space="preserve"> </w:t>
            </w:r>
            <w:r w:rsidR="00C207F8">
              <w:rPr>
                <w:rFonts w:asciiTheme="minorHAnsi" w:hAnsiTheme="minorHAnsi" w:cstheme="minorHAnsi"/>
              </w:rPr>
              <w:fldChar w:fldCharType="begin" w:fldLock="1"/>
            </w:r>
            <w:r w:rsidR="00B116DF">
              <w:rPr>
                <w:rFonts w:asciiTheme="minorHAnsi" w:hAnsiTheme="minorHAnsi" w:cstheme="minorHAnsi"/>
              </w:rPr>
              <w:instrText>ADDIN CSL_CITATION {"citationItems":[{"id":"ITEM-1","itemData":{"DOI":"10.1093/ajcn/48.6.1362","ISSN":"0002-9165","PMID":"3202085","abstract":"Body density and skinfold thickness at four sites were measured in 140 normal boys, 168 normal girls, and 6 boys and 7 girls with cystic fibrosis, all aged 8-14 y. Prediction equations for the normal boys and girls for the estimation of body-fat content from skin-fold measurements were derived from linear regression of body density vs the log of the sum of the skinfold thickness. The relationship between body density and the log of the sum of the skinfold measurements differed from normal for the boys and girls with cystic fibrosis because of their high body density even though their large residual volume was corrected for. However the sum of skinfold measurements in the children with cystic fibrosis did not differ from normal. Thus body fat percent of these children with cystic fibrosis was underestimated when calculated from body density and invalid when calculated from skinfold thickness.","author":[{"dropping-particle":"","family":"Johnston","given":"J. L.","non-dropping-particle":"","parse-names":false,"suffix":""},{"dropping-particle":"","family":"Leong","given":"M. S.","non-dropping-particle":"","parse-names":false,"suffix":""},{"dropping-particle":"","family":"Checkland","given":"E. G.","non-dropping-particle":"","parse-names":false,"suffix":""},{"dropping-particle":"","family":"Zuberbuhler","given":"P. C.","non-dropping-particle":"","parse-names":false,"suffix":""},{"dropping-particle":"","family":"Conger","given":"P. R.","non-dropping-particle":"","parse-names":false,"suffix":""},{"dropping-particle":"","family":"Quinney","given":"H. A.","non-dropping-particle":"","parse-names":false,"suffix":""}],"container-title":"The American Journal of Clinical Nutrition","id":"ITEM-1","issue":"6","issued":{"date-parts":[["1988","12","1"]]},"page":"1362-1366","title":"Body fat assessed from body density and estimated from skinfold thickness in normal children and children with cystic fibrosis","type":"article-journal","volume":"48"},"uris":["http://www.mendeley.com/documents/?uuid=e26d75eb-b002-4987-b102-6525db3cab9b"]}],"mendeley":{"formattedCitation":"&lt;sup&gt;(30)&lt;/sup&gt;","plainTextFormattedCitation":"(30)","previouslyFormattedCitation":"&lt;sup&gt;(29)&lt;/sup&gt;"},"properties":{"noteIndex":0},"schema":"https://github.com/citation-style-language/schema/raw/master/csl-citation.json"}</w:instrText>
            </w:r>
            <w:r w:rsidR="00C207F8">
              <w:rPr>
                <w:rFonts w:asciiTheme="minorHAnsi" w:hAnsiTheme="minorHAnsi" w:cstheme="minorHAnsi"/>
              </w:rPr>
              <w:fldChar w:fldCharType="separate"/>
            </w:r>
            <w:r w:rsidR="00B116DF" w:rsidRPr="00B116DF">
              <w:rPr>
                <w:rFonts w:asciiTheme="minorHAnsi" w:hAnsiTheme="minorHAnsi" w:cstheme="minorHAnsi"/>
                <w:noProof/>
                <w:vertAlign w:val="superscript"/>
              </w:rPr>
              <w:t>(30)</w:t>
            </w:r>
            <w:r w:rsidR="00C207F8">
              <w:rPr>
                <w:rFonts w:asciiTheme="minorHAnsi" w:hAnsiTheme="minorHAnsi" w:cstheme="minorHAnsi"/>
              </w:rPr>
              <w:fldChar w:fldCharType="end"/>
            </w:r>
          </w:p>
        </w:tc>
        <w:tc>
          <w:tcPr>
            <w:tcW w:w="298" w:type="pct"/>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Male</w:t>
            </w:r>
          </w:p>
          <w:p w:rsidR="008952E7" w:rsidRPr="00810076" w:rsidRDefault="008952E7" w:rsidP="00292146">
            <w:pPr>
              <w:jc w:val="center"/>
              <w:rPr>
                <w:rFonts w:asciiTheme="minorHAnsi" w:hAnsiTheme="minorHAnsi" w:cstheme="minorHAnsi"/>
              </w:rPr>
            </w:pPr>
            <w:r>
              <w:rPr>
                <w:rFonts w:asciiTheme="minorHAnsi" w:hAnsiTheme="minorHAnsi" w:cstheme="minorHAnsi"/>
              </w:rPr>
              <w:t>(140)</w:t>
            </w:r>
          </w:p>
        </w:tc>
        <w:tc>
          <w:tcPr>
            <w:tcW w:w="377" w:type="pct"/>
            <w:vMerge w:val="restart"/>
            <w:vAlign w:val="center"/>
          </w:tcPr>
          <w:p w:rsidR="00400292" w:rsidRPr="00810076" w:rsidRDefault="00F81041" w:rsidP="00292146">
            <w:pPr>
              <w:jc w:val="center"/>
              <w:rPr>
                <w:rFonts w:asciiTheme="minorHAnsi" w:hAnsiTheme="minorHAnsi" w:cstheme="minorHAnsi"/>
              </w:rPr>
            </w:pPr>
            <w:r>
              <w:rPr>
                <w:rFonts w:asciiTheme="minorHAnsi" w:hAnsiTheme="minorHAnsi" w:cstheme="minorHAnsi"/>
              </w:rPr>
              <w:t>8 to</w:t>
            </w:r>
            <w:r w:rsidR="00400292" w:rsidRPr="00810076">
              <w:rPr>
                <w:rFonts w:asciiTheme="minorHAnsi" w:hAnsiTheme="minorHAnsi" w:cstheme="minorHAnsi"/>
              </w:rPr>
              <w:t>14</w:t>
            </w:r>
          </w:p>
        </w:tc>
        <w:tc>
          <w:tcPr>
            <w:tcW w:w="524" w:type="pct"/>
            <w:vAlign w:val="center"/>
          </w:tcPr>
          <w:p w:rsidR="00400292" w:rsidRPr="00810076" w:rsidRDefault="00400292" w:rsidP="00292146">
            <w:pPr>
              <w:jc w:val="center"/>
              <w:rPr>
                <w:rFonts w:asciiTheme="minorHAnsi" w:hAnsiTheme="minorHAnsi" w:cstheme="minorHAnsi"/>
              </w:rPr>
            </w:pPr>
            <w:r>
              <w:rPr>
                <w:rFonts w:asciiTheme="minorHAnsi" w:hAnsiTheme="minorHAnsi" w:cstheme="minorHAnsi"/>
              </w:rPr>
              <w:t>16.5</w:t>
            </w:r>
            <w:r w:rsidR="009912E7">
              <w:rPr>
                <w:rFonts w:asciiTheme="minorHAnsi" w:hAnsiTheme="minorHAnsi" w:cstheme="minorHAnsi"/>
              </w:rPr>
              <w:t xml:space="preserve"> ±</w:t>
            </w:r>
            <w:r w:rsidR="008952E7">
              <w:rPr>
                <w:rFonts w:asciiTheme="minorHAnsi" w:hAnsiTheme="minorHAnsi" w:cstheme="minorHAnsi"/>
              </w:rPr>
              <w:t xml:space="preserve"> </w:t>
            </w:r>
            <w:r w:rsidR="009912E7">
              <w:rPr>
                <w:rFonts w:asciiTheme="minorHAnsi" w:hAnsiTheme="minorHAnsi" w:cstheme="minorHAnsi"/>
              </w:rPr>
              <w:t>7.9</w:t>
            </w:r>
          </w:p>
        </w:tc>
        <w:tc>
          <w:tcPr>
            <w:tcW w:w="418" w:type="pct"/>
            <w:vMerge w:val="restar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Caucasian</w:t>
            </w:r>
          </w:p>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(Canada)</w:t>
            </w:r>
          </w:p>
        </w:tc>
        <w:tc>
          <w:tcPr>
            <w:tcW w:w="836" w:type="pc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1.166 - 0.070 * log SSF</w:t>
            </w:r>
          </w:p>
        </w:tc>
        <w:tc>
          <w:tcPr>
            <w:tcW w:w="1814" w:type="pct"/>
            <w:vAlign w:val="center"/>
          </w:tcPr>
          <w:p w:rsidR="00400292" w:rsidRPr="00810076" w:rsidRDefault="00400292" w:rsidP="00292146">
            <w:pPr>
              <w:jc w:val="center"/>
              <w:rPr>
                <w:rFonts w:asciiTheme="minorHAnsi" w:hAnsiTheme="minorHAnsi" w:cstheme="minorHAnsi"/>
              </w:rPr>
            </w:pPr>
          </w:p>
        </w:tc>
      </w:tr>
      <w:tr w:rsidR="00F81041" w:rsidRPr="00810076" w:rsidTr="00F81041">
        <w:tc>
          <w:tcPr>
            <w:tcW w:w="733" w:type="pct"/>
            <w:vMerge/>
            <w:vAlign w:val="center"/>
          </w:tcPr>
          <w:p w:rsidR="00400292" w:rsidRPr="00810076" w:rsidRDefault="00400292" w:rsidP="00292146">
            <w:pPr>
              <w:jc w:val="center"/>
              <w:rPr>
                <w:rFonts w:asciiTheme="minorHAnsi" w:hAnsiTheme="minorHAnsi" w:cstheme="minorHAnsi"/>
              </w:rPr>
            </w:pPr>
          </w:p>
        </w:tc>
        <w:tc>
          <w:tcPr>
            <w:tcW w:w="298" w:type="pct"/>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Female</w:t>
            </w:r>
          </w:p>
          <w:p w:rsidR="008952E7" w:rsidRPr="00810076" w:rsidRDefault="008952E7" w:rsidP="00292146">
            <w:pPr>
              <w:jc w:val="center"/>
              <w:rPr>
                <w:rFonts w:asciiTheme="minorHAnsi" w:hAnsiTheme="minorHAnsi" w:cstheme="minorHAnsi"/>
              </w:rPr>
            </w:pPr>
            <w:r>
              <w:rPr>
                <w:rFonts w:asciiTheme="minorHAnsi" w:hAnsiTheme="minorHAnsi" w:cstheme="minorHAnsi"/>
              </w:rPr>
              <w:t>(168)</w:t>
            </w:r>
          </w:p>
        </w:tc>
        <w:tc>
          <w:tcPr>
            <w:tcW w:w="377" w:type="pct"/>
            <w:vMerge/>
            <w:vAlign w:val="center"/>
          </w:tcPr>
          <w:p w:rsidR="00400292" w:rsidRPr="00810076" w:rsidRDefault="00400292" w:rsidP="00292146">
            <w:pPr>
              <w:jc w:val="center"/>
              <w:rPr>
                <w:rFonts w:asciiTheme="minorHAnsi" w:hAnsiTheme="minorHAnsi" w:cstheme="minorHAnsi"/>
              </w:rPr>
            </w:pPr>
          </w:p>
        </w:tc>
        <w:tc>
          <w:tcPr>
            <w:tcW w:w="524" w:type="pct"/>
            <w:vAlign w:val="center"/>
          </w:tcPr>
          <w:p w:rsidR="00400292" w:rsidRPr="00810076" w:rsidRDefault="00400292" w:rsidP="00292146">
            <w:pPr>
              <w:jc w:val="center"/>
              <w:rPr>
                <w:rFonts w:asciiTheme="minorHAnsi" w:hAnsiTheme="minorHAnsi" w:cstheme="minorHAnsi"/>
              </w:rPr>
            </w:pPr>
            <w:r>
              <w:rPr>
                <w:rFonts w:asciiTheme="minorHAnsi" w:hAnsiTheme="minorHAnsi" w:cstheme="minorHAnsi"/>
              </w:rPr>
              <w:t>22.6</w:t>
            </w:r>
            <w:r w:rsidR="009912E7">
              <w:rPr>
                <w:rFonts w:asciiTheme="minorHAnsi" w:hAnsiTheme="minorHAnsi" w:cstheme="minorHAnsi"/>
              </w:rPr>
              <w:t xml:space="preserve"> </w:t>
            </w:r>
            <w:r w:rsidR="009912E7">
              <w:rPr>
                <w:rFonts w:ascii="Calibri" w:hAnsi="Calibri" w:cs="Calibri"/>
              </w:rPr>
              <w:t>±</w:t>
            </w:r>
            <w:r w:rsidR="009912E7">
              <w:rPr>
                <w:rFonts w:asciiTheme="minorHAnsi" w:hAnsiTheme="minorHAnsi" w:cstheme="minorHAnsi"/>
              </w:rPr>
              <w:t xml:space="preserve"> 7.5</w:t>
            </w:r>
          </w:p>
        </w:tc>
        <w:tc>
          <w:tcPr>
            <w:tcW w:w="418" w:type="pct"/>
            <w:vMerge/>
            <w:vAlign w:val="center"/>
          </w:tcPr>
          <w:p w:rsidR="00400292" w:rsidRPr="00810076" w:rsidRDefault="00400292" w:rsidP="00292146">
            <w:pPr>
              <w:jc w:val="center"/>
              <w:rPr>
                <w:rFonts w:asciiTheme="minorHAnsi" w:hAnsiTheme="minorHAnsi" w:cstheme="minorHAnsi"/>
              </w:rPr>
            </w:pPr>
          </w:p>
        </w:tc>
        <w:tc>
          <w:tcPr>
            <w:tcW w:w="836" w:type="pc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1.144 - 0.060 * log SSF</w:t>
            </w:r>
          </w:p>
        </w:tc>
        <w:tc>
          <w:tcPr>
            <w:tcW w:w="1814" w:type="pct"/>
            <w:vAlign w:val="center"/>
          </w:tcPr>
          <w:p w:rsidR="00400292" w:rsidRPr="00810076" w:rsidRDefault="00400292" w:rsidP="00292146">
            <w:pPr>
              <w:jc w:val="center"/>
              <w:rPr>
                <w:rFonts w:asciiTheme="minorHAnsi" w:hAnsiTheme="minorHAnsi" w:cstheme="minorHAnsi"/>
              </w:rPr>
            </w:pPr>
          </w:p>
        </w:tc>
      </w:tr>
      <w:tr w:rsidR="00F81041" w:rsidRPr="00810076" w:rsidTr="00F81041">
        <w:tc>
          <w:tcPr>
            <w:tcW w:w="733" w:type="pct"/>
            <w:vMerge w:val="restart"/>
            <w:vAlign w:val="center"/>
          </w:tcPr>
          <w:p w:rsidR="00A4545A" w:rsidRPr="00810076" w:rsidRDefault="00A4545A" w:rsidP="00B116DF">
            <w:pPr>
              <w:jc w:val="center"/>
              <w:rPr>
                <w:rFonts w:asciiTheme="minorHAnsi" w:hAnsiTheme="minorHAnsi" w:cstheme="minorHAnsi"/>
              </w:rPr>
            </w:pPr>
            <w:r w:rsidRPr="00810076">
              <w:rPr>
                <w:rFonts w:asciiTheme="minorHAnsi" w:hAnsiTheme="minorHAnsi" w:cstheme="minorHAnsi"/>
              </w:rPr>
              <w:t>Wendel et al.</w:t>
            </w:r>
            <w:r>
              <w:rPr>
                <w:rFonts w:asciiTheme="minorHAnsi" w:hAnsiTheme="minorHAnsi" w:cstheme="minorHAnsi"/>
              </w:rPr>
              <w:t xml:space="preserve"> </w:t>
            </w:r>
            <w:r w:rsidR="00C207F8">
              <w:rPr>
                <w:rFonts w:asciiTheme="minorHAnsi" w:hAnsiTheme="minorHAnsi" w:cstheme="minorHAnsi"/>
              </w:rPr>
              <w:fldChar w:fldCharType="begin" w:fldLock="1"/>
            </w:r>
            <w:r w:rsidR="00B116DF">
              <w:rPr>
                <w:rFonts w:asciiTheme="minorHAnsi" w:hAnsiTheme="minorHAnsi" w:cstheme="minorHAnsi"/>
              </w:rPr>
              <w:instrText>ADDIN CSL_CITATION {"citationItems":[{"id":"ITEM-1","itemData":{"DOI":"10.3109/03014460.2016.1168867","ISSN":"0301-4460","author":[{"dropping-particle":"","family":"Wendel","given":"Danielle","non-dropping-particle":"","parse-names":false,"suffix":""},{"dropping-particle":"","family":"Weber","given":"David","non-dropping-particle":"","parse-names":false,"suffix":""},{"dropping-particle":"","family":"Leonard","given":"Mary B","non-dropping-particle":"","parse-names":false,"suffix":""},{"dropping-particle":"","family":"Magge","given":"Sheela N.","non-dropping-particle":"","parse-names":false,"suffix":""},{"dropping-particle":"","family":"Kelly","given":"Andrea","non-dropping-particle":"","parse-names":false,"suffix":""},{"dropping-particle":"","family":"Stallings","given":"Virginia A.","non-dropping-particle":"","parse-names":false,"suffix":""},{"dropping-particle":"","family":"Pipan","given":"Mary","non-dropping-particle":"","parse-names":false,"suffix":""},{"dropping-particle":"","family":"Stettler","given":"Nicolas","non-dropping-particle":"","parse-names":false,"suffix":""},{"dropping-particle":"","family":"Zemel","given":"Babette S.","non-dropping-particle":"","parse-names":false,"suffix":""}],"container-title":"Annals of Human Biology","id":"ITEM-1","issue":"2","issued":{"date-parts":[["2017","2","17"]]},"page":"108-120","title":"Body composition estimation using skinfolds in children with and without health conditions affecting growth and body composition","type":"article-journal","volume":"44"},"uris":["http://www.mendeley.com/documents/?uuid=c1cff532-4c35-47be-ad49-d126c09adb26"]}],"mendeley":{"formattedCitation":"&lt;sup&gt;(27)&lt;/sup&gt;","plainTextFormattedCitation":"(27)","previouslyFormattedCitation":"&lt;sup&gt;(26)&lt;/sup&gt;"},"properties":{"noteIndex":0},"schema":"https://github.com/citation-style-language/schema/raw/master/csl-citation.json"}</w:instrText>
            </w:r>
            <w:r w:rsidR="00C207F8">
              <w:rPr>
                <w:rFonts w:asciiTheme="minorHAnsi" w:hAnsiTheme="minorHAnsi" w:cstheme="minorHAnsi"/>
              </w:rPr>
              <w:fldChar w:fldCharType="separate"/>
            </w:r>
            <w:r w:rsidR="00B116DF" w:rsidRPr="00B116DF">
              <w:rPr>
                <w:rFonts w:asciiTheme="minorHAnsi" w:hAnsiTheme="minorHAnsi" w:cstheme="minorHAnsi"/>
                <w:noProof/>
                <w:vertAlign w:val="superscript"/>
              </w:rPr>
              <w:t>(27)</w:t>
            </w:r>
            <w:r w:rsidR="00C207F8">
              <w:rPr>
                <w:rFonts w:asciiTheme="minorHAnsi" w:hAnsiTheme="minorHAnsi" w:cstheme="minorHAnsi"/>
              </w:rPr>
              <w:fldChar w:fldCharType="end"/>
            </w:r>
          </w:p>
        </w:tc>
        <w:tc>
          <w:tcPr>
            <w:tcW w:w="298" w:type="pct"/>
            <w:vAlign w:val="center"/>
          </w:tcPr>
          <w:p w:rsidR="00A4545A" w:rsidRDefault="00A4545A" w:rsidP="00292146">
            <w:pPr>
              <w:jc w:val="center"/>
              <w:rPr>
                <w:rFonts w:asciiTheme="minorHAnsi" w:hAnsiTheme="minorHAnsi" w:cstheme="minorHAnsi"/>
              </w:rPr>
            </w:pPr>
            <w:r w:rsidRPr="00810076">
              <w:rPr>
                <w:rFonts w:asciiTheme="minorHAnsi" w:hAnsiTheme="minorHAnsi" w:cstheme="minorHAnsi"/>
              </w:rPr>
              <w:t>Male</w:t>
            </w:r>
          </w:p>
          <w:p w:rsidR="001C42D2" w:rsidRPr="00810076" w:rsidRDefault="001C42D2" w:rsidP="00292146">
            <w:pPr>
              <w:jc w:val="center"/>
              <w:rPr>
                <w:rFonts w:asciiTheme="minorHAnsi" w:hAnsiTheme="minorHAnsi" w:cstheme="minorHAnsi"/>
              </w:rPr>
            </w:pPr>
            <w:r>
              <w:rPr>
                <w:rFonts w:asciiTheme="minorHAnsi" w:hAnsiTheme="minorHAnsi" w:cstheme="minorHAnsi"/>
              </w:rPr>
              <w:t>(401)</w:t>
            </w:r>
          </w:p>
        </w:tc>
        <w:tc>
          <w:tcPr>
            <w:tcW w:w="377" w:type="pct"/>
            <w:vMerge w:val="restart"/>
            <w:vAlign w:val="center"/>
          </w:tcPr>
          <w:p w:rsidR="00A4545A" w:rsidRPr="00810076" w:rsidRDefault="001C42D2" w:rsidP="00292146">
            <w:pPr>
              <w:jc w:val="center"/>
              <w:rPr>
                <w:rFonts w:asciiTheme="minorHAnsi" w:hAnsiTheme="minorHAnsi" w:cstheme="minorHAnsi"/>
              </w:rPr>
            </w:pPr>
            <w:r>
              <w:rPr>
                <w:rFonts w:asciiTheme="minorHAnsi" w:hAnsiTheme="minorHAnsi" w:cstheme="minorHAnsi"/>
              </w:rPr>
              <w:t>8.2 to 14.2</w:t>
            </w:r>
          </w:p>
        </w:tc>
        <w:tc>
          <w:tcPr>
            <w:tcW w:w="524" w:type="pct"/>
            <w:vMerge w:val="restart"/>
            <w:vAlign w:val="center"/>
          </w:tcPr>
          <w:p w:rsidR="00A4545A" w:rsidRDefault="00A4545A" w:rsidP="00292146">
            <w:pPr>
              <w:jc w:val="center"/>
              <w:rPr>
                <w:rFonts w:asciiTheme="minorHAnsi" w:hAnsiTheme="minorHAnsi" w:cstheme="minorHAnsi"/>
              </w:rPr>
            </w:pPr>
            <w:r>
              <w:rPr>
                <w:rFonts w:asciiTheme="minorHAnsi" w:hAnsiTheme="minorHAnsi" w:cstheme="minorHAnsi"/>
              </w:rPr>
              <w:t>26.8</w:t>
            </w:r>
          </w:p>
          <w:p w:rsidR="00A4545A" w:rsidRPr="00810076" w:rsidRDefault="00A4545A" w:rsidP="00292146">
            <w:pPr>
              <w:jc w:val="center"/>
              <w:rPr>
                <w:rFonts w:asciiTheme="minorHAnsi" w:hAnsiTheme="minorHAnsi" w:cstheme="minorHAnsi"/>
              </w:rPr>
            </w:pPr>
            <w:r>
              <w:rPr>
                <w:rFonts w:asciiTheme="minorHAnsi" w:hAnsiTheme="minorHAnsi" w:cstheme="minorHAnsi"/>
              </w:rPr>
              <w:t xml:space="preserve">(22 </w:t>
            </w:r>
            <w:r w:rsidR="008952E7">
              <w:rPr>
                <w:rFonts w:asciiTheme="minorHAnsi" w:hAnsiTheme="minorHAnsi" w:cstheme="minorHAnsi"/>
              </w:rPr>
              <w:t xml:space="preserve">to </w:t>
            </w:r>
            <w:r>
              <w:rPr>
                <w:rFonts w:asciiTheme="minorHAnsi" w:hAnsiTheme="minorHAnsi" w:cstheme="minorHAnsi"/>
              </w:rPr>
              <w:t>31.9)</w:t>
            </w:r>
          </w:p>
        </w:tc>
        <w:tc>
          <w:tcPr>
            <w:tcW w:w="418" w:type="pct"/>
            <w:vMerge w:val="restart"/>
            <w:vAlign w:val="center"/>
          </w:tcPr>
          <w:p w:rsidR="00A4545A" w:rsidRPr="00810076" w:rsidRDefault="00A4545A" w:rsidP="00292146">
            <w:pPr>
              <w:jc w:val="center"/>
              <w:rPr>
                <w:rFonts w:asciiTheme="minorHAnsi" w:hAnsiTheme="minorHAnsi" w:cstheme="minorHAnsi"/>
              </w:rPr>
            </w:pPr>
            <w:r w:rsidRPr="00810076">
              <w:rPr>
                <w:rFonts w:asciiTheme="minorHAnsi" w:hAnsiTheme="minorHAnsi" w:cstheme="minorHAnsi"/>
              </w:rPr>
              <w:t>Mixed (</w:t>
            </w:r>
            <w:r>
              <w:rPr>
                <w:rFonts w:asciiTheme="minorHAnsi" w:hAnsiTheme="minorHAnsi" w:cstheme="minorHAnsi"/>
              </w:rPr>
              <w:t>N</w:t>
            </w:r>
            <w:r w:rsidRPr="00810076">
              <w:rPr>
                <w:rFonts w:asciiTheme="minorHAnsi" w:hAnsiTheme="minorHAnsi" w:cstheme="minorHAnsi"/>
              </w:rPr>
              <w:t>on-African)</w:t>
            </w:r>
          </w:p>
          <w:p w:rsidR="00A4545A" w:rsidRPr="00810076" w:rsidRDefault="00A4545A" w:rsidP="00292146">
            <w:pPr>
              <w:jc w:val="center"/>
              <w:rPr>
                <w:rFonts w:asciiTheme="minorHAnsi" w:hAnsiTheme="minorHAnsi" w:cstheme="minorHAnsi"/>
              </w:rPr>
            </w:pPr>
            <w:r w:rsidRPr="00810076">
              <w:rPr>
                <w:rFonts w:asciiTheme="minorHAnsi" w:hAnsiTheme="minorHAnsi" w:cstheme="minorHAnsi"/>
              </w:rPr>
              <w:t>(USA)</w:t>
            </w:r>
          </w:p>
        </w:tc>
        <w:tc>
          <w:tcPr>
            <w:tcW w:w="836" w:type="pct"/>
            <w:vAlign w:val="center"/>
          </w:tcPr>
          <w:p w:rsidR="00A4545A" w:rsidRPr="00810076" w:rsidRDefault="00A4545A" w:rsidP="00292146">
            <w:pPr>
              <w:jc w:val="center"/>
              <w:rPr>
                <w:rFonts w:asciiTheme="minorHAnsi" w:hAnsiTheme="minorHAnsi" w:cstheme="minorHAnsi"/>
              </w:rPr>
            </w:pPr>
          </w:p>
        </w:tc>
        <w:tc>
          <w:tcPr>
            <w:tcW w:w="1814" w:type="pct"/>
            <w:vAlign w:val="center"/>
          </w:tcPr>
          <w:p w:rsidR="00A4545A" w:rsidRPr="00810076" w:rsidRDefault="00A4545A" w:rsidP="00292146">
            <w:pPr>
              <w:jc w:val="center"/>
              <w:rPr>
                <w:rFonts w:asciiTheme="minorHAnsi" w:hAnsiTheme="minorHAnsi" w:cstheme="minorHAnsi"/>
              </w:rPr>
            </w:pPr>
            <w:r w:rsidRPr="00810076">
              <w:rPr>
                <w:rFonts w:asciiTheme="minorHAnsi" w:hAnsiTheme="minorHAnsi" w:cstheme="minorHAnsi"/>
              </w:rPr>
              <w:t xml:space="preserve">12.74 * log SSF − 21.47 * </w:t>
            </w:r>
            <w:r>
              <w:rPr>
                <w:rFonts w:asciiTheme="minorHAnsi" w:hAnsiTheme="minorHAnsi" w:cstheme="minorHAnsi"/>
              </w:rPr>
              <w:t>l</w:t>
            </w:r>
            <w:r w:rsidRPr="00810076">
              <w:rPr>
                <w:rFonts w:asciiTheme="minorHAnsi" w:hAnsiTheme="minorHAnsi" w:cstheme="minorHAnsi"/>
              </w:rPr>
              <w:t>n Height + 87.82</w:t>
            </w:r>
          </w:p>
        </w:tc>
      </w:tr>
      <w:tr w:rsidR="00F81041" w:rsidRPr="00810076" w:rsidTr="00F81041">
        <w:tc>
          <w:tcPr>
            <w:tcW w:w="733" w:type="pct"/>
            <w:vMerge/>
            <w:vAlign w:val="center"/>
          </w:tcPr>
          <w:p w:rsidR="00A4545A" w:rsidRPr="00810076" w:rsidRDefault="00A4545A" w:rsidP="00292146">
            <w:pPr>
              <w:jc w:val="center"/>
              <w:rPr>
                <w:rFonts w:asciiTheme="minorHAnsi" w:hAnsiTheme="minorHAnsi" w:cstheme="minorHAnsi"/>
              </w:rPr>
            </w:pPr>
          </w:p>
        </w:tc>
        <w:tc>
          <w:tcPr>
            <w:tcW w:w="298" w:type="pct"/>
            <w:vAlign w:val="center"/>
          </w:tcPr>
          <w:p w:rsidR="00A4545A" w:rsidRDefault="00A4545A" w:rsidP="00292146">
            <w:pPr>
              <w:jc w:val="center"/>
              <w:rPr>
                <w:rFonts w:asciiTheme="minorHAnsi" w:hAnsiTheme="minorHAnsi" w:cstheme="minorHAnsi"/>
              </w:rPr>
            </w:pPr>
            <w:r w:rsidRPr="00810076">
              <w:rPr>
                <w:rFonts w:asciiTheme="minorHAnsi" w:hAnsiTheme="minorHAnsi" w:cstheme="minorHAnsi"/>
              </w:rPr>
              <w:t>Female</w:t>
            </w:r>
          </w:p>
          <w:p w:rsidR="001C42D2" w:rsidRPr="00810076" w:rsidRDefault="001C42D2" w:rsidP="00292146">
            <w:pPr>
              <w:jc w:val="center"/>
              <w:rPr>
                <w:rFonts w:asciiTheme="minorHAnsi" w:hAnsiTheme="minorHAnsi" w:cstheme="minorHAnsi"/>
              </w:rPr>
            </w:pPr>
            <w:r>
              <w:rPr>
                <w:rFonts w:asciiTheme="minorHAnsi" w:hAnsiTheme="minorHAnsi" w:cstheme="minorHAnsi"/>
              </w:rPr>
              <w:t>(434)</w:t>
            </w:r>
          </w:p>
        </w:tc>
        <w:tc>
          <w:tcPr>
            <w:tcW w:w="377" w:type="pct"/>
            <w:vMerge/>
            <w:vAlign w:val="center"/>
          </w:tcPr>
          <w:p w:rsidR="00A4545A" w:rsidRPr="00810076" w:rsidRDefault="00A4545A" w:rsidP="00292146">
            <w:pPr>
              <w:jc w:val="center"/>
              <w:rPr>
                <w:rFonts w:asciiTheme="minorHAnsi" w:hAnsiTheme="minorHAnsi" w:cstheme="minorHAnsi"/>
              </w:rPr>
            </w:pPr>
          </w:p>
        </w:tc>
        <w:tc>
          <w:tcPr>
            <w:tcW w:w="524" w:type="pct"/>
            <w:vMerge/>
            <w:vAlign w:val="center"/>
          </w:tcPr>
          <w:p w:rsidR="00A4545A" w:rsidRPr="00810076" w:rsidRDefault="00A4545A" w:rsidP="00292146">
            <w:pPr>
              <w:jc w:val="center"/>
              <w:rPr>
                <w:rFonts w:asciiTheme="minorHAnsi" w:hAnsiTheme="minorHAnsi" w:cstheme="minorHAnsi"/>
              </w:rPr>
            </w:pPr>
          </w:p>
        </w:tc>
        <w:tc>
          <w:tcPr>
            <w:tcW w:w="418" w:type="pct"/>
            <w:vMerge/>
            <w:vAlign w:val="center"/>
          </w:tcPr>
          <w:p w:rsidR="00A4545A" w:rsidRPr="00810076" w:rsidRDefault="00A4545A" w:rsidP="00292146">
            <w:pPr>
              <w:jc w:val="center"/>
              <w:rPr>
                <w:rFonts w:asciiTheme="minorHAnsi" w:hAnsiTheme="minorHAnsi" w:cstheme="minorHAnsi"/>
              </w:rPr>
            </w:pPr>
          </w:p>
        </w:tc>
        <w:tc>
          <w:tcPr>
            <w:tcW w:w="836" w:type="pct"/>
            <w:vAlign w:val="center"/>
          </w:tcPr>
          <w:p w:rsidR="00A4545A" w:rsidRPr="00810076" w:rsidRDefault="00A4545A" w:rsidP="00292146">
            <w:pPr>
              <w:jc w:val="center"/>
              <w:rPr>
                <w:rFonts w:asciiTheme="minorHAnsi" w:hAnsiTheme="minorHAnsi" w:cstheme="minorHAnsi"/>
              </w:rPr>
            </w:pPr>
          </w:p>
        </w:tc>
        <w:tc>
          <w:tcPr>
            <w:tcW w:w="1814" w:type="pct"/>
            <w:vAlign w:val="center"/>
          </w:tcPr>
          <w:p w:rsidR="00A4545A" w:rsidRPr="00810076" w:rsidRDefault="00A4545A" w:rsidP="00292146">
            <w:pPr>
              <w:jc w:val="center"/>
              <w:rPr>
                <w:rFonts w:asciiTheme="minorHAnsi" w:hAnsiTheme="minorHAnsi" w:cstheme="minorHAnsi"/>
              </w:rPr>
            </w:pPr>
            <w:r w:rsidRPr="00810076">
              <w:rPr>
                <w:rFonts w:asciiTheme="minorHAnsi" w:hAnsiTheme="minorHAnsi" w:cstheme="minorHAnsi"/>
              </w:rPr>
              <w:t xml:space="preserve">13.99 * log SSF − 21.42 * </w:t>
            </w:r>
            <w:r>
              <w:rPr>
                <w:rFonts w:asciiTheme="minorHAnsi" w:hAnsiTheme="minorHAnsi" w:cstheme="minorHAnsi"/>
              </w:rPr>
              <w:t>l</w:t>
            </w:r>
            <w:r w:rsidRPr="00810076">
              <w:rPr>
                <w:rFonts w:asciiTheme="minorHAnsi" w:hAnsiTheme="minorHAnsi" w:cstheme="minorHAnsi"/>
              </w:rPr>
              <w:t>n Height + 85.65</w:t>
            </w:r>
          </w:p>
        </w:tc>
      </w:tr>
      <w:tr w:rsidR="00F81041" w:rsidRPr="00810076" w:rsidTr="00F81041">
        <w:tc>
          <w:tcPr>
            <w:tcW w:w="733" w:type="pct"/>
            <w:vMerge w:val="restart"/>
            <w:vAlign w:val="center"/>
          </w:tcPr>
          <w:p w:rsidR="00400292" w:rsidRPr="00810076" w:rsidRDefault="00400292" w:rsidP="00B116DF">
            <w:pPr>
              <w:jc w:val="center"/>
              <w:rPr>
                <w:rFonts w:asciiTheme="minorHAnsi" w:hAnsiTheme="minorHAnsi" w:cstheme="minorHAnsi"/>
              </w:rPr>
            </w:pPr>
            <w:r w:rsidRPr="00810076">
              <w:rPr>
                <w:rFonts w:asciiTheme="minorHAnsi" w:hAnsiTheme="minorHAnsi" w:cstheme="minorHAnsi"/>
              </w:rPr>
              <w:t>Brook</w:t>
            </w:r>
            <w:r w:rsidR="00C207F8">
              <w:rPr>
                <w:rFonts w:asciiTheme="minorHAnsi" w:hAnsiTheme="minorHAnsi" w:cstheme="minorHAnsi"/>
              </w:rPr>
              <w:fldChar w:fldCharType="begin" w:fldLock="1"/>
            </w:r>
            <w:r w:rsidR="00B116DF">
              <w:rPr>
                <w:rFonts w:asciiTheme="minorHAnsi" w:hAnsiTheme="minorHAnsi" w:cstheme="minorHAnsi"/>
              </w:rPr>
              <w:instrText>ADDIN CSL_CITATION {"citationItems":[{"id":"ITEM-1","itemData":{"DOI":"10.1136/adc.46.246.182","ISSN":"0003-9888","PMID":"5576028","abstract":"Brook, C. G. D. (1971). Archives of Disease in Childhood, 46,182. Determination of body composition of children from skinfold measurements. Total body water was measured in 23 children aged 1 to 11 years and correlated with estimates of lean body mass derived from measurements of skinfold thickness. The correlation coefficient was 0-98. Skinfold thickness can, therefore, be used to estimate lean body mass, and thus total body fat, in young children for whom other techniques for the measurement of body composition cannot easily be used.","author":[{"dropping-particle":"","family":"Brook","given":"C. G. D.","non-dropping-particle":"","parse-names":false,"suffix":""}],"container-title":"Archives of Disease in Childhood","id":"ITEM-1","issue":"246","issued":{"date-parts":[["1971","4","1"]]},"page":"182-184","title":"Determination of Body Composition of Children from Skinfold Measurements","type":"article-journal","volume":"46"},"uris":["http://www.mendeley.com/documents/?uuid=edd22249-e292-4337-908f-ddc400710ec1"]}],"mendeley":{"formattedCitation":"&lt;sup&gt;(31)&lt;/sup&gt;","plainTextFormattedCitation":"(31)","previouslyFormattedCitation":"&lt;sup&gt;(30)&lt;/sup&gt;"},"properties":{"noteIndex":0},"schema":"https://github.com/citation-style-language/schema/raw/master/csl-citation.json"}</w:instrText>
            </w:r>
            <w:r w:rsidR="00C207F8">
              <w:rPr>
                <w:rFonts w:asciiTheme="minorHAnsi" w:hAnsiTheme="minorHAnsi" w:cstheme="minorHAnsi"/>
              </w:rPr>
              <w:fldChar w:fldCharType="separate"/>
            </w:r>
            <w:r w:rsidR="00B116DF" w:rsidRPr="00B116DF">
              <w:rPr>
                <w:rFonts w:asciiTheme="minorHAnsi" w:hAnsiTheme="minorHAnsi" w:cstheme="minorHAnsi"/>
                <w:noProof/>
                <w:vertAlign w:val="superscript"/>
              </w:rPr>
              <w:t>(31)</w:t>
            </w:r>
            <w:r w:rsidR="00C207F8">
              <w:rPr>
                <w:rFonts w:asciiTheme="minorHAnsi" w:hAnsiTheme="minorHAnsi" w:cstheme="minorHAnsi"/>
              </w:rPr>
              <w:fldChar w:fldCharType="end"/>
            </w:r>
          </w:p>
        </w:tc>
        <w:tc>
          <w:tcPr>
            <w:tcW w:w="298" w:type="pct"/>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Male</w:t>
            </w:r>
          </w:p>
          <w:p w:rsidR="008952E7" w:rsidRPr="00810076" w:rsidRDefault="008952E7" w:rsidP="00292146">
            <w:pPr>
              <w:jc w:val="center"/>
              <w:rPr>
                <w:rFonts w:asciiTheme="minorHAnsi" w:hAnsiTheme="minorHAnsi" w:cstheme="minorHAnsi"/>
              </w:rPr>
            </w:pPr>
            <w:r>
              <w:rPr>
                <w:rFonts w:asciiTheme="minorHAnsi" w:hAnsiTheme="minorHAnsi" w:cstheme="minorHAnsi"/>
              </w:rPr>
              <w:t>(12)</w:t>
            </w:r>
          </w:p>
        </w:tc>
        <w:tc>
          <w:tcPr>
            <w:tcW w:w="377" w:type="pct"/>
            <w:vMerge w:val="restart"/>
            <w:vAlign w:val="center"/>
          </w:tcPr>
          <w:p w:rsidR="00400292" w:rsidRPr="00810076" w:rsidRDefault="00F81041" w:rsidP="00292146">
            <w:pPr>
              <w:jc w:val="center"/>
              <w:rPr>
                <w:rFonts w:asciiTheme="minorHAnsi" w:hAnsiTheme="minorHAnsi" w:cstheme="minorHAnsi"/>
              </w:rPr>
            </w:pPr>
            <w:r>
              <w:rPr>
                <w:rFonts w:asciiTheme="minorHAnsi" w:hAnsiTheme="minorHAnsi" w:cstheme="minorHAnsi"/>
              </w:rPr>
              <w:t>1 to</w:t>
            </w:r>
            <w:r w:rsidR="00400292">
              <w:rPr>
                <w:rFonts w:asciiTheme="minorHAnsi" w:hAnsiTheme="minorHAnsi" w:cstheme="minorHAnsi"/>
              </w:rPr>
              <w:t>11</w:t>
            </w:r>
          </w:p>
        </w:tc>
        <w:tc>
          <w:tcPr>
            <w:tcW w:w="524" w:type="pct"/>
            <w:vAlign w:val="center"/>
          </w:tcPr>
          <w:p w:rsidR="00400292" w:rsidRDefault="009912E7" w:rsidP="00292146">
            <w:pPr>
              <w:jc w:val="center"/>
              <w:rPr>
                <w:rFonts w:asciiTheme="minorHAnsi" w:hAnsiTheme="minorHAnsi" w:cstheme="minorHAnsi"/>
              </w:rPr>
            </w:pPr>
            <w:r>
              <w:rPr>
                <w:rFonts w:asciiTheme="minorHAnsi" w:hAnsiTheme="minorHAnsi" w:cstheme="minorHAnsi"/>
              </w:rPr>
              <w:t>23.7</w:t>
            </w:r>
          </w:p>
          <w:p w:rsidR="009912E7" w:rsidRPr="00810076" w:rsidRDefault="009912E7" w:rsidP="00292146">
            <w:pPr>
              <w:jc w:val="center"/>
              <w:rPr>
                <w:rFonts w:asciiTheme="minorHAnsi" w:hAnsiTheme="minorHAnsi" w:cstheme="minorHAnsi"/>
              </w:rPr>
            </w:pPr>
            <w:r>
              <w:rPr>
                <w:rFonts w:asciiTheme="minorHAnsi" w:hAnsiTheme="minorHAnsi" w:cstheme="minorHAnsi"/>
              </w:rPr>
              <w:t>(13.8 to 36.5)</w:t>
            </w:r>
          </w:p>
        </w:tc>
        <w:tc>
          <w:tcPr>
            <w:tcW w:w="418" w:type="pct"/>
            <w:vMerge w:val="restar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Caucasian</w:t>
            </w:r>
          </w:p>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(UK)</w:t>
            </w:r>
          </w:p>
        </w:tc>
        <w:tc>
          <w:tcPr>
            <w:tcW w:w="836" w:type="pc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1.1690 - 0.0788 * log SSF</w:t>
            </w:r>
          </w:p>
        </w:tc>
        <w:tc>
          <w:tcPr>
            <w:tcW w:w="1814" w:type="pct"/>
            <w:vAlign w:val="center"/>
          </w:tcPr>
          <w:p w:rsidR="00400292" w:rsidRPr="00810076" w:rsidRDefault="00400292" w:rsidP="00292146">
            <w:pPr>
              <w:jc w:val="center"/>
              <w:rPr>
                <w:rFonts w:asciiTheme="minorHAnsi" w:hAnsiTheme="minorHAnsi" w:cstheme="minorHAnsi"/>
              </w:rPr>
            </w:pPr>
          </w:p>
        </w:tc>
      </w:tr>
      <w:tr w:rsidR="00F81041" w:rsidRPr="00810076" w:rsidTr="00F81041">
        <w:tc>
          <w:tcPr>
            <w:tcW w:w="733" w:type="pct"/>
            <w:vMerge/>
            <w:vAlign w:val="center"/>
          </w:tcPr>
          <w:p w:rsidR="00400292" w:rsidRPr="00810076" w:rsidRDefault="00400292" w:rsidP="00292146">
            <w:pPr>
              <w:jc w:val="center"/>
              <w:rPr>
                <w:rFonts w:asciiTheme="minorHAnsi" w:hAnsiTheme="minorHAnsi" w:cstheme="minorHAnsi"/>
              </w:rPr>
            </w:pPr>
          </w:p>
        </w:tc>
        <w:tc>
          <w:tcPr>
            <w:tcW w:w="298" w:type="pct"/>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Female</w:t>
            </w:r>
          </w:p>
          <w:p w:rsidR="008952E7" w:rsidRPr="00810076" w:rsidRDefault="008952E7" w:rsidP="00292146">
            <w:pPr>
              <w:jc w:val="center"/>
              <w:rPr>
                <w:rFonts w:asciiTheme="minorHAnsi" w:hAnsiTheme="minorHAnsi" w:cstheme="minorHAnsi"/>
              </w:rPr>
            </w:pPr>
            <w:r>
              <w:rPr>
                <w:rFonts w:asciiTheme="minorHAnsi" w:hAnsiTheme="minorHAnsi" w:cstheme="minorHAnsi"/>
              </w:rPr>
              <w:t>(11)</w:t>
            </w:r>
          </w:p>
        </w:tc>
        <w:tc>
          <w:tcPr>
            <w:tcW w:w="377" w:type="pct"/>
            <w:vMerge/>
            <w:vAlign w:val="center"/>
          </w:tcPr>
          <w:p w:rsidR="00400292" w:rsidRPr="00810076" w:rsidRDefault="00400292" w:rsidP="00292146">
            <w:pPr>
              <w:jc w:val="center"/>
              <w:rPr>
                <w:rFonts w:asciiTheme="minorHAnsi" w:hAnsiTheme="minorHAnsi" w:cstheme="minorHAnsi"/>
              </w:rPr>
            </w:pPr>
          </w:p>
        </w:tc>
        <w:tc>
          <w:tcPr>
            <w:tcW w:w="524" w:type="pct"/>
            <w:vAlign w:val="center"/>
          </w:tcPr>
          <w:p w:rsidR="00A4545A" w:rsidRDefault="00A4545A" w:rsidP="00292146">
            <w:pPr>
              <w:jc w:val="center"/>
              <w:rPr>
                <w:rFonts w:asciiTheme="minorHAnsi" w:hAnsiTheme="minorHAnsi" w:cstheme="minorHAnsi"/>
              </w:rPr>
            </w:pPr>
            <w:r>
              <w:rPr>
                <w:rFonts w:asciiTheme="minorHAnsi" w:hAnsiTheme="minorHAnsi" w:cstheme="minorHAnsi"/>
              </w:rPr>
              <w:t>33.1</w:t>
            </w:r>
          </w:p>
          <w:p w:rsidR="00400292" w:rsidRPr="00810076" w:rsidRDefault="00A4545A" w:rsidP="00292146">
            <w:pPr>
              <w:jc w:val="center"/>
              <w:rPr>
                <w:rFonts w:asciiTheme="minorHAnsi" w:hAnsiTheme="minorHAnsi" w:cstheme="minorHAnsi"/>
              </w:rPr>
            </w:pPr>
            <w:r>
              <w:rPr>
                <w:rFonts w:asciiTheme="minorHAnsi" w:hAnsiTheme="minorHAnsi" w:cstheme="minorHAnsi"/>
              </w:rPr>
              <w:t>(</w:t>
            </w:r>
            <w:r w:rsidR="009912E7">
              <w:rPr>
                <w:rFonts w:asciiTheme="minorHAnsi" w:hAnsiTheme="minorHAnsi" w:cstheme="minorHAnsi"/>
              </w:rPr>
              <w:t>23.5</w:t>
            </w:r>
            <w:r>
              <w:rPr>
                <w:rFonts w:asciiTheme="minorHAnsi" w:hAnsiTheme="minorHAnsi" w:cstheme="minorHAnsi"/>
              </w:rPr>
              <w:t xml:space="preserve"> to 38.0)</w:t>
            </w:r>
          </w:p>
        </w:tc>
        <w:tc>
          <w:tcPr>
            <w:tcW w:w="418" w:type="pct"/>
            <w:vMerge/>
            <w:vAlign w:val="center"/>
          </w:tcPr>
          <w:p w:rsidR="00400292" w:rsidRPr="00810076" w:rsidRDefault="00400292" w:rsidP="00292146">
            <w:pPr>
              <w:jc w:val="center"/>
              <w:rPr>
                <w:rFonts w:asciiTheme="minorHAnsi" w:hAnsiTheme="minorHAnsi" w:cstheme="minorHAnsi"/>
              </w:rPr>
            </w:pPr>
          </w:p>
        </w:tc>
        <w:tc>
          <w:tcPr>
            <w:tcW w:w="836" w:type="pc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1.2063 - 0.0630 * log SSF</w:t>
            </w:r>
          </w:p>
        </w:tc>
        <w:tc>
          <w:tcPr>
            <w:tcW w:w="1814" w:type="pct"/>
            <w:vAlign w:val="center"/>
          </w:tcPr>
          <w:p w:rsidR="00400292" w:rsidRPr="00810076" w:rsidRDefault="00400292" w:rsidP="00292146">
            <w:pPr>
              <w:jc w:val="center"/>
              <w:rPr>
                <w:rFonts w:asciiTheme="minorHAnsi" w:hAnsiTheme="minorHAnsi" w:cstheme="minorHAnsi"/>
              </w:rPr>
            </w:pPr>
          </w:p>
        </w:tc>
      </w:tr>
      <w:tr w:rsidR="00F81041" w:rsidRPr="00810076" w:rsidTr="00F81041">
        <w:tc>
          <w:tcPr>
            <w:tcW w:w="733" w:type="pct"/>
            <w:vMerge w:val="restart"/>
            <w:vAlign w:val="center"/>
          </w:tcPr>
          <w:p w:rsidR="00400292" w:rsidRPr="00810076" w:rsidRDefault="00400292" w:rsidP="00B116DF">
            <w:pPr>
              <w:jc w:val="center"/>
              <w:rPr>
                <w:rFonts w:asciiTheme="minorHAnsi" w:hAnsiTheme="minorHAnsi" w:cstheme="minorHAnsi"/>
              </w:rPr>
            </w:pPr>
            <w:r w:rsidRPr="00810076">
              <w:rPr>
                <w:rFonts w:asciiTheme="minorHAnsi" w:hAnsiTheme="minorHAnsi" w:cstheme="minorHAnsi"/>
              </w:rPr>
              <w:t>Deurenberg et al</w:t>
            </w:r>
            <w:r>
              <w:rPr>
                <w:rFonts w:asciiTheme="minorHAnsi" w:hAnsiTheme="minorHAnsi" w:cstheme="minorHAnsi"/>
              </w:rPr>
              <w:t xml:space="preserve">. </w:t>
            </w:r>
            <w:r w:rsidR="00C207F8">
              <w:rPr>
                <w:rFonts w:asciiTheme="minorHAnsi" w:hAnsiTheme="minorHAnsi" w:cstheme="minorHAnsi"/>
              </w:rPr>
              <w:fldChar w:fldCharType="begin" w:fldLock="1"/>
            </w:r>
            <w:r w:rsidR="00B116DF">
              <w:rPr>
                <w:rFonts w:asciiTheme="minorHAnsi" w:hAnsiTheme="minorHAnsi" w:cstheme="minorHAnsi"/>
              </w:rPr>
              <w:instrText>ADDIN CSL_CITATION {"citationItems":[{"id":"ITEM-1","itemData":{"DOI":"10.1079/bjn19900116","ISSN":"0007-1145","PMID":"2334665","abstract":"The relationship of skinfold thicknesses to body density and of skinfold thicknesses to densitometrically determined body fat was evaluated in a group of 378 boys and girls, aged 7–20 years. According to their maturation level, they were divided into a prepubertal, a pubertal and a post-pubertal group. In each maturation group boys were older, had higher body-weights and body heights, higher body densities, lower percentage body fat, higher waist:hips ratios and higher trunk:total skinfolds ratios than girls. Body density in each maturation level could be quite precisely predicted by skinfold thicknesses. In prepubertal and pubertal boys and girls but not in post-pubertal boys and girls, age was also an important predicting variable for body density. The assessment of percentage body fat from skinfold thicknesses had a prediction error of 3–5 %, which was highest in the prepubertal children. The prediction error is comparable to the prediction error of percentage body fat from skinfold thicknesses in adults, as reported in the literature. Only in post-pubertal boys and girls was the waist:hip ratio correlated with measures of body fatness. Moreover, only in the post-pubertal boys and in the pubertal and post-pubertal girls was the waist:hips ratio correlated with another measure of body fat distribution, the trunk:total skinfold ratio. The relative amount of internal body fat was found to be higher in the younger maturation groups. It is concluded that at younger ages the waist:hips ratio is a poor indicator of body fat distribution.","author":[{"dropping-particle":"","family":"Deurenberg","given":"Paul","non-dropping-particle":"","parse-names":false,"suffix":""},{"dropping-particle":"","family":"Pieters","given":"John J. L.","non-dropping-particle":"","parse-names":false,"suffix":""},{"dropping-particle":"","family":"Hautvast","given":"Joseph G. A. J.","non-dropping-particle":"","parse-names":false,"suffix":""}],"container-title":"British Journal of Nutrition","id":"ITEM-1","issue":"2","issued":{"date-parts":[["1990"]]},"page":"293-303","title":"The assessment of the body fat percentage by skinfold thickness measurements in childhood and young adolescence","type":"article-journal","volume":"63"},"uris":["http://www.mendeley.com/documents/?uuid=69a3c14a-0496-493d-9162-18b93a70426b"]}],"mendeley":{"formattedCitation":"&lt;sup&gt;(29)&lt;/sup&gt;","plainTextFormattedCitation":"(29)","previouslyFormattedCitation":"&lt;sup&gt;(28)&lt;/sup&gt;"},"properties":{"noteIndex":0},"schema":"https://github.com/citation-style-language/schema/raw/master/csl-citation.json"}</w:instrText>
            </w:r>
            <w:r w:rsidR="00C207F8">
              <w:rPr>
                <w:rFonts w:asciiTheme="minorHAnsi" w:hAnsiTheme="minorHAnsi" w:cstheme="minorHAnsi"/>
              </w:rPr>
              <w:fldChar w:fldCharType="separate"/>
            </w:r>
            <w:r w:rsidR="00B116DF" w:rsidRPr="00B116DF">
              <w:rPr>
                <w:rFonts w:asciiTheme="minorHAnsi" w:hAnsiTheme="minorHAnsi" w:cstheme="minorHAnsi"/>
                <w:noProof/>
                <w:vertAlign w:val="superscript"/>
              </w:rPr>
              <w:t>(29)</w:t>
            </w:r>
            <w:r w:rsidR="00C207F8">
              <w:rPr>
                <w:rFonts w:asciiTheme="minorHAnsi" w:hAnsiTheme="minorHAnsi" w:cstheme="minorHAnsi"/>
              </w:rPr>
              <w:fldChar w:fldCharType="end"/>
            </w:r>
          </w:p>
        </w:tc>
        <w:tc>
          <w:tcPr>
            <w:tcW w:w="298" w:type="pct"/>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Male</w:t>
            </w:r>
          </w:p>
          <w:p w:rsidR="008952E7" w:rsidRPr="00810076" w:rsidRDefault="008952E7" w:rsidP="00292146">
            <w:pPr>
              <w:jc w:val="center"/>
              <w:rPr>
                <w:rFonts w:asciiTheme="minorHAnsi" w:hAnsiTheme="minorHAnsi" w:cstheme="minorHAnsi"/>
              </w:rPr>
            </w:pPr>
            <w:r>
              <w:rPr>
                <w:rFonts w:asciiTheme="minorHAnsi" w:hAnsiTheme="minorHAnsi" w:cstheme="minorHAnsi"/>
              </w:rPr>
              <w:t>(114)</w:t>
            </w:r>
          </w:p>
        </w:tc>
        <w:tc>
          <w:tcPr>
            <w:tcW w:w="377" w:type="pct"/>
            <w:vMerge w:val="restart"/>
            <w:vAlign w:val="center"/>
          </w:tcPr>
          <w:p w:rsidR="00400292" w:rsidRPr="00810076" w:rsidRDefault="00F81041" w:rsidP="00292146">
            <w:pPr>
              <w:jc w:val="center"/>
              <w:rPr>
                <w:rFonts w:asciiTheme="minorHAnsi" w:hAnsiTheme="minorHAnsi" w:cstheme="minorHAnsi"/>
              </w:rPr>
            </w:pPr>
            <w:r>
              <w:rPr>
                <w:rFonts w:asciiTheme="minorHAnsi" w:hAnsiTheme="minorHAnsi" w:cstheme="minorHAnsi"/>
              </w:rPr>
              <w:t xml:space="preserve">7 to </w:t>
            </w:r>
            <w:r w:rsidR="00400292">
              <w:rPr>
                <w:rFonts w:asciiTheme="minorHAnsi" w:hAnsiTheme="minorHAnsi" w:cstheme="minorHAnsi"/>
              </w:rPr>
              <w:t>20</w:t>
            </w:r>
          </w:p>
        </w:tc>
        <w:tc>
          <w:tcPr>
            <w:tcW w:w="524" w:type="pct"/>
            <w:vAlign w:val="center"/>
          </w:tcPr>
          <w:p w:rsidR="00400292" w:rsidRPr="00810076" w:rsidRDefault="008952E7" w:rsidP="00292146">
            <w:pPr>
              <w:jc w:val="center"/>
              <w:rPr>
                <w:rFonts w:asciiTheme="minorHAnsi" w:hAnsiTheme="minorHAnsi" w:cstheme="minorHAnsi"/>
              </w:rPr>
            </w:pPr>
            <w:r>
              <w:rPr>
                <w:rFonts w:asciiTheme="minorHAnsi" w:hAnsiTheme="minorHAnsi" w:cstheme="minorHAnsi"/>
              </w:rPr>
              <w:t>11</w:t>
            </w:r>
          </w:p>
        </w:tc>
        <w:tc>
          <w:tcPr>
            <w:tcW w:w="418" w:type="pct"/>
            <w:vMerge w:val="restar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Caucasian</w:t>
            </w:r>
          </w:p>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(Holland)</w:t>
            </w:r>
          </w:p>
        </w:tc>
        <w:tc>
          <w:tcPr>
            <w:tcW w:w="836" w:type="pc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1.1133 – 0.0561 * log SSF + 1.7 * Age *10</w:t>
            </w:r>
            <w:r w:rsidRPr="00810076">
              <w:rPr>
                <w:rFonts w:asciiTheme="minorHAnsi" w:hAnsiTheme="minorHAnsi" w:cstheme="minorHAnsi"/>
                <w:vertAlign w:val="superscript"/>
              </w:rPr>
              <w:t>-3</w:t>
            </w:r>
          </w:p>
        </w:tc>
        <w:tc>
          <w:tcPr>
            <w:tcW w:w="1814" w:type="pct"/>
            <w:vAlign w:val="center"/>
          </w:tcPr>
          <w:p w:rsidR="00400292" w:rsidRPr="00810076" w:rsidRDefault="00400292" w:rsidP="00292146">
            <w:pPr>
              <w:jc w:val="center"/>
              <w:rPr>
                <w:rFonts w:asciiTheme="minorHAnsi" w:hAnsiTheme="minorHAnsi" w:cstheme="minorHAnsi"/>
              </w:rPr>
            </w:pPr>
          </w:p>
        </w:tc>
      </w:tr>
      <w:tr w:rsidR="00F81041" w:rsidRPr="00810076" w:rsidTr="00F81041">
        <w:tc>
          <w:tcPr>
            <w:tcW w:w="733" w:type="pct"/>
            <w:vMerge/>
            <w:vAlign w:val="center"/>
          </w:tcPr>
          <w:p w:rsidR="00400292" w:rsidRPr="00810076" w:rsidRDefault="00400292" w:rsidP="00292146">
            <w:pPr>
              <w:jc w:val="center"/>
              <w:rPr>
                <w:rFonts w:asciiTheme="minorHAnsi" w:hAnsiTheme="minorHAnsi" w:cstheme="minorHAnsi"/>
              </w:rPr>
            </w:pPr>
          </w:p>
        </w:tc>
        <w:tc>
          <w:tcPr>
            <w:tcW w:w="298" w:type="pct"/>
            <w:vAlign w:val="center"/>
          </w:tcPr>
          <w:p w:rsidR="00400292" w:rsidRDefault="00400292" w:rsidP="00292146">
            <w:pPr>
              <w:jc w:val="center"/>
              <w:rPr>
                <w:rFonts w:asciiTheme="minorHAnsi" w:hAnsiTheme="minorHAnsi" w:cstheme="minorHAnsi"/>
              </w:rPr>
            </w:pPr>
            <w:r w:rsidRPr="00810076">
              <w:rPr>
                <w:rFonts w:asciiTheme="minorHAnsi" w:hAnsiTheme="minorHAnsi" w:cstheme="minorHAnsi"/>
              </w:rPr>
              <w:t>Female</w:t>
            </w:r>
          </w:p>
          <w:p w:rsidR="008952E7" w:rsidRPr="00810076" w:rsidRDefault="008952E7" w:rsidP="00292146">
            <w:pPr>
              <w:jc w:val="center"/>
              <w:rPr>
                <w:rFonts w:asciiTheme="minorHAnsi" w:hAnsiTheme="minorHAnsi" w:cstheme="minorHAnsi"/>
              </w:rPr>
            </w:pPr>
            <w:r>
              <w:rPr>
                <w:rFonts w:asciiTheme="minorHAnsi" w:hAnsiTheme="minorHAnsi" w:cstheme="minorHAnsi"/>
              </w:rPr>
              <w:t>(98)</w:t>
            </w:r>
          </w:p>
        </w:tc>
        <w:tc>
          <w:tcPr>
            <w:tcW w:w="377" w:type="pct"/>
            <w:vMerge/>
            <w:vAlign w:val="center"/>
          </w:tcPr>
          <w:p w:rsidR="00400292" w:rsidRPr="00810076" w:rsidRDefault="00400292" w:rsidP="00292146">
            <w:pPr>
              <w:jc w:val="center"/>
              <w:rPr>
                <w:rFonts w:asciiTheme="minorHAnsi" w:hAnsiTheme="minorHAnsi" w:cstheme="minorHAnsi"/>
              </w:rPr>
            </w:pPr>
          </w:p>
        </w:tc>
        <w:tc>
          <w:tcPr>
            <w:tcW w:w="524" w:type="pct"/>
            <w:vAlign w:val="center"/>
          </w:tcPr>
          <w:p w:rsidR="00400292" w:rsidRPr="00810076" w:rsidRDefault="008952E7" w:rsidP="00292146">
            <w:pPr>
              <w:jc w:val="center"/>
              <w:rPr>
                <w:rFonts w:asciiTheme="minorHAnsi" w:hAnsiTheme="minorHAnsi" w:cstheme="minorHAnsi"/>
              </w:rPr>
            </w:pPr>
            <w:r>
              <w:rPr>
                <w:rFonts w:asciiTheme="minorHAnsi" w:hAnsiTheme="minorHAnsi" w:cstheme="minorHAnsi"/>
              </w:rPr>
              <w:t>10.5</w:t>
            </w:r>
          </w:p>
        </w:tc>
        <w:tc>
          <w:tcPr>
            <w:tcW w:w="418" w:type="pct"/>
            <w:vMerge/>
            <w:vAlign w:val="center"/>
          </w:tcPr>
          <w:p w:rsidR="00400292" w:rsidRPr="00810076" w:rsidRDefault="00400292" w:rsidP="00292146">
            <w:pPr>
              <w:jc w:val="center"/>
              <w:rPr>
                <w:rFonts w:asciiTheme="minorHAnsi" w:hAnsiTheme="minorHAnsi" w:cstheme="minorHAnsi"/>
              </w:rPr>
            </w:pPr>
          </w:p>
        </w:tc>
        <w:tc>
          <w:tcPr>
            <w:tcW w:w="836" w:type="pct"/>
            <w:vAlign w:val="center"/>
          </w:tcPr>
          <w:p w:rsidR="00400292" w:rsidRPr="00810076" w:rsidRDefault="00400292" w:rsidP="00292146">
            <w:pPr>
              <w:jc w:val="center"/>
              <w:rPr>
                <w:rFonts w:asciiTheme="minorHAnsi" w:hAnsiTheme="minorHAnsi" w:cstheme="minorHAnsi"/>
              </w:rPr>
            </w:pPr>
            <w:r w:rsidRPr="00810076">
              <w:rPr>
                <w:rFonts w:asciiTheme="minorHAnsi" w:hAnsiTheme="minorHAnsi" w:cstheme="minorHAnsi"/>
              </w:rPr>
              <w:t>1.1187 – 0.0630 * log SSF + 1.9 * Age *10</w:t>
            </w:r>
            <w:r w:rsidRPr="00810076">
              <w:rPr>
                <w:rFonts w:asciiTheme="minorHAnsi" w:hAnsiTheme="minorHAnsi" w:cstheme="minorHAnsi"/>
                <w:vertAlign w:val="superscript"/>
              </w:rPr>
              <w:t>-3</w:t>
            </w:r>
          </w:p>
        </w:tc>
        <w:tc>
          <w:tcPr>
            <w:tcW w:w="1814" w:type="pct"/>
            <w:vAlign w:val="center"/>
          </w:tcPr>
          <w:p w:rsidR="00400292" w:rsidRDefault="00400292" w:rsidP="00292146">
            <w:pPr>
              <w:jc w:val="center"/>
              <w:rPr>
                <w:rFonts w:asciiTheme="minorHAnsi" w:hAnsiTheme="minorHAnsi" w:cstheme="minorHAnsi"/>
              </w:rPr>
            </w:pPr>
          </w:p>
          <w:p w:rsidR="00E01E9E" w:rsidRPr="00810076" w:rsidRDefault="00E01E9E" w:rsidP="00292146">
            <w:pPr>
              <w:jc w:val="center"/>
              <w:rPr>
                <w:rFonts w:asciiTheme="minorHAnsi" w:hAnsiTheme="minorHAnsi" w:cstheme="minorHAnsi"/>
              </w:rPr>
            </w:pPr>
          </w:p>
        </w:tc>
      </w:tr>
      <w:tr w:rsidR="00F81041" w:rsidRPr="00810076" w:rsidTr="00F81041">
        <w:tc>
          <w:tcPr>
            <w:tcW w:w="733" w:type="pct"/>
            <w:vAlign w:val="center"/>
          </w:tcPr>
          <w:p w:rsidR="00E01E9E" w:rsidRPr="00810076" w:rsidRDefault="00E01E9E" w:rsidP="00B116DF">
            <w:pPr>
              <w:jc w:val="center"/>
              <w:rPr>
                <w:rFonts w:asciiTheme="minorHAnsi" w:hAnsiTheme="minorHAnsi" w:cstheme="minorHAnsi"/>
              </w:rPr>
            </w:pPr>
            <w:r>
              <w:rPr>
                <w:rFonts w:asciiTheme="minorHAnsi" w:hAnsiTheme="minorHAnsi" w:cstheme="minorHAnsi"/>
              </w:rPr>
              <w:t>Alkutbe et al.</w:t>
            </w:r>
            <w:r w:rsidR="00C207F8">
              <w:rPr>
                <w:rFonts w:asciiTheme="minorHAnsi" w:hAnsiTheme="minorHAnsi" w:cstheme="minorHAnsi"/>
              </w:rPr>
              <w:fldChar w:fldCharType="begin" w:fldLock="1"/>
            </w:r>
            <w:r w:rsidR="00B116DF">
              <w:rPr>
                <w:rFonts w:asciiTheme="minorHAnsi" w:hAnsiTheme="minorHAnsi" w:cstheme="minorHAnsi"/>
              </w:rPr>
              <w:instrText>ADDIN CSL_CITATION {"citationItems":[{"id":"ITEM-1","itemData":{"DOI":"10.7717/peerj.10734","ISSN":"2167-8359","abstract":"Background: The number of children with obesity has increased in Saudi Arabia, which is a significant public health concern. Early diagnosis of childhood obesity and screening of the prevalence is needed using a simple in situ method. This study aims to generate statistical equations to predict body fat percentage (BF%) for Saudi children by employing machine learning technology and to establish gender and age-specific body fat reference range. Methods: Data was combined from two cross-sectional studies conducted in Saudi Arabia for 1,292 boys and girls aged 8-12 years. Body fat was measured in both studies using bio-electrical impedance analysis devices. Height and weight were measured and body mass index was calculated and classified according to CDC 2,000 charts. A total of 603 girls and 374 boys were randomly selected for the learning phase, and 153 girls and 93 boys were employed in the validation set. Analyses of different machine learning methods showed that an accurate, sensitive model could be created. Two regression models were trained and fitted with the construction samples and validated. Gradient boosting algorithm was employed to achieve a better estimation and produce the equations, then the root means squared error (RMSE) equation was performed to decrease the error. Body fat reference ranges were derived for children aged 8-12 years. Results: For the gradient boosting models, the predicted fat percentage values were more aligned with the true value than those in regression models. Gradient boosting achieved better performance than the regression equation as it combined multiple simple models into a single composite model to take advantage of that weak classifier. The developed predictive model archived RMSE of 3.12 for girls and 2.48 boys. BF% and Fat mass index charts were presented in which cut-offs for 5th, 75th and 95th centiles are used to define 'under-fat', 'normal', 'overfat' and 'subject with obesity'. Conclusion: Machine learning models could represent a significant advancement for investigators studying adiposity-related issues in children. These models and newly developed centile charts could be useful tools for the estimation and classification of BF%.","author":[{"dropping-particle":"","family":"Alkutbe","given":"Rabab B.","non-dropping-particle":"","parse-names":false,"suffix":""},{"dropping-particle":"","family":"Alruban","given":"Abdulrahman","non-dropping-particle":"","parse-names":false,"suffix":""},{"dropping-particle":"","family":"Alturki","given":"Hmidan","non-dropping-particle":"","parse-names":false,"suffix":""},{"dropping-particle":"","family":"Sattar","given":"Anas","non-dropping-particle":"","parse-names":false,"suffix":""},{"dropping-particle":"","family":"Al-Hazzaa","given":"Hazzaa","non-dropping-particle":"","parse-names":false,"suffix":""},{"dropping-particle":"","family":"Rees","given":"Gail","non-dropping-particle":"","parse-names":false,"suffix":""}],"container-title":"PeerJ","id":"ITEM-1","issued":{"date-parts":[["2021","2","23"]]},"page":"e10734","title":"Fat mass prediction equations and reference ranges for Saudi Arabian Children aged 8–12 years using machine technique method","type":"article-journal","volume":"9"},"uris":["http://www.mendeley.com/documents/?uuid=03eafd63-189d-4b4f-9eba-99e67b5e34ca"]}],"mendeley":{"formattedCitation":"&lt;sup&gt;(50)&lt;/sup&gt;","plainTextFormattedCitation":"(50)","previouslyFormattedCitation":"&lt;sup&gt;(49)&lt;/sup&gt;"},"properties":{"noteIndex":0},"schema":"https://github.com/citation-style-language/schema/raw/master/csl-citation.json"}</w:instrText>
            </w:r>
            <w:r w:rsidR="00C207F8">
              <w:rPr>
                <w:rFonts w:asciiTheme="minorHAnsi" w:hAnsiTheme="minorHAnsi" w:cstheme="minorHAnsi"/>
              </w:rPr>
              <w:fldChar w:fldCharType="separate"/>
            </w:r>
            <w:r w:rsidR="00B116DF" w:rsidRPr="00B116DF">
              <w:rPr>
                <w:rFonts w:asciiTheme="minorHAnsi" w:hAnsiTheme="minorHAnsi" w:cstheme="minorHAnsi"/>
                <w:noProof/>
                <w:vertAlign w:val="superscript"/>
              </w:rPr>
              <w:t>(50)</w:t>
            </w:r>
            <w:r w:rsidR="00C207F8">
              <w:rPr>
                <w:rFonts w:asciiTheme="minorHAnsi" w:hAnsiTheme="minorHAnsi" w:cstheme="minorHAnsi"/>
              </w:rPr>
              <w:fldChar w:fldCharType="end"/>
            </w:r>
          </w:p>
        </w:tc>
        <w:tc>
          <w:tcPr>
            <w:tcW w:w="298" w:type="pct"/>
            <w:vAlign w:val="center"/>
          </w:tcPr>
          <w:p w:rsidR="00E01E9E" w:rsidRDefault="00E01E9E" w:rsidP="00E01E9E">
            <w:pPr>
              <w:jc w:val="center"/>
              <w:rPr>
                <w:rFonts w:asciiTheme="minorHAnsi" w:hAnsiTheme="minorHAnsi" w:cstheme="minorHAnsi"/>
              </w:rPr>
            </w:pPr>
            <w:r w:rsidRPr="00810076">
              <w:rPr>
                <w:rFonts w:asciiTheme="minorHAnsi" w:hAnsiTheme="minorHAnsi" w:cstheme="minorHAnsi"/>
              </w:rPr>
              <w:t>Male</w:t>
            </w:r>
          </w:p>
          <w:p w:rsidR="00E01E9E" w:rsidRPr="00810076" w:rsidRDefault="00E01E9E" w:rsidP="00E01E9E">
            <w:pPr>
              <w:jc w:val="center"/>
              <w:rPr>
                <w:rFonts w:asciiTheme="minorHAnsi" w:hAnsiTheme="minorHAnsi" w:cstheme="minorHAnsi"/>
              </w:rPr>
            </w:pPr>
            <w:r>
              <w:rPr>
                <w:rFonts w:asciiTheme="minorHAnsi" w:hAnsiTheme="minorHAnsi" w:cstheme="minorHAnsi"/>
              </w:rPr>
              <w:t>(467)</w:t>
            </w:r>
          </w:p>
        </w:tc>
        <w:tc>
          <w:tcPr>
            <w:tcW w:w="377" w:type="pct"/>
            <w:vAlign w:val="center"/>
          </w:tcPr>
          <w:p w:rsidR="00E01E9E" w:rsidRPr="00810076" w:rsidRDefault="00F81041" w:rsidP="00E01E9E">
            <w:pPr>
              <w:jc w:val="center"/>
              <w:rPr>
                <w:rFonts w:asciiTheme="minorHAnsi" w:hAnsiTheme="minorHAnsi" w:cstheme="minorHAnsi"/>
              </w:rPr>
            </w:pPr>
            <w:r>
              <w:rPr>
                <w:rFonts w:asciiTheme="minorHAnsi" w:hAnsiTheme="minorHAnsi" w:cstheme="minorHAnsi"/>
              </w:rPr>
              <w:t xml:space="preserve">9 to </w:t>
            </w:r>
            <w:r w:rsidR="00E01E9E">
              <w:rPr>
                <w:rFonts w:asciiTheme="minorHAnsi" w:hAnsiTheme="minorHAnsi" w:cstheme="minorHAnsi"/>
              </w:rPr>
              <w:t>11</w:t>
            </w:r>
          </w:p>
        </w:tc>
        <w:tc>
          <w:tcPr>
            <w:tcW w:w="524" w:type="pct"/>
            <w:vAlign w:val="center"/>
          </w:tcPr>
          <w:p w:rsidR="00E01E9E" w:rsidRDefault="00F81041" w:rsidP="00E01E9E">
            <w:pPr>
              <w:jc w:val="center"/>
              <w:rPr>
                <w:rFonts w:asciiTheme="minorHAnsi" w:hAnsiTheme="minorHAnsi" w:cstheme="minorHAnsi"/>
              </w:rPr>
            </w:pPr>
            <w:r>
              <w:rPr>
                <w:rFonts w:asciiTheme="minorHAnsi" w:hAnsiTheme="minorHAnsi" w:cstheme="minorHAnsi"/>
              </w:rPr>
              <w:t>27.7</w:t>
            </w:r>
          </w:p>
          <w:p w:rsidR="00F81041" w:rsidRDefault="00F81041" w:rsidP="00E01E9E">
            <w:pPr>
              <w:jc w:val="center"/>
              <w:rPr>
                <w:rFonts w:asciiTheme="minorHAnsi" w:hAnsiTheme="minorHAnsi" w:cstheme="minorHAnsi"/>
              </w:rPr>
            </w:pPr>
            <w:r>
              <w:rPr>
                <w:rFonts w:asciiTheme="minorHAnsi" w:hAnsiTheme="minorHAnsi" w:cstheme="minorHAnsi"/>
              </w:rPr>
              <w:t>(5.2 – 49.4)</w:t>
            </w:r>
          </w:p>
        </w:tc>
        <w:tc>
          <w:tcPr>
            <w:tcW w:w="418" w:type="pct"/>
            <w:vAlign w:val="center"/>
          </w:tcPr>
          <w:p w:rsidR="00E01E9E" w:rsidRPr="00810076" w:rsidRDefault="00F81041" w:rsidP="00E01E9E">
            <w:pPr>
              <w:jc w:val="center"/>
              <w:rPr>
                <w:rFonts w:asciiTheme="minorHAnsi" w:hAnsiTheme="minorHAnsi" w:cstheme="minorHAnsi"/>
              </w:rPr>
            </w:pPr>
            <w:r>
              <w:rPr>
                <w:rFonts w:asciiTheme="minorHAnsi" w:hAnsiTheme="minorHAnsi" w:cstheme="minorHAnsi"/>
              </w:rPr>
              <w:t>Saudi Arabian</w:t>
            </w:r>
          </w:p>
        </w:tc>
        <w:tc>
          <w:tcPr>
            <w:tcW w:w="836" w:type="pct"/>
            <w:vAlign w:val="center"/>
          </w:tcPr>
          <w:p w:rsidR="00E01E9E" w:rsidRPr="00810076" w:rsidRDefault="00E01E9E" w:rsidP="00E01E9E">
            <w:pPr>
              <w:jc w:val="center"/>
              <w:rPr>
                <w:rFonts w:asciiTheme="minorHAnsi" w:hAnsiTheme="minorHAnsi" w:cstheme="minorHAnsi"/>
              </w:rPr>
            </w:pPr>
          </w:p>
        </w:tc>
        <w:tc>
          <w:tcPr>
            <w:tcW w:w="1814" w:type="pct"/>
            <w:vAlign w:val="center"/>
          </w:tcPr>
          <w:p w:rsidR="00E01E9E" w:rsidRDefault="00F81041" w:rsidP="00E01E9E">
            <w:pPr>
              <w:jc w:val="center"/>
              <w:rPr>
                <w:rFonts w:asciiTheme="minorHAnsi" w:hAnsiTheme="minorHAnsi" w:cstheme="minorHAnsi"/>
              </w:rPr>
            </w:pPr>
            <w:r>
              <w:rPr>
                <w:rFonts w:asciiTheme="minorHAnsi" w:hAnsiTheme="minorHAnsi" w:cstheme="minorHAnsi"/>
              </w:rPr>
              <w:t>-1.0116*Age-0.1564*Weight+0.09892*Height+q.7353*BMI-8.1772</w:t>
            </w:r>
            <w:r w:rsidRPr="00F81041">
              <w:rPr>
                <w:rFonts w:asciiTheme="minorHAnsi" w:hAnsiTheme="minorHAnsi" w:cstheme="minorHAnsi"/>
                <w:vertAlign w:val="superscript"/>
              </w:rPr>
              <w:t>b</w:t>
            </w:r>
          </w:p>
        </w:tc>
      </w:tr>
      <w:tr w:rsidR="00E01E9E" w:rsidRPr="00810076" w:rsidTr="00F81041">
        <w:tc>
          <w:tcPr>
            <w:tcW w:w="733" w:type="pct"/>
            <w:tcBorders>
              <w:bottom w:val="single" w:sz="24" w:space="0" w:color="auto"/>
            </w:tcBorders>
            <w:vAlign w:val="center"/>
          </w:tcPr>
          <w:p w:rsidR="00E01E9E" w:rsidRPr="00810076" w:rsidRDefault="00E01E9E" w:rsidP="00E01E9E">
            <w:pPr>
              <w:jc w:val="center"/>
              <w:rPr>
                <w:rFonts w:asciiTheme="minorHAnsi" w:hAnsiTheme="minorHAnsi" w:cstheme="minorHAnsi"/>
              </w:rPr>
            </w:pPr>
          </w:p>
        </w:tc>
        <w:tc>
          <w:tcPr>
            <w:tcW w:w="298" w:type="pct"/>
            <w:tcBorders>
              <w:bottom w:val="single" w:sz="24" w:space="0" w:color="auto"/>
            </w:tcBorders>
            <w:vAlign w:val="center"/>
          </w:tcPr>
          <w:p w:rsidR="00E01E9E" w:rsidRDefault="00E01E9E" w:rsidP="00E01E9E">
            <w:pPr>
              <w:jc w:val="center"/>
              <w:rPr>
                <w:rFonts w:asciiTheme="minorHAnsi" w:hAnsiTheme="minorHAnsi" w:cstheme="minorHAnsi"/>
              </w:rPr>
            </w:pPr>
            <w:r w:rsidRPr="00810076">
              <w:rPr>
                <w:rFonts w:asciiTheme="minorHAnsi" w:hAnsiTheme="minorHAnsi" w:cstheme="minorHAnsi"/>
              </w:rPr>
              <w:t>Female</w:t>
            </w:r>
          </w:p>
          <w:p w:rsidR="00E01E9E" w:rsidRPr="00810076" w:rsidRDefault="00E01E9E" w:rsidP="00E01E9E">
            <w:pPr>
              <w:jc w:val="center"/>
              <w:rPr>
                <w:rFonts w:asciiTheme="minorHAnsi" w:hAnsiTheme="minorHAnsi" w:cstheme="minorHAnsi"/>
              </w:rPr>
            </w:pPr>
            <w:r>
              <w:rPr>
                <w:rFonts w:asciiTheme="minorHAnsi" w:hAnsiTheme="minorHAnsi" w:cstheme="minorHAnsi"/>
              </w:rPr>
              <w:t>(756)</w:t>
            </w:r>
          </w:p>
        </w:tc>
        <w:tc>
          <w:tcPr>
            <w:tcW w:w="377" w:type="pct"/>
            <w:tcBorders>
              <w:bottom w:val="single" w:sz="24" w:space="0" w:color="auto"/>
            </w:tcBorders>
            <w:vAlign w:val="center"/>
          </w:tcPr>
          <w:p w:rsidR="00E01E9E" w:rsidRPr="00810076" w:rsidRDefault="00E01E9E" w:rsidP="00E01E9E">
            <w:pPr>
              <w:jc w:val="center"/>
              <w:rPr>
                <w:rFonts w:asciiTheme="minorHAnsi" w:hAnsiTheme="minorHAnsi" w:cstheme="minorHAnsi"/>
              </w:rPr>
            </w:pPr>
            <w:r>
              <w:rPr>
                <w:rFonts w:asciiTheme="minorHAnsi" w:hAnsiTheme="minorHAnsi" w:cstheme="minorHAnsi"/>
              </w:rPr>
              <w:t>8</w:t>
            </w:r>
            <w:r w:rsidR="00F81041">
              <w:rPr>
                <w:rFonts w:asciiTheme="minorHAnsi" w:hAnsiTheme="minorHAnsi" w:cstheme="minorHAnsi"/>
              </w:rPr>
              <w:t xml:space="preserve"> to</w:t>
            </w:r>
            <w:r>
              <w:rPr>
                <w:rFonts w:asciiTheme="minorHAnsi" w:hAnsiTheme="minorHAnsi" w:cstheme="minorHAnsi"/>
              </w:rPr>
              <w:t xml:space="preserve"> 11</w:t>
            </w:r>
          </w:p>
        </w:tc>
        <w:tc>
          <w:tcPr>
            <w:tcW w:w="524" w:type="pct"/>
            <w:tcBorders>
              <w:bottom w:val="single" w:sz="24" w:space="0" w:color="auto"/>
            </w:tcBorders>
            <w:vAlign w:val="center"/>
          </w:tcPr>
          <w:p w:rsidR="00E01E9E" w:rsidRDefault="00F81041" w:rsidP="00E01E9E">
            <w:pPr>
              <w:jc w:val="center"/>
              <w:rPr>
                <w:rFonts w:asciiTheme="minorHAnsi" w:hAnsiTheme="minorHAnsi" w:cstheme="minorHAnsi"/>
              </w:rPr>
            </w:pPr>
            <w:r>
              <w:rPr>
                <w:rFonts w:asciiTheme="minorHAnsi" w:hAnsiTheme="minorHAnsi" w:cstheme="minorHAnsi"/>
              </w:rPr>
              <w:t>27.2</w:t>
            </w:r>
          </w:p>
          <w:p w:rsidR="00F81041" w:rsidRDefault="00F81041" w:rsidP="00E01E9E">
            <w:pPr>
              <w:jc w:val="center"/>
              <w:rPr>
                <w:rFonts w:asciiTheme="minorHAnsi" w:hAnsiTheme="minorHAnsi" w:cstheme="minorHAnsi"/>
              </w:rPr>
            </w:pPr>
            <w:r>
              <w:rPr>
                <w:rFonts w:asciiTheme="minorHAnsi" w:hAnsiTheme="minorHAnsi" w:cstheme="minorHAnsi"/>
              </w:rPr>
              <w:t>(3 – 51.4)</w:t>
            </w:r>
          </w:p>
        </w:tc>
        <w:tc>
          <w:tcPr>
            <w:tcW w:w="418" w:type="pct"/>
            <w:tcBorders>
              <w:bottom w:val="single" w:sz="24" w:space="0" w:color="auto"/>
            </w:tcBorders>
            <w:vAlign w:val="center"/>
          </w:tcPr>
          <w:p w:rsidR="00E01E9E" w:rsidRPr="00810076" w:rsidRDefault="00E01E9E" w:rsidP="00E01E9E">
            <w:pPr>
              <w:jc w:val="center"/>
              <w:rPr>
                <w:rFonts w:asciiTheme="minorHAnsi" w:hAnsiTheme="minorHAnsi" w:cstheme="minorHAnsi"/>
              </w:rPr>
            </w:pPr>
          </w:p>
        </w:tc>
        <w:tc>
          <w:tcPr>
            <w:tcW w:w="836" w:type="pct"/>
            <w:tcBorders>
              <w:bottom w:val="single" w:sz="24" w:space="0" w:color="auto"/>
            </w:tcBorders>
            <w:vAlign w:val="center"/>
          </w:tcPr>
          <w:p w:rsidR="00E01E9E" w:rsidRPr="00810076" w:rsidRDefault="00E01E9E" w:rsidP="00E01E9E">
            <w:pPr>
              <w:jc w:val="center"/>
              <w:rPr>
                <w:rFonts w:asciiTheme="minorHAnsi" w:hAnsiTheme="minorHAnsi" w:cstheme="minorHAnsi"/>
              </w:rPr>
            </w:pPr>
          </w:p>
        </w:tc>
        <w:tc>
          <w:tcPr>
            <w:tcW w:w="1814" w:type="pct"/>
            <w:tcBorders>
              <w:bottom w:val="single" w:sz="24" w:space="0" w:color="auto"/>
            </w:tcBorders>
            <w:vAlign w:val="center"/>
          </w:tcPr>
          <w:p w:rsidR="00E01E9E" w:rsidRDefault="00F81041" w:rsidP="00E01E9E">
            <w:pPr>
              <w:jc w:val="center"/>
              <w:rPr>
                <w:rFonts w:asciiTheme="minorHAnsi" w:hAnsiTheme="minorHAnsi" w:cstheme="minorHAnsi"/>
              </w:rPr>
            </w:pPr>
            <w:r>
              <w:rPr>
                <w:rFonts w:asciiTheme="minorHAnsi" w:hAnsiTheme="minorHAnsi" w:cstheme="minorHAnsi"/>
              </w:rPr>
              <w:t>-0.2069*Age+0.05958*Weight-0.03893*Height+1.4478*BMI+1.8192</w:t>
            </w:r>
            <w:r w:rsidRPr="00F81041">
              <w:rPr>
                <w:rFonts w:asciiTheme="minorHAnsi" w:hAnsiTheme="minorHAnsi" w:cstheme="minorHAnsi"/>
                <w:vertAlign w:val="superscript"/>
              </w:rPr>
              <w:t>b</w:t>
            </w:r>
          </w:p>
        </w:tc>
      </w:tr>
    </w:tbl>
    <w:p w:rsidR="00292146" w:rsidRDefault="003420EA" w:rsidP="0056022C">
      <w:pPr>
        <w:spacing w:line="360" w:lineRule="auto"/>
        <w:jc w:val="both"/>
        <w:rPr>
          <w:rFonts w:asciiTheme="minorHAnsi" w:hAnsiTheme="minorHAnsi" w:cstheme="majorBidi"/>
          <w:szCs w:val="22"/>
        </w:rPr>
      </w:pPr>
      <w:r w:rsidRPr="0056022C">
        <w:rPr>
          <w:rFonts w:asciiTheme="minorHAnsi" w:hAnsiTheme="minorHAnsi" w:cstheme="majorBidi"/>
          <w:szCs w:val="22"/>
        </w:rPr>
        <w:t>Abbreviations: SSF, sum of 4 skin-folds (biceps, triceps, sub-scapular, suprailiac); SSF2, sum of 2 skin-folds (biceps, sub-scapular)</w:t>
      </w:r>
      <w:r w:rsidR="00F81041">
        <w:rPr>
          <w:rFonts w:asciiTheme="minorHAnsi" w:hAnsiTheme="minorHAnsi" w:cstheme="majorBidi"/>
          <w:szCs w:val="22"/>
        </w:rPr>
        <w:t>; BMI, body mass index (kg/m</w:t>
      </w:r>
      <w:r w:rsidR="00F81041" w:rsidRPr="00F81041">
        <w:rPr>
          <w:rFonts w:asciiTheme="minorHAnsi" w:hAnsiTheme="minorHAnsi" w:cstheme="majorBidi"/>
          <w:szCs w:val="22"/>
          <w:vertAlign w:val="superscript"/>
        </w:rPr>
        <w:t>2</w:t>
      </w:r>
      <w:r w:rsidR="00F81041">
        <w:rPr>
          <w:rFonts w:asciiTheme="minorHAnsi" w:hAnsiTheme="minorHAnsi" w:cstheme="majorBidi"/>
          <w:szCs w:val="22"/>
        </w:rPr>
        <w:t>).</w:t>
      </w:r>
      <w:r w:rsidRPr="0056022C">
        <w:rPr>
          <w:rFonts w:asciiTheme="minorHAnsi" w:hAnsiTheme="minorHAnsi" w:cstheme="majorBidi"/>
          <w:szCs w:val="22"/>
        </w:rPr>
        <w:t xml:space="preserve"> </w:t>
      </w:r>
      <w:r w:rsidR="0056022C" w:rsidRPr="0056022C">
        <w:rPr>
          <w:rFonts w:asciiTheme="minorHAnsi" w:hAnsiTheme="minorHAnsi" w:cstheme="majorBidi"/>
          <w:szCs w:val="22"/>
          <w:vertAlign w:val="superscript"/>
        </w:rPr>
        <w:t>a</w:t>
      </w:r>
      <w:r w:rsidR="0056022C" w:rsidRPr="0056022C">
        <w:rPr>
          <w:rFonts w:asciiTheme="minorHAnsi" w:hAnsiTheme="minorHAnsi" w:cstheme="majorBidi"/>
          <w:szCs w:val="22"/>
        </w:rPr>
        <w:t xml:space="preserve">%BF calculated from body density as %BF= [562-4-2 (Age-2)]/BD-[525-4-7 (Age-2)] </w:t>
      </w:r>
      <w:r w:rsidR="00C207F8">
        <w:rPr>
          <w:rFonts w:asciiTheme="minorHAnsi" w:hAnsiTheme="minorHAnsi" w:cstheme="majorBidi"/>
          <w:szCs w:val="22"/>
        </w:rPr>
        <w:fldChar w:fldCharType="begin" w:fldLock="1"/>
      </w:r>
      <w:r w:rsidR="00B116DF">
        <w:rPr>
          <w:rFonts w:asciiTheme="minorHAnsi" w:hAnsiTheme="minorHAnsi" w:cstheme="majorBidi"/>
          <w:szCs w:val="22"/>
        </w:rPr>
        <w:instrText>ADDIN CSL_CITATION {"citationItems":[{"id":"ITEM-1","itemData":{"DOI":"10.1093/ajcn/50.5.1104","ISSN":"0002-9165","PMID":"2816795","abstract":"A method is presented for assessing childhood obesity in a more objective way than most other routine methods used for diagnosing childhood obesity. The sum of bicipital, tricipital, subscapular, and suprailiacal skinfold thicknesses is related to total body density by use of theoretically defined prediction equations. Total body density is used to estimate total body fat percentage by use of age- and sex-dependent equations on the relation between body fat percentage and body density. These equations are constructed on the basis of published data on changes in the density of fat-free mass with age in children. With the proposed method childhood obesity can be assessed routinely in a more resistent way than with most other routine methods used to diagnose obesity in children. A preliminary validation study indicated that in children aged 7-10 y predicted body density differed on average &lt; 1% from measured body density. In addition, predicted body density was highly correlated (r &gt; 0.7) with measured body density.","author":[{"dropping-particle":"","family":"Weststrate","given":"J. A.","non-dropping-particle":"","parse-names":false,"suffix":""},{"dropping-particle":"","family":"Deurenberg","given":"P.","non-dropping-particle":"","parse-names":false,"suffix":""}],"container-title":"The American Journal of Clinical Nutrition","id":"ITEM-1","issue":"5","issued":{"date-parts":[["1989","11","1"]]},"page":"1104-1115","title":"Body composition in children: proposal for a method for calculating body fat percentage from total body density or skinfold-thickness measurements","type":"article-journal","volume":"50"},"uris":["http://www.mendeley.com/documents/?uuid=a6054adf-29b8-44b2-86ec-a21100f9f335"]}],"mendeley":{"formattedCitation":"&lt;sup&gt;(32)&lt;/sup&gt;","plainTextFormattedCitation":"(32)","previouslyFormattedCitation":"&lt;sup&gt;(31)&lt;/sup&gt;"},"properties":{"noteIndex":0},"schema":"https://github.com/citation-style-language/schema/raw/master/csl-citation.json"}</w:instrText>
      </w:r>
      <w:r w:rsidR="00C207F8">
        <w:rPr>
          <w:rFonts w:asciiTheme="minorHAnsi" w:hAnsiTheme="minorHAnsi" w:cstheme="majorBidi"/>
          <w:szCs w:val="22"/>
        </w:rPr>
        <w:fldChar w:fldCharType="separate"/>
      </w:r>
      <w:r w:rsidR="00B116DF" w:rsidRPr="00B116DF">
        <w:rPr>
          <w:rFonts w:asciiTheme="minorHAnsi" w:hAnsiTheme="minorHAnsi" w:cstheme="majorBidi"/>
          <w:noProof/>
          <w:szCs w:val="22"/>
          <w:vertAlign w:val="superscript"/>
        </w:rPr>
        <w:t>(32)</w:t>
      </w:r>
      <w:r w:rsidR="00C207F8">
        <w:rPr>
          <w:rFonts w:asciiTheme="minorHAnsi" w:hAnsiTheme="minorHAnsi" w:cstheme="majorBidi"/>
          <w:szCs w:val="22"/>
        </w:rPr>
        <w:fldChar w:fldCharType="end"/>
      </w:r>
      <w:r w:rsidR="00F81041">
        <w:rPr>
          <w:rFonts w:asciiTheme="minorHAnsi" w:hAnsiTheme="minorHAnsi" w:cstheme="majorBidi"/>
          <w:szCs w:val="22"/>
        </w:rPr>
        <w:t>;</w:t>
      </w:r>
      <w:r w:rsidR="00F81041" w:rsidRPr="00F81041">
        <w:rPr>
          <w:rFonts w:asciiTheme="minorHAnsi" w:hAnsiTheme="minorHAnsi" w:cstheme="majorBidi"/>
          <w:szCs w:val="22"/>
          <w:vertAlign w:val="superscript"/>
        </w:rPr>
        <w:t>b</w:t>
      </w:r>
      <w:r w:rsidR="00F81041">
        <w:rPr>
          <w:rFonts w:asciiTheme="minorHAnsi" w:hAnsiTheme="minorHAnsi" w:cstheme="majorBidi"/>
          <w:szCs w:val="22"/>
        </w:rPr>
        <w:t>recalculated from data provided by Alkutbe et al.</w:t>
      </w:r>
      <w:r w:rsidR="00C207F8">
        <w:rPr>
          <w:rFonts w:asciiTheme="minorHAnsi" w:hAnsiTheme="minorHAnsi" w:cstheme="majorBidi"/>
          <w:szCs w:val="22"/>
        </w:rPr>
        <w:fldChar w:fldCharType="begin" w:fldLock="1"/>
      </w:r>
      <w:r w:rsidR="00B116DF">
        <w:rPr>
          <w:rFonts w:asciiTheme="minorHAnsi" w:hAnsiTheme="minorHAnsi" w:cstheme="majorBidi"/>
          <w:szCs w:val="22"/>
        </w:rPr>
        <w:instrText>ADDIN CSL_CITATION {"citationItems":[{"id":"ITEM-1","itemData":{"DOI":"10.7717/peerj.10734","ISSN":"2167-8359","abstract":"Background: The number of children with obesity has increased in Saudi Arabia, which is a significant public health concern. Early diagnosis of childhood obesity and screening of the prevalence is needed using a simple in situ method. This study aims to generate statistical equations to predict body fat percentage (BF%) for Saudi children by employing machine learning technology and to establish gender and age-specific body fat reference range. Methods: Data was combined from two cross-sectional studies conducted in Saudi Arabia for 1,292 boys and girls aged 8-12 years. Body fat was measured in both studies using bio-electrical impedance analysis devices. Height and weight were measured and body mass index was calculated and classified according to CDC 2,000 charts. A total of 603 girls and 374 boys were randomly selected for the learning phase, and 153 girls and 93 boys were employed in the validation set. Analyses of different machine learning methods showed that an accurate, sensitive model could be created. Two regression models were trained and fitted with the construction samples and validated. Gradient boosting algorithm was employed to achieve a better estimation and produce the equations, then the root means squared error (RMSE) equation was performed to decrease the error. Body fat reference ranges were derived for children aged 8-12 years. Results: For the gradient boosting models, the predicted fat percentage values were more aligned with the true value than those in regression models. Gradient boosting achieved better performance than the regression equation as it combined multiple simple models into a single composite model to take advantage of that weak classifier. The developed predictive model archived RMSE of 3.12 for girls and 2.48 boys. BF% and Fat mass index charts were presented in which cut-offs for 5th, 75th and 95th centiles are used to define 'under-fat', 'normal', 'overfat' and 'subject with obesity'. Conclusion: Machine learning models could represent a significant advancement for investigators studying adiposity-related issues in children. These models and newly developed centile charts could be useful tools for the estimation and classification of BF%.","author":[{"dropping-particle":"","family":"Alkutbe","given":"Rabab B.","non-dropping-particle":"","parse-names":false,"suffix":""},{"dropping-particle":"","family":"Alruban","given":"Abdulrahman","non-dropping-particle":"","parse-names":false,"suffix":""},{"dropping-particle":"","family":"Alturki","given":"Hmidan","non-dropping-particle":"","parse-names":false,"suffix":""},{"dropping-particle":"","family":"Sattar","given":"Anas","non-dropping-particle":"","parse-names":false,"suffix":""},{"dropping-particle":"","family":"Al-Hazzaa","given":"Hazzaa","non-dropping-particle":"","parse-names":false,"suffix":""},{"dropping-particle":"","family":"Rees","given":"Gail","non-dropping-particle":"","parse-names":false,"suffix":""}],"container-title":"PeerJ","id":"ITEM-1","issued":{"date-parts":[["2021","2","23"]]},"page":"e10734","title":"Fat mass prediction equations and reference ranges for Saudi Arabian Children aged 8–12 years using machine technique method","type":"article-journal","volume":"9"},"uris":["http://www.mendeley.com/documents/?uuid=03eafd63-189d-4b4f-9eba-99e67b5e34ca"]}],"mendeley":{"formattedCitation":"&lt;sup&gt;(50)&lt;/sup&gt;","plainTextFormattedCitation":"(50)","previouslyFormattedCitation":"&lt;sup&gt;(49)&lt;/sup&gt;"},"properties":{"noteIndex":0},"schema":"https://github.com/citation-style-language/schema/raw/master/csl-citation.json"}</w:instrText>
      </w:r>
      <w:r w:rsidR="00C207F8">
        <w:rPr>
          <w:rFonts w:asciiTheme="minorHAnsi" w:hAnsiTheme="minorHAnsi" w:cstheme="majorBidi"/>
          <w:szCs w:val="22"/>
        </w:rPr>
        <w:fldChar w:fldCharType="separate"/>
      </w:r>
      <w:r w:rsidR="00B116DF" w:rsidRPr="00B116DF">
        <w:rPr>
          <w:rFonts w:asciiTheme="minorHAnsi" w:hAnsiTheme="minorHAnsi" w:cstheme="majorBidi"/>
          <w:noProof/>
          <w:szCs w:val="22"/>
          <w:vertAlign w:val="superscript"/>
        </w:rPr>
        <w:t>(50)</w:t>
      </w:r>
      <w:r w:rsidR="00C207F8">
        <w:rPr>
          <w:rFonts w:asciiTheme="minorHAnsi" w:hAnsiTheme="minorHAnsi" w:cstheme="majorBidi"/>
          <w:szCs w:val="22"/>
        </w:rPr>
        <w:fldChar w:fldCharType="end"/>
      </w:r>
    </w:p>
    <w:p w:rsidR="00292146" w:rsidRDefault="00292146">
      <w:pPr>
        <w:spacing w:after="200" w:line="276" w:lineRule="auto"/>
        <w:rPr>
          <w:rFonts w:asciiTheme="minorHAnsi" w:hAnsiTheme="minorHAnsi" w:cstheme="majorBidi"/>
          <w:szCs w:val="22"/>
        </w:rPr>
      </w:pPr>
      <w:r>
        <w:rPr>
          <w:rFonts w:asciiTheme="minorHAnsi" w:hAnsiTheme="minorHAnsi" w:cstheme="majorBidi"/>
          <w:szCs w:val="22"/>
        </w:rPr>
        <w:br w:type="page"/>
      </w:r>
    </w:p>
    <w:p w:rsidR="00292146" w:rsidRPr="00F161D4" w:rsidRDefault="00292146" w:rsidP="00F3343E">
      <w:pPr>
        <w:autoSpaceDE w:val="0"/>
        <w:autoSpaceDN w:val="0"/>
        <w:adjustRightInd w:val="0"/>
        <w:spacing w:line="480" w:lineRule="auto"/>
        <w:jc w:val="center"/>
        <w:rPr>
          <w:rFonts w:asciiTheme="minorHAnsi" w:hAnsiTheme="minorHAnsi" w:cstheme="minorHAnsi"/>
          <w:b/>
          <w:bCs/>
          <w:sz w:val="24"/>
          <w:szCs w:val="24"/>
        </w:rPr>
      </w:pPr>
      <w:r>
        <w:rPr>
          <w:rFonts w:asciiTheme="minorHAnsi" w:hAnsiTheme="minorHAnsi" w:cstheme="minorHAnsi"/>
          <w:b/>
          <w:bCs/>
          <w:sz w:val="24"/>
          <w:szCs w:val="24"/>
        </w:rPr>
        <w:lastRenderedPageBreak/>
        <w:t xml:space="preserve">Supplementary </w:t>
      </w:r>
      <w:r w:rsidRPr="00F161D4">
        <w:rPr>
          <w:rFonts w:asciiTheme="minorHAnsi" w:hAnsiTheme="minorHAnsi" w:cstheme="minorHAnsi"/>
          <w:b/>
          <w:bCs/>
          <w:sz w:val="24"/>
          <w:szCs w:val="24"/>
        </w:rPr>
        <w:t xml:space="preserve">Table </w:t>
      </w:r>
      <w:r>
        <w:rPr>
          <w:rFonts w:asciiTheme="minorHAnsi" w:hAnsiTheme="minorHAnsi" w:cstheme="minorHAnsi"/>
          <w:b/>
          <w:bCs/>
          <w:sz w:val="24"/>
          <w:szCs w:val="24"/>
        </w:rPr>
        <w:t>2</w:t>
      </w:r>
      <w:r w:rsidRPr="00F161D4">
        <w:rPr>
          <w:rFonts w:asciiTheme="minorHAnsi" w:hAnsiTheme="minorHAnsi" w:cstheme="minorHAnsi"/>
          <w:b/>
          <w:bCs/>
          <w:sz w:val="24"/>
          <w:szCs w:val="24"/>
        </w:rPr>
        <w:t xml:space="preserve"> </w:t>
      </w:r>
      <w:r w:rsidRPr="00F161D4">
        <w:rPr>
          <w:rFonts w:asciiTheme="minorHAnsi" w:hAnsiTheme="minorHAnsi" w:cstheme="minorHAnsi"/>
          <w:b/>
          <w:bCs/>
          <w:sz w:val="24"/>
          <w:szCs w:val="24"/>
        </w:rPr>
        <w:tab/>
        <w:t>Published prediction equations for body composition in children aged 5 – 18 years</w:t>
      </w:r>
    </w:p>
    <w:tbl>
      <w:tblPr>
        <w:tblW w:w="5000" w:type="pct"/>
        <w:tblLook w:val="04A0"/>
      </w:tblPr>
      <w:tblGrid>
        <w:gridCol w:w="1508"/>
        <w:gridCol w:w="6034"/>
        <w:gridCol w:w="2587"/>
        <w:gridCol w:w="1026"/>
        <w:gridCol w:w="984"/>
        <w:gridCol w:w="1004"/>
        <w:gridCol w:w="645"/>
      </w:tblGrid>
      <w:tr w:rsidR="00CC4707" w:rsidRPr="00606FAA" w:rsidTr="002D19CD">
        <w:tc>
          <w:tcPr>
            <w:tcW w:w="547" w:type="pct"/>
            <w:tcBorders>
              <w:top w:val="single" w:sz="18" w:space="0" w:color="auto"/>
              <w:bottom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b/>
                <w:szCs w:val="22"/>
              </w:rPr>
            </w:pPr>
            <w:r w:rsidRPr="00606FAA">
              <w:rPr>
                <w:rFonts w:asciiTheme="minorHAnsi" w:hAnsiTheme="minorHAnsi" w:cstheme="minorHAnsi"/>
                <w:b/>
                <w:szCs w:val="22"/>
              </w:rPr>
              <w:t>Reference</w:t>
            </w:r>
          </w:p>
        </w:tc>
        <w:tc>
          <w:tcPr>
            <w:tcW w:w="2188" w:type="pct"/>
            <w:tcBorders>
              <w:top w:val="single" w:sz="18" w:space="0" w:color="auto"/>
              <w:bottom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b/>
                <w:szCs w:val="22"/>
              </w:rPr>
            </w:pPr>
            <w:r w:rsidRPr="00606FAA">
              <w:rPr>
                <w:rFonts w:asciiTheme="minorHAnsi" w:hAnsiTheme="minorHAnsi" w:cstheme="minorHAnsi"/>
                <w:b/>
                <w:szCs w:val="22"/>
              </w:rPr>
              <w:t>Prediction equation</w:t>
            </w:r>
          </w:p>
        </w:tc>
        <w:tc>
          <w:tcPr>
            <w:tcW w:w="938" w:type="pct"/>
            <w:tcBorders>
              <w:top w:val="single" w:sz="18" w:space="0" w:color="auto"/>
              <w:bottom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b/>
                <w:szCs w:val="22"/>
              </w:rPr>
            </w:pPr>
            <w:r w:rsidRPr="00606FAA">
              <w:rPr>
                <w:rFonts w:asciiTheme="minorHAnsi" w:hAnsiTheme="minorHAnsi" w:cstheme="minorHAnsi"/>
                <w:b/>
                <w:szCs w:val="22"/>
              </w:rPr>
              <w:t>Population</w:t>
            </w:r>
          </w:p>
        </w:tc>
        <w:tc>
          <w:tcPr>
            <w:tcW w:w="372" w:type="pct"/>
            <w:tcBorders>
              <w:top w:val="single" w:sz="18" w:space="0" w:color="auto"/>
              <w:bottom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b/>
                <w:szCs w:val="22"/>
              </w:rPr>
            </w:pPr>
            <w:r w:rsidRPr="00606FAA">
              <w:rPr>
                <w:rFonts w:asciiTheme="minorHAnsi" w:hAnsiTheme="minorHAnsi" w:cstheme="minorHAnsi"/>
                <w:b/>
                <w:szCs w:val="22"/>
              </w:rPr>
              <w:t>Number</w:t>
            </w:r>
          </w:p>
        </w:tc>
        <w:tc>
          <w:tcPr>
            <w:tcW w:w="357" w:type="pct"/>
            <w:tcBorders>
              <w:top w:val="single" w:sz="18" w:space="0" w:color="auto"/>
              <w:bottom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b/>
                <w:szCs w:val="22"/>
              </w:rPr>
            </w:pPr>
            <w:r w:rsidRPr="00606FAA">
              <w:rPr>
                <w:rFonts w:asciiTheme="minorHAnsi" w:hAnsiTheme="minorHAnsi" w:cstheme="minorHAnsi"/>
                <w:b/>
                <w:szCs w:val="22"/>
              </w:rPr>
              <w:t>Age (y)</w:t>
            </w:r>
          </w:p>
        </w:tc>
        <w:tc>
          <w:tcPr>
            <w:tcW w:w="364" w:type="pct"/>
            <w:tcBorders>
              <w:top w:val="single" w:sz="18" w:space="0" w:color="auto"/>
              <w:bottom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b/>
                <w:szCs w:val="22"/>
              </w:rPr>
            </w:pPr>
            <w:r w:rsidRPr="00606FAA">
              <w:rPr>
                <w:rFonts w:asciiTheme="minorHAnsi" w:hAnsiTheme="minorHAnsi" w:cstheme="minorHAnsi"/>
                <w:b/>
                <w:szCs w:val="22"/>
              </w:rPr>
              <w:t xml:space="preserve">SEE </w:t>
            </w:r>
            <w:r>
              <w:rPr>
                <w:rFonts w:asciiTheme="minorHAnsi" w:hAnsiTheme="minorHAnsi" w:cstheme="minorHAnsi"/>
                <w:b/>
                <w:szCs w:val="22"/>
              </w:rPr>
              <w:t>(</w:t>
            </w:r>
            <w:r w:rsidRPr="00606FAA">
              <w:rPr>
                <w:rFonts w:asciiTheme="minorHAnsi" w:hAnsiTheme="minorHAnsi" w:cstheme="minorHAnsi"/>
                <w:b/>
                <w:szCs w:val="22"/>
              </w:rPr>
              <w:t>kg)</w:t>
            </w:r>
          </w:p>
        </w:tc>
        <w:tc>
          <w:tcPr>
            <w:tcW w:w="234" w:type="pct"/>
            <w:tcBorders>
              <w:top w:val="single" w:sz="18" w:space="0" w:color="auto"/>
              <w:bottom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b/>
                <w:szCs w:val="22"/>
              </w:rPr>
            </w:pPr>
            <w:r w:rsidRPr="00606FAA">
              <w:rPr>
                <w:rFonts w:asciiTheme="minorHAnsi" w:hAnsiTheme="minorHAnsi" w:cstheme="minorHAnsi"/>
                <w:b/>
                <w:szCs w:val="22"/>
              </w:rPr>
              <w:t>R</w:t>
            </w:r>
            <w:r w:rsidRPr="00606FAA">
              <w:rPr>
                <w:rFonts w:asciiTheme="minorHAnsi" w:hAnsiTheme="minorHAnsi" w:cstheme="minorHAnsi"/>
                <w:b/>
                <w:szCs w:val="22"/>
                <w:vertAlign w:val="superscript"/>
              </w:rPr>
              <w:t>2</w:t>
            </w:r>
          </w:p>
        </w:tc>
      </w:tr>
      <w:tr w:rsidR="00292146" w:rsidRPr="00606FAA" w:rsidTr="002D19CD">
        <w:tc>
          <w:tcPr>
            <w:tcW w:w="5000" w:type="pct"/>
            <w:gridSpan w:val="7"/>
            <w:tcBorders>
              <w:top w:val="single" w:sz="12" w:space="0" w:color="auto"/>
              <w:bottom w:val="single" w:sz="12" w:space="0" w:color="auto"/>
            </w:tcBorders>
            <w:shd w:val="clear" w:color="auto" w:fill="auto"/>
          </w:tcPr>
          <w:p w:rsidR="00292146" w:rsidRPr="00606FAA" w:rsidRDefault="00292146" w:rsidP="002D19CD">
            <w:pPr>
              <w:autoSpaceDE w:val="0"/>
              <w:autoSpaceDN w:val="0"/>
              <w:adjustRightInd w:val="0"/>
              <w:jc w:val="center"/>
              <w:rPr>
                <w:rFonts w:asciiTheme="minorHAnsi" w:hAnsiTheme="minorHAnsi" w:cstheme="minorHAnsi"/>
                <w:b/>
                <w:bCs/>
                <w:szCs w:val="22"/>
              </w:rPr>
            </w:pPr>
            <w:r w:rsidRPr="00606FAA">
              <w:rPr>
                <w:rFonts w:asciiTheme="minorHAnsi" w:hAnsiTheme="minorHAnsi" w:cstheme="minorHAnsi"/>
                <w:b/>
                <w:bCs/>
                <w:szCs w:val="22"/>
              </w:rPr>
              <w:t xml:space="preserve">Published </w:t>
            </w:r>
            <w:r>
              <w:rPr>
                <w:rFonts w:asciiTheme="minorHAnsi" w:hAnsiTheme="minorHAnsi" w:cstheme="minorHAnsi"/>
                <w:b/>
                <w:bCs/>
                <w:szCs w:val="22"/>
              </w:rPr>
              <w:t xml:space="preserve">general </w:t>
            </w:r>
            <w:r w:rsidRPr="00606FAA">
              <w:rPr>
                <w:rFonts w:asciiTheme="minorHAnsi" w:hAnsiTheme="minorHAnsi" w:cstheme="minorHAnsi"/>
                <w:b/>
                <w:bCs/>
                <w:szCs w:val="22"/>
              </w:rPr>
              <w:t>bioimpedance spectroscopy predictions for body composition</w:t>
            </w:r>
          </w:p>
        </w:tc>
      </w:tr>
      <w:tr w:rsidR="00CC4707" w:rsidRPr="00606FAA" w:rsidTr="002D19CD">
        <w:tc>
          <w:tcPr>
            <w:tcW w:w="547" w:type="pct"/>
            <w:tcBorders>
              <w:top w:val="single" w:sz="12" w:space="0" w:color="auto"/>
            </w:tcBorders>
            <w:shd w:val="clear" w:color="auto" w:fill="auto"/>
          </w:tcPr>
          <w:p w:rsidR="00292146" w:rsidRPr="00606FAA" w:rsidRDefault="00292146" w:rsidP="00B116DF">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 xml:space="preserve">Moissl et al. </w:t>
            </w:r>
            <w:r w:rsidR="00C207F8">
              <w:rPr>
                <w:rFonts w:asciiTheme="minorHAnsi" w:hAnsiTheme="minorHAnsi" w:cstheme="minorHAnsi"/>
                <w:szCs w:val="22"/>
              </w:rPr>
              <w:fldChar w:fldCharType="begin" w:fldLock="1"/>
            </w:r>
            <w:r w:rsidR="00B116DF">
              <w:rPr>
                <w:rFonts w:asciiTheme="minorHAnsi" w:hAnsiTheme="minorHAnsi" w:cstheme="minorHAnsi"/>
                <w:szCs w:val="22"/>
              </w:rPr>
              <w:instrText>ADDIN CSL_CITATION {"citationItems":[{"id":"ITEM-1","itemData":{"DOI":"10.1186/1476-5918-7-7","ISSN":"1476-5918","PMID":"18426582","abstract":"BACKGROUND Methods used to estimate percent body fat can be classified as a laboratory or field technique. However, the validity of these methods compared to multiple-compartment models has not been fully established. The purpose of this study was to determine the validity of field and laboratory methods for estimating percent fat (%fat) in healthy college-age men compared to the Siri three-compartment model (3C). METHODS Thirty-one Caucasian men (22.5 +/- 2.7 yrs; 175.6 +/- 6.3 cm; 76.4 +/- 10.3 kg) had their %fat estimated by bioelectrical impedance analysis (BIA) using the BodyGram computer program (BIA-AK) and population-specific equation (BIA-Lohman), near-infrared interactance (NIR) (Futrex(R) 6100/XL), four circumference-based military equations [Marine Corps (MC), Navy and Air Force (NAF), Army (A), and Friedl], air-displacement plethysmography (BP), and hydrostatic weighing (HW). RESULTS All circumference-based military equations (MC = 4.7% fat, NAF = 5.2% fat, A = 4.7% fat, Friedl = 4.7% fat) along with NIR (NIR = 5.1% fat) produced an unacceptable total error (TE). Both laboratory methods produced acceptable TE values (HW = 2.5% fat; BP = 2.7% fat). The BIA-AK, and BIA-Lohman field methods produced acceptable TE values (2.1% fat). A significant difference was observed for the MC and NAF equations compared to both the 3C model and HW (p &lt; 0.006). CONCLUSION Results indicate that the BP and HW are valid laboratory methods when compared to the 3C model to estimate %fat in college-age Caucasian men. When the use of a laboratory method is not feasible, BIA-AK, and BIA-Lohman are acceptable field methods to estimate %fat in this population.","author":[{"dropping-particle":"","family":"Moon","given":"Jordan R","non-dropping-particle":"","parse-names":false,"suffix":""},{"dropping-particle":"","family":"Tobkin","given":"Sarah E","non-dropping-particle":"","parse-names":false,"suffix":""},{"dropping-particle":"","family":"Smith","given":"Abbie E","non-dropping-particle":"","parse-names":false,"suffix":""},{"dropping-particle":"","family":"Roberts","given":"Michael D","non-dropping-particle":"","parse-names":false,"suffix":""},{"dropping-particle":"","family":"Ryan","given":"Eric D","non-dropping-particle":"","parse-names":false,"suffix":""},{"dropping-particle":"","family":"Dalbo","given":"Vincent J","non-dropping-particle":"","parse-names":false,"suffix":""},{"dropping-particle":"","family":"Lockwood","given":"Chris M","non-dropping-particle":"","parse-names":false,"suffix":""},{"dropping-particle":"","family":"Walter","given":"Ashley A","non-dropping-particle":"","parse-names":false,"suffix":""},{"dropping-particle":"","family":"Cramer","given":"Joel T","non-dropping-particle":"","parse-names":false,"suffix":""},{"dropping-particle":"","family":"Beck","given":"Travis W","non-dropping-particle":"","parse-names":false,"suffix":""},{"dropping-particle":"","family":"Stout","given":"Jeffrey R","non-dropping-particle":"","parse-names":false,"suffix":""}],"container-title":"Dynamic medicine : DM","id":"ITEM-1","issued":{"date-parts":[["2008","4","21"]]},"page":"7","title":"Percent body fat estimations in college men using field and laboratory methods: a three-compartment model approach.","type":"article-journal","volume":"7"},"uris":["http://www.mendeley.com/documents/?uuid=13d01e4c-c1c7-102d-8d56-0024e85e2bb9"]}],"mendeley":{"formattedCitation":"&lt;sup&gt;(51)&lt;/sup&gt;","plainTextFormattedCitation":"(51)","previouslyFormattedCitation":"&lt;sup&gt;(50)&lt;/sup&gt;"},"properties":{"noteIndex":0},"schema":"https://github.com/citation-style-language/schema/raw/master/csl-citation.json"}</w:instrText>
            </w:r>
            <w:r w:rsidR="00C207F8">
              <w:rPr>
                <w:rFonts w:asciiTheme="minorHAnsi" w:hAnsiTheme="minorHAnsi" w:cstheme="minorHAnsi"/>
                <w:szCs w:val="22"/>
              </w:rPr>
              <w:fldChar w:fldCharType="separate"/>
            </w:r>
            <w:r w:rsidR="00B116DF" w:rsidRPr="00B116DF">
              <w:rPr>
                <w:rFonts w:asciiTheme="minorHAnsi" w:hAnsiTheme="minorHAnsi" w:cstheme="minorHAnsi"/>
                <w:noProof/>
                <w:szCs w:val="22"/>
                <w:vertAlign w:val="superscript"/>
              </w:rPr>
              <w:t>(51)</w:t>
            </w:r>
            <w:r w:rsidR="00C207F8">
              <w:rPr>
                <w:rFonts w:asciiTheme="minorHAnsi" w:hAnsiTheme="minorHAnsi" w:cstheme="minorHAnsi"/>
                <w:szCs w:val="22"/>
              </w:rPr>
              <w:fldChar w:fldCharType="end"/>
            </w:r>
          </w:p>
        </w:tc>
        <w:tc>
          <w:tcPr>
            <w:tcW w:w="2188" w:type="pct"/>
            <w:tcBorders>
              <w:top w:val="single" w:sz="12" w:space="0" w:color="auto"/>
            </w:tcBorders>
            <w:shd w:val="clear" w:color="auto" w:fill="auto"/>
          </w:tcPr>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Mixture theory equations for TBW adjusted from BMI using</w:t>
            </w:r>
          </w:p>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K</w:t>
            </w:r>
            <w:r w:rsidR="00163093">
              <w:rPr>
                <w:rFonts w:asciiTheme="minorHAnsi" w:hAnsiTheme="minorHAnsi" w:cstheme="minorHAnsi"/>
                <w:szCs w:val="22"/>
                <w:vertAlign w:val="subscript"/>
              </w:rPr>
              <w:t>B</w:t>
            </w:r>
            <w:r>
              <w:rPr>
                <w:rFonts w:asciiTheme="minorHAnsi" w:hAnsiTheme="minorHAnsi" w:cstheme="minorHAnsi"/>
                <w:szCs w:val="22"/>
              </w:rPr>
              <w:t xml:space="preserve"> = 4.3</w:t>
            </w:r>
          </w:p>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Db = 1.05 (kg/L)</w:t>
            </w:r>
          </w:p>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Male </w:t>
            </w:r>
            <w:r>
              <w:rPr>
                <w:rFonts w:asciiTheme="minorHAnsi" w:hAnsiTheme="minorHAnsi" w:cstheme="minorHAnsi"/>
                <w:szCs w:val="22"/>
              </w:rPr>
              <w:sym w:font="Symbol" w:char="F072"/>
            </w:r>
            <w:r w:rsidRPr="00294DEA">
              <w:rPr>
                <w:rFonts w:asciiTheme="minorHAnsi" w:hAnsiTheme="minorHAnsi" w:cstheme="minorHAnsi"/>
                <w:szCs w:val="22"/>
                <w:vertAlign w:val="subscript"/>
              </w:rPr>
              <w:t>ICW</w:t>
            </w:r>
            <w:r>
              <w:rPr>
                <w:rFonts w:asciiTheme="minorHAnsi" w:hAnsiTheme="minorHAnsi" w:cstheme="minorHAnsi"/>
                <w:szCs w:val="22"/>
              </w:rPr>
              <w:t xml:space="preserve"> = 273.9 (ohm.cm), </w:t>
            </w:r>
            <w:r>
              <w:rPr>
                <w:rFonts w:asciiTheme="minorHAnsi" w:hAnsiTheme="minorHAnsi" w:cstheme="minorHAnsi"/>
                <w:szCs w:val="22"/>
              </w:rPr>
              <w:sym w:font="Symbol" w:char="F072"/>
            </w:r>
            <w:r w:rsidRPr="00D50D33">
              <w:rPr>
                <w:rFonts w:asciiTheme="minorHAnsi" w:hAnsiTheme="minorHAnsi" w:cstheme="minorHAnsi"/>
                <w:szCs w:val="22"/>
                <w:vertAlign w:val="subscript"/>
              </w:rPr>
              <w:t>E</w:t>
            </w:r>
            <w:r w:rsidRPr="0091583B">
              <w:rPr>
                <w:rFonts w:asciiTheme="minorHAnsi" w:hAnsiTheme="minorHAnsi" w:cstheme="minorHAnsi"/>
                <w:szCs w:val="22"/>
                <w:vertAlign w:val="subscript"/>
              </w:rPr>
              <w:t>CW</w:t>
            </w:r>
            <w:r>
              <w:rPr>
                <w:rFonts w:asciiTheme="minorHAnsi" w:hAnsiTheme="minorHAnsi" w:cstheme="minorHAnsi"/>
                <w:szCs w:val="22"/>
              </w:rPr>
              <w:t xml:space="preserve"> = 40.5 (ohm.cm)</w:t>
            </w:r>
          </w:p>
          <w:p w:rsidR="00292146" w:rsidRPr="00606FAA"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Female </w:t>
            </w:r>
            <w:r>
              <w:rPr>
                <w:rFonts w:asciiTheme="minorHAnsi" w:hAnsiTheme="minorHAnsi" w:cstheme="minorHAnsi"/>
                <w:szCs w:val="22"/>
              </w:rPr>
              <w:sym w:font="Symbol" w:char="F072"/>
            </w:r>
            <w:r w:rsidRPr="00294DEA">
              <w:rPr>
                <w:rFonts w:asciiTheme="minorHAnsi" w:hAnsiTheme="minorHAnsi" w:cstheme="minorHAnsi"/>
                <w:szCs w:val="22"/>
                <w:vertAlign w:val="subscript"/>
              </w:rPr>
              <w:t>ICW</w:t>
            </w:r>
            <w:r>
              <w:rPr>
                <w:rFonts w:asciiTheme="minorHAnsi" w:hAnsiTheme="minorHAnsi" w:cstheme="minorHAnsi"/>
                <w:szCs w:val="22"/>
              </w:rPr>
              <w:t xml:space="preserve"> = 264.9 (ohm.cm), </w:t>
            </w:r>
            <w:r>
              <w:rPr>
                <w:rFonts w:asciiTheme="minorHAnsi" w:hAnsiTheme="minorHAnsi" w:cstheme="minorHAnsi"/>
                <w:szCs w:val="22"/>
              </w:rPr>
              <w:sym w:font="Symbol" w:char="F072"/>
            </w:r>
            <w:r w:rsidRPr="00D50D33">
              <w:rPr>
                <w:rFonts w:asciiTheme="minorHAnsi" w:hAnsiTheme="minorHAnsi" w:cstheme="minorHAnsi"/>
                <w:szCs w:val="22"/>
                <w:vertAlign w:val="subscript"/>
              </w:rPr>
              <w:t>E</w:t>
            </w:r>
            <w:r w:rsidRPr="0091583B">
              <w:rPr>
                <w:rFonts w:asciiTheme="minorHAnsi" w:hAnsiTheme="minorHAnsi" w:cstheme="minorHAnsi"/>
                <w:szCs w:val="22"/>
                <w:vertAlign w:val="subscript"/>
              </w:rPr>
              <w:t>CW</w:t>
            </w:r>
            <w:r>
              <w:rPr>
                <w:rFonts w:asciiTheme="minorHAnsi" w:hAnsiTheme="minorHAnsi" w:cstheme="minorHAnsi"/>
                <w:szCs w:val="22"/>
              </w:rPr>
              <w:t xml:space="preserve"> = 39.0 (ohm.cm)</w:t>
            </w:r>
          </w:p>
        </w:tc>
        <w:tc>
          <w:tcPr>
            <w:tcW w:w="938" w:type="pct"/>
            <w:tcBorders>
              <w:top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USA (Caucasian, Hispanic, African-American) Germany, Sweden</w:t>
            </w:r>
          </w:p>
        </w:tc>
        <w:tc>
          <w:tcPr>
            <w:tcW w:w="372" w:type="pct"/>
            <w:tcBorders>
              <w:top w:val="single" w:sz="12" w:space="0" w:color="auto"/>
            </w:tcBorders>
            <w:shd w:val="clear" w:color="auto" w:fill="auto"/>
          </w:tcPr>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76 M,</w:t>
            </w:r>
          </w:p>
          <w:p w:rsidR="00292146" w:rsidRPr="00606FAA"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76 F</w:t>
            </w:r>
          </w:p>
        </w:tc>
        <w:tc>
          <w:tcPr>
            <w:tcW w:w="357" w:type="pct"/>
            <w:tcBorders>
              <w:top w:val="single" w:sz="12" w:space="0" w:color="auto"/>
            </w:tcBorders>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Pr>
                <w:rFonts w:asciiTheme="minorHAnsi" w:hAnsiTheme="minorHAnsi" w:cstheme="minorHAnsi"/>
                <w:szCs w:val="22"/>
              </w:rPr>
              <w:t>43.7 ± 12.4</w:t>
            </w:r>
          </w:p>
        </w:tc>
        <w:tc>
          <w:tcPr>
            <w:tcW w:w="364" w:type="pct"/>
            <w:tcBorders>
              <w:top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p>
        </w:tc>
        <w:tc>
          <w:tcPr>
            <w:tcW w:w="234" w:type="pct"/>
            <w:tcBorders>
              <w:top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p>
        </w:tc>
      </w:tr>
      <w:tr w:rsidR="00CC4707" w:rsidRPr="00606FAA" w:rsidTr="002D19CD">
        <w:tc>
          <w:tcPr>
            <w:tcW w:w="547" w:type="pct"/>
            <w:shd w:val="clear" w:color="auto" w:fill="auto"/>
          </w:tcPr>
          <w:p w:rsidR="00292146" w:rsidRPr="00606FAA" w:rsidRDefault="00292146" w:rsidP="00B116DF">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Moon et al.</w:t>
            </w:r>
            <w:r>
              <w:rPr>
                <w:rFonts w:asciiTheme="minorHAnsi" w:hAnsiTheme="minorHAnsi" w:cstheme="minorHAnsi"/>
                <w:szCs w:val="22"/>
              </w:rPr>
              <w:t xml:space="preserve"> </w:t>
            </w:r>
            <w:r w:rsidR="00C207F8">
              <w:rPr>
                <w:rFonts w:asciiTheme="minorHAnsi" w:hAnsiTheme="minorHAnsi" w:cstheme="minorHAnsi"/>
                <w:szCs w:val="22"/>
              </w:rPr>
              <w:fldChar w:fldCharType="begin" w:fldLock="1"/>
            </w:r>
            <w:r w:rsidR="00B116DF">
              <w:rPr>
                <w:rFonts w:asciiTheme="minorHAnsi" w:hAnsiTheme="minorHAnsi" w:cstheme="minorHAnsi"/>
                <w:szCs w:val="22"/>
              </w:rPr>
              <w:instrText>ADDIN CSL_CITATION {"citationItems":[{"id":"ITEM-1","itemData":{"DOI":"10.1016/j.clnu.2009.04.025","ISSN":"0261-5614","PMID":"19500888","abstract":"BACKGROUND &amp; AIMS: Bioimpedance spectroscopy (BIS) for the estimation of total body water (TBW) has advantages over isotope dilution techniques, including cost, portability, and ease of use. The aim of the current study was to determine the validity of a BIS device (Imp SFB7) for tracking changes in overfat and obese individuals. METHODS: Sixty overfat and obese men and women (27+/-8 yr, 33.41+/-3.81%fat) participated in the study. TBW was estimated using BIS and deuterium oxide (D(2)O) before and after the ten-week intervention. RESULTS: Pre-and post-intervention BIS TBW estimations errors increased as body mass index (BMI), fat mass (FM), and fat-free mass (FFM) increased (p24). Employing a BIS TBW equation is suggested over the development of resistivity coefficients based on BMI, FM, FFM or age.","author":[{"dropping-particle":"","family":"Moon","given":"Jordan R","non-dropping-particle":"","parse-names":false,"suffix":""},{"dropping-particle":"","family":"Smith","given":"Abbie E","non-dropping-particle":"","parse-names":false,"suffix":""},{"dropping-particle":"","family":"Tobkin","given":"Sarah E","non-dropping-particle":"","parse-names":false,"suffix":""},{"dropping-particle":"","family":"Lockwood","given":"Christopher M","non-dropping-particle":"","parse-names":false,"suffix":""},{"dropping-particle":"","family":"Kendall","given":"Kristina L","non-dropping-particle":"","parse-names":false,"suffix":""},{"dropping-particle":"","family":"Graef","given":"Jennifer L","non-dropping-particle":"","parse-names":false,"suffix":""},{"dropping-particle":"","family":"Roberts","given":"Michael D","non-dropping-particle":"","parse-names":false,"suffix":""},{"dropping-particle":"","family":"Dalbo","given":"Vincent J","non-dropping-particle":"","parse-names":false,"suffix":""},{"dropping-particle":"","family":"Kerksick","given":"Chad M","non-dropping-particle":"","parse-names":false,"suffix":""},{"dropping-particle":"","family":"Cramer","given":"Joel T","non-dropping-particle":"","parse-names":false,"suffix":""},{"dropping-particle":"","family":"Beck","given":"Travis W","non-dropping-particle":"","parse-names":false,"suffix":""},{"dropping-particle":"","family":"Stout","given":"Jeffrey R","non-dropping-particle":"","parse-names":false,"suffix":""}],"container-title":"Clinical nutrition Edinburgh Scotland","id":"ITEM-1","issue":"5","issued":{"date-parts":[["2009"]]},"page":"516-525","publisher":"Elsevier Ltd","title":"Total body water changes after an exercise intervention tracked using bioimpedance spectroscopy: a deuterium oxide comparison.","type":"article-journal","volume":"28"},"uris":["http://www.mendeley.com/documents/?uuid=17efbefb-7dd2-416e-aeba-9fe65feefc46"]}],"mendeley":{"formattedCitation":"&lt;sup&gt;(22)&lt;/sup&gt;","plainTextFormattedCitation":"(22)","previouslyFormattedCitation":"&lt;sup&gt;(21)&lt;/sup&gt;"},"properties":{"noteIndex":0},"schema":"https://github.com/citation-style-language/schema/raw/master/csl-citation.json"}</w:instrText>
            </w:r>
            <w:r w:rsidR="00C207F8">
              <w:rPr>
                <w:rFonts w:asciiTheme="minorHAnsi" w:hAnsiTheme="minorHAnsi" w:cstheme="minorHAnsi"/>
                <w:szCs w:val="22"/>
              </w:rPr>
              <w:fldChar w:fldCharType="separate"/>
            </w:r>
            <w:r w:rsidR="00B116DF" w:rsidRPr="00B116DF">
              <w:rPr>
                <w:rFonts w:asciiTheme="minorHAnsi" w:hAnsiTheme="minorHAnsi" w:cstheme="minorHAnsi"/>
                <w:noProof/>
                <w:szCs w:val="22"/>
                <w:vertAlign w:val="superscript"/>
              </w:rPr>
              <w:t>(22)</w:t>
            </w:r>
            <w:r w:rsidR="00C207F8">
              <w:rPr>
                <w:rFonts w:asciiTheme="minorHAnsi" w:hAnsiTheme="minorHAnsi" w:cstheme="minorHAnsi"/>
                <w:szCs w:val="22"/>
              </w:rPr>
              <w:fldChar w:fldCharType="end"/>
            </w:r>
          </w:p>
        </w:tc>
        <w:tc>
          <w:tcPr>
            <w:tcW w:w="2188" w:type="pct"/>
            <w:shd w:val="clear" w:color="auto" w:fill="auto"/>
          </w:tcPr>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Mixture theory equations </w:t>
            </w:r>
          </w:p>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K</w:t>
            </w:r>
            <w:r w:rsidR="00163093" w:rsidRPr="00163093">
              <w:rPr>
                <w:rFonts w:asciiTheme="minorHAnsi" w:hAnsiTheme="minorHAnsi" w:cstheme="minorHAnsi"/>
                <w:szCs w:val="22"/>
                <w:vertAlign w:val="subscript"/>
              </w:rPr>
              <w:t>B</w:t>
            </w:r>
            <w:r>
              <w:rPr>
                <w:rFonts w:asciiTheme="minorHAnsi" w:hAnsiTheme="minorHAnsi" w:cstheme="minorHAnsi"/>
                <w:szCs w:val="22"/>
              </w:rPr>
              <w:t xml:space="preserve"> = 4.3 or 4.0*</w:t>
            </w:r>
          </w:p>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Db = 1.05 (kg/L)</w:t>
            </w:r>
          </w:p>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Male </w:t>
            </w:r>
            <w:r>
              <w:rPr>
                <w:rFonts w:asciiTheme="minorHAnsi" w:hAnsiTheme="minorHAnsi" w:cstheme="minorHAnsi"/>
                <w:szCs w:val="22"/>
              </w:rPr>
              <w:sym w:font="Symbol" w:char="F072"/>
            </w:r>
            <w:r w:rsidRPr="00294DEA">
              <w:rPr>
                <w:rFonts w:asciiTheme="minorHAnsi" w:hAnsiTheme="minorHAnsi" w:cstheme="minorHAnsi"/>
                <w:szCs w:val="22"/>
                <w:vertAlign w:val="subscript"/>
              </w:rPr>
              <w:t>ICW</w:t>
            </w:r>
            <w:r>
              <w:rPr>
                <w:rFonts w:asciiTheme="minorHAnsi" w:hAnsiTheme="minorHAnsi" w:cstheme="minorHAnsi"/>
                <w:szCs w:val="22"/>
              </w:rPr>
              <w:t xml:space="preserve"> = 937.2 (ohm.cm), </w:t>
            </w:r>
            <w:r>
              <w:rPr>
                <w:rFonts w:asciiTheme="minorHAnsi" w:hAnsiTheme="minorHAnsi" w:cstheme="minorHAnsi"/>
                <w:szCs w:val="22"/>
              </w:rPr>
              <w:sym w:font="Symbol" w:char="F072"/>
            </w:r>
            <w:r w:rsidRPr="00D50D33">
              <w:rPr>
                <w:rFonts w:asciiTheme="minorHAnsi" w:hAnsiTheme="minorHAnsi" w:cstheme="minorHAnsi"/>
                <w:szCs w:val="22"/>
                <w:vertAlign w:val="subscript"/>
              </w:rPr>
              <w:t>E</w:t>
            </w:r>
            <w:r w:rsidRPr="0091583B">
              <w:rPr>
                <w:rFonts w:asciiTheme="minorHAnsi" w:hAnsiTheme="minorHAnsi" w:cstheme="minorHAnsi"/>
                <w:szCs w:val="22"/>
                <w:vertAlign w:val="subscript"/>
              </w:rPr>
              <w:t>CW</w:t>
            </w:r>
            <w:r>
              <w:rPr>
                <w:rFonts w:asciiTheme="minorHAnsi" w:hAnsiTheme="minorHAnsi" w:cstheme="minorHAnsi"/>
                <w:szCs w:val="22"/>
              </w:rPr>
              <w:t xml:space="preserve"> = 273.9 (ohm.cm)</w:t>
            </w:r>
          </w:p>
          <w:p w:rsidR="00292146" w:rsidRPr="00606FAA"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Female </w:t>
            </w:r>
            <w:r>
              <w:rPr>
                <w:rFonts w:asciiTheme="minorHAnsi" w:hAnsiTheme="minorHAnsi" w:cstheme="minorHAnsi"/>
                <w:szCs w:val="22"/>
              </w:rPr>
              <w:sym w:font="Symbol" w:char="F072"/>
            </w:r>
            <w:r w:rsidRPr="00294DEA">
              <w:rPr>
                <w:rFonts w:asciiTheme="minorHAnsi" w:hAnsiTheme="minorHAnsi" w:cstheme="minorHAnsi"/>
                <w:szCs w:val="22"/>
                <w:vertAlign w:val="subscript"/>
              </w:rPr>
              <w:t>ICW</w:t>
            </w:r>
            <w:r>
              <w:rPr>
                <w:rFonts w:asciiTheme="minorHAnsi" w:hAnsiTheme="minorHAnsi" w:cstheme="minorHAnsi"/>
                <w:szCs w:val="22"/>
              </w:rPr>
              <w:t xml:space="preserve"> = 894.2 (ohm.cm), </w:t>
            </w:r>
            <w:r>
              <w:rPr>
                <w:rFonts w:asciiTheme="minorHAnsi" w:hAnsiTheme="minorHAnsi" w:cstheme="minorHAnsi"/>
                <w:szCs w:val="22"/>
              </w:rPr>
              <w:sym w:font="Symbol" w:char="F072"/>
            </w:r>
            <w:r w:rsidRPr="0091583B">
              <w:rPr>
                <w:rFonts w:asciiTheme="minorHAnsi" w:hAnsiTheme="minorHAnsi" w:cstheme="minorHAnsi"/>
                <w:szCs w:val="22"/>
                <w:vertAlign w:val="subscript"/>
              </w:rPr>
              <w:t>E</w:t>
            </w:r>
            <w:r w:rsidRPr="00294DEA">
              <w:rPr>
                <w:rFonts w:asciiTheme="minorHAnsi" w:hAnsiTheme="minorHAnsi" w:cstheme="minorHAnsi"/>
                <w:szCs w:val="22"/>
                <w:vertAlign w:val="subscript"/>
              </w:rPr>
              <w:t>CW</w:t>
            </w:r>
            <w:r>
              <w:rPr>
                <w:rFonts w:asciiTheme="minorHAnsi" w:hAnsiTheme="minorHAnsi" w:cstheme="minorHAnsi"/>
                <w:szCs w:val="22"/>
              </w:rPr>
              <w:t xml:space="preserve"> = 235.5 (ohm.cm)</w:t>
            </w:r>
          </w:p>
        </w:tc>
        <w:tc>
          <w:tcPr>
            <w:tcW w:w="938"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USA (Caucasian)</w:t>
            </w:r>
          </w:p>
        </w:tc>
        <w:tc>
          <w:tcPr>
            <w:tcW w:w="372" w:type="pct"/>
            <w:shd w:val="clear" w:color="auto" w:fill="auto"/>
          </w:tcPr>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15 M,</w:t>
            </w:r>
          </w:p>
          <w:p w:rsidR="00292146" w:rsidRPr="00606FAA"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14 F</w:t>
            </w:r>
          </w:p>
        </w:tc>
        <w:tc>
          <w:tcPr>
            <w:tcW w:w="357" w:type="pct"/>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Pr>
                <w:rFonts w:asciiTheme="minorHAnsi" w:hAnsiTheme="minorHAnsi" w:cstheme="minorHAnsi"/>
                <w:szCs w:val="22"/>
              </w:rPr>
              <w:t>18 - 27</w:t>
            </w:r>
          </w:p>
        </w:tc>
        <w:tc>
          <w:tcPr>
            <w:tcW w:w="364"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p>
        </w:tc>
        <w:tc>
          <w:tcPr>
            <w:tcW w:w="234"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p>
        </w:tc>
      </w:tr>
      <w:tr w:rsidR="00CC4707" w:rsidRPr="00606FAA" w:rsidTr="002D19CD">
        <w:tc>
          <w:tcPr>
            <w:tcW w:w="547" w:type="pct"/>
            <w:tcBorders>
              <w:bottom w:val="single" w:sz="12" w:space="0" w:color="auto"/>
            </w:tcBorders>
            <w:shd w:val="clear" w:color="auto" w:fill="auto"/>
          </w:tcPr>
          <w:p w:rsidR="00292146" w:rsidRPr="00606FAA" w:rsidRDefault="00292146" w:rsidP="00B116DF">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Ward et al.</w:t>
            </w:r>
            <w:r w:rsidR="00F3343E">
              <w:rPr>
                <w:rFonts w:asciiTheme="minorHAnsi" w:hAnsiTheme="minorHAnsi" w:cstheme="minorHAnsi"/>
                <w:szCs w:val="22"/>
              </w:rPr>
              <w:t xml:space="preserve"> </w:t>
            </w:r>
            <w:r w:rsidR="00C207F8">
              <w:rPr>
                <w:rFonts w:asciiTheme="minorHAnsi" w:hAnsiTheme="minorHAnsi" w:cstheme="minorHAnsi"/>
                <w:szCs w:val="22"/>
              </w:rPr>
              <w:fldChar w:fldCharType="begin" w:fldLock="1"/>
            </w:r>
            <w:r w:rsidR="00B116DF">
              <w:rPr>
                <w:rFonts w:asciiTheme="minorHAnsi" w:hAnsiTheme="minorHAnsi" w:cstheme="minorHAnsi"/>
                <w:szCs w:val="22"/>
              </w:rPr>
              <w:instrText>ADDIN CSL_CITATION {"citationItems":[{"id":"ITEM-1","itemData":{"DOI":"10.1088/0967-3334/36/7/1529","ISSN":"0967-3334","PMID":"26034992","abstract":"Body composition is commonly predicted from bioelectrical impedance spectroscopy using mixture theory algorithms. Mixture theory algorithms require the input of values for the resistivities of intra-and extracellular water of body tissues. Various derivations of these algorithms have been published, individually requiring resistivity values specific for each algorithm. This study determined apparent resistivity values in 85 healthy males and 66 healthy females for each of the four published mixture theory algorithms. The resistivity coefficients determined here are compared to published values and the inter-individual (biological) variation discussed with particular reference to consequential error in prediction of body fluid volumes. In addition, the relationships between the four algorithmic approaches are derived and methods for the inter-conversion of coefficients between algorithms presented.","author":[{"dropping-particle":"","family":"Ward","given":"L. C.","non-dropping-particle":"","parse-names":false,"suffix":""},{"dropping-particle":"","family":"Isenring","given":"E.","non-dropping-particle":"","parse-names":false,"suffix":""},{"dropping-particle":"","family":"Dyer","given":"J. M.","non-dropping-particle":"","parse-names":false,"suffix":""},{"dropping-particle":"","family":"Kagawa","given":"M.","non-dropping-particle":"","parse-names":false,"suffix":""},{"dropping-particle":"","family":"Essex","given":"T.","non-dropping-particle":"","parse-names":false,"suffix":""}],"container-title":"Physiological Measurement","id":"ITEM-1","issue":"7","issued":{"date-parts":[["2015","6","1"]]},"page":"1529-1549","publisher":"IOP Publishing","title":"Resistivity coefficients for body composition analysis using bioimpedance spectroscopy: effects of body dominance and mixture theory algorithm","type":"article-journal","volume":"36"},"uris":["http://www.mendeley.com/documents/?uuid=3599e5ef-c81a-476b-8d70-7cf1e7677e39"]}],"mendeley":{"formattedCitation":"&lt;sup&gt;(23)&lt;/sup&gt;","plainTextFormattedCitation":"(23)","previouslyFormattedCitation":"&lt;sup&gt;(22)&lt;/sup&gt;"},"properties":{"noteIndex":0},"schema":"https://github.com/citation-style-language/schema/raw/master/csl-citation.json"}</w:instrText>
            </w:r>
            <w:r w:rsidR="00C207F8">
              <w:rPr>
                <w:rFonts w:asciiTheme="minorHAnsi" w:hAnsiTheme="minorHAnsi" w:cstheme="minorHAnsi"/>
                <w:szCs w:val="22"/>
              </w:rPr>
              <w:fldChar w:fldCharType="separate"/>
            </w:r>
            <w:r w:rsidR="00B116DF" w:rsidRPr="00B116DF">
              <w:rPr>
                <w:rFonts w:asciiTheme="minorHAnsi" w:hAnsiTheme="minorHAnsi" w:cstheme="minorHAnsi"/>
                <w:noProof/>
                <w:szCs w:val="22"/>
                <w:vertAlign w:val="superscript"/>
              </w:rPr>
              <w:t>(23)</w:t>
            </w:r>
            <w:r w:rsidR="00C207F8">
              <w:rPr>
                <w:rFonts w:asciiTheme="minorHAnsi" w:hAnsiTheme="minorHAnsi" w:cstheme="minorHAnsi"/>
                <w:szCs w:val="22"/>
              </w:rPr>
              <w:fldChar w:fldCharType="end"/>
            </w:r>
          </w:p>
        </w:tc>
        <w:tc>
          <w:tcPr>
            <w:tcW w:w="2188" w:type="pct"/>
            <w:tcBorders>
              <w:bottom w:val="single" w:sz="12" w:space="0" w:color="auto"/>
            </w:tcBorders>
            <w:shd w:val="clear" w:color="auto" w:fill="auto"/>
          </w:tcPr>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Mixture theory equations </w:t>
            </w:r>
          </w:p>
          <w:p w:rsidR="00292146" w:rsidRDefault="00163093" w:rsidP="002D19CD">
            <w:pPr>
              <w:autoSpaceDE w:val="0"/>
              <w:autoSpaceDN w:val="0"/>
              <w:adjustRightInd w:val="0"/>
              <w:rPr>
                <w:rFonts w:asciiTheme="minorHAnsi" w:hAnsiTheme="minorHAnsi" w:cstheme="minorHAnsi"/>
                <w:szCs w:val="22"/>
              </w:rPr>
            </w:pPr>
            <w:r>
              <w:rPr>
                <w:rFonts w:asciiTheme="minorHAnsi" w:hAnsiTheme="minorHAnsi" w:cstheme="minorHAnsi"/>
                <w:szCs w:val="22"/>
              </w:rPr>
              <w:t>K</w:t>
            </w:r>
            <w:r w:rsidRPr="00163093">
              <w:rPr>
                <w:rFonts w:asciiTheme="minorHAnsi" w:hAnsiTheme="minorHAnsi" w:cstheme="minorHAnsi"/>
                <w:szCs w:val="22"/>
                <w:vertAlign w:val="subscript"/>
              </w:rPr>
              <w:t>B</w:t>
            </w:r>
            <w:r w:rsidR="00292146">
              <w:rPr>
                <w:rFonts w:asciiTheme="minorHAnsi" w:hAnsiTheme="minorHAnsi" w:cstheme="minorHAnsi"/>
                <w:szCs w:val="22"/>
              </w:rPr>
              <w:t xml:space="preserve"> = 4.3 or 4.0*</w:t>
            </w:r>
          </w:p>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Db = 1.05 (kg/L)</w:t>
            </w:r>
          </w:p>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Male </w:t>
            </w:r>
            <w:r>
              <w:rPr>
                <w:rFonts w:asciiTheme="minorHAnsi" w:hAnsiTheme="minorHAnsi" w:cstheme="minorHAnsi"/>
                <w:szCs w:val="22"/>
              </w:rPr>
              <w:sym w:font="Symbol" w:char="F072"/>
            </w:r>
            <w:r w:rsidRPr="00294DEA">
              <w:rPr>
                <w:rFonts w:asciiTheme="minorHAnsi" w:hAnsiTheme="minorHAnsi" w:cstheme="minorHAnsi"/>
                <w:szCs w:val="22"/>
                <w:vertAlign w:val="subscript"/>
              </w:rPr>
              <w:t>ICW</w:t>
            </w:r>
            <w:r>
              <w:rPr>
                <w:rFonts w:asciiTheme="minorHAnsi" w:hAnsiTheme="minorHAnsi" w:cstheme="minorHAnsi"/>
                <w:szCs w:val="22"/>
              </w:rPr>
              <w:t xml:space="preserve"> = 1029.0 (ohm.cm), </w:t>
            </w:r>
            <w:r>
              <w:rPr>
                <w:rFonts w:asciiTheme="minorHAnsi" w:hAnsiTheme="minorHAnsi" w:cstheme="minorHAnsi"/>
                <w:szCs w:val="22"/>
              </w:rPr>
              <w:sym w:font="Symbol" w:char="F072"/>
            </w:r>
            <w:r w:rsidRPr="00D50D33">
              <w:rPr>
                <w:rFonts w:asciiTheme="minorHAnsi" w:hAnsiTheme="minorHAnsi" w:cstheme="minorHAnsi"/>
                <w:szCs w:val="22"/>
                <w:vertAlign w:val="subscript"/>
              </w:rPr>
              <w:t>E</w:t>
            </w:r>
            <w:r w:rsidRPr="0091583B">
              <w:rPr>
                <w:rFonts w:asciiTheme="minorHAnsi" w:hAnsiTheme="minorHAnsi" w:cstheme="minorHAnsi"/>
                <w:szCs w:val="22"/>
                <w:vertAlign w:val="subscript"/>
              </w:rPr>
              <w:t>CW</w:t>
            </w:r>
            <w:r>
              <w:rPr>
                <w:rFonts w:asciiTheme="minorHAnsi" w:hAnsiTheme="minorHAnsi" w:cstheme="minorHAnsi"/>
                <w:szCs w:val="22"/>
              </w:rPr>
              <w:t xml:space="preserve"> = 355.5 (ohm.cm)</w:t>
            </w:r>
          </w:p>
          <w:p w:rsidR="00292146" w:rsidRPr="00606FAA"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Female </w:t>
            </w:r>
            <w:r>
              <w:rPr>
                <w:rFonts w:asciiTheme="minorHAnsi" w:hAnsiTheme="minorHAnsi" w:cstheme="minorHAnsi"/>
                <w:szCs w:val="22"/>
              </w:rPr>
              <w:sym w:font="Symbol" w:char="F072"/>
            </w:r>
            <w:r w:rsidRPr="00294DEA">
              <w:rPr>
                <w:rFonts w:asciiTheme="minorHAnsi" w:hAnsiTheme="minorHAnsi" w:cstheme="minorHAnsi"/>
                <w:szCs w:val="22"/>
                <w:vertAlign w:val="subscript"/>
              </w:rPr>
              <w:t>ICW</w:t>
            </w:r>
            <w:r>
              <w:rPr>
                <w:rFonts w:asciiTheme="minorHAnsi" w:hAnsiTheme="minorHAnsi" w:cstheme="minorHAnsi"/>
                <w:szCs w:val="22"/>
              </w:rPr>
              <w:t xml:space="preserve"> = 927.5 (ohm.cm), </w:t>
            </w:r>
            <w:r>
              <w:rPr>
                <w:rFonts w:asciiTheme="minorHAnsi" w:hAnsiTheme="minorHAnsi" w:cstheme="minorHAnsi"/>
                <w:szCs w:val="22"/>
              </w:rPr>
              <w:sym w:font="Symbol" w:char="F072"/>
            </w:r>
            <w:r w:rsidRPr="00D50D33">
              <w:rPr>
                <w:rFonts w:asciiTheme="minorHAnsi" w:hAnsiTheme="minorHAnsi" w:cstheme="minorHAnsi"/>
                <w:szCs w:val="22"/>
                <w:vertAlign w:val="subscript"/>
              </w:rPr>
              <w:t>E</w:t>
            </w:r>
            <w:r w:rsidRPr="0091583B">
              <w:rPr>
                <w:rFonts w:asciiTheme="minorHAnsi" w:hAnsiTheme="minorHAnsi" w:cstheme="minorHAnsi"/>
                <w:szCs w:val="22"/>
                <w:vertAlign w:val="subscript"/>
              </w:rPr>
              <w:t>CW</w:t>
            </w:r>
            <w:r>
              <w:rPr>
                <w:rFonts w:asciiTheme="minorHAnsi" w:hAnsiTheme="minorHAnsi" w:cstheme="minorHAnsi"/>
                <w:szCs w:val="22"/>
              </w:rPr>
              <w:t xml:space="preserve"> = 289.6 (ohm.cm)</w:t>
            </w:r>
          </w:p>
        </w:tc>
        <w:tc>
          <w:tcPr>
            <w:tcW w:w="938" w:type="pct"/>
            <w:tcBorders>
              <w:bottom w:val="single" w:sz="12" w:space="0" w:color="auto"/>
            </w:tcBorders>
            <w:shd w:val="clear" w:color="auto" w:fill="auto"/>
          </w:tcPr>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Australian</w:t>
            </w:r>
          </w:p>
          <w:p w:rsidR="00292146" w:rsidRPr="00606FAA"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(predominantly Caucasian)</w:t>
            </w:r>
          </w:p>
        </w:tc>
        <w:tc>
          <w:tcPr>
            <w:tcW w:w="372" w:type="pct"/>
            <w:tcBorders>
              <w:bottom w:val="single" w:sz="12" w:space="0" w:color="auto"/>
            </w:tcBorders>
            <w:shd w:val="clear" w:color="auto" w:fill="auto"/>
          </w:tcPr>
          <w:p w:rsidR="00292146"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85 M,</w:t>
            </w:r>
          </w:p>
          <w:p w:rsidR="00292146" w:rsidRPr="00606FAA" w:rsidRDefault="00292146" w:rsidP="002D19CD">
            <w:pPr>
              <w:autoSpaceDE w:val="0"/>
              <w:autoSpaceDN w:val="0"/>
              <w:adjustRightInd w:val="0"/>
              <w:rPr>
                <w:rFonts w:asciiTheme="minorHAnsi" w:hAnsiTheme="minorHAnsi" w:cstheme="minorHAnsi"/>
                <w:szCs w:val="22"/>
              </w:rPr>
            </w:pPr>
            <w:r>
              <w:rPr>
                <w:rFonts w:asciiTheme="minorHAnsi" w:hAnsiTheme="minorHAnsi" w:cstheme="minorHAnsi"/>
                <w:szCs w:val="22"/>
              </w:rPr>
              <w:t>66 F</w:t>
            </w:r>
          </w:p>
        </w:tc>
        <w:tc>
          <w:tcPr>
            <w:tcW w:w="357" w:type="pct"/>
            <w:tcBorders>
              <w:bottom w:val="single" w:sz="12" w:space="0" w:color="auto"/>
            </w:tcBorders>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Pr>
                <w:rFonts w:asciiTheme="minorHAnsi" w:hAnsiTheme="minorHAnsi" w:cstheme="minorHAnsi"/>
                <w:szCs w:val="22"/>
              </w:rPr>
              <w:t>18 - 65</w:t>
            </w:r>
          </w:p>
        </w:tc>
        <w:tc>
          <w:tcPr>
            <w:tcW w:w="364" w:type="pct"/>
            <w:tcBorders>
              <w:bottom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p>
        </w:tc>
        <w:tc>
          <w:tcPr>
            <w:tcW w:w="234" w:type="pct"/>
            <w:tcBorders>
              <w:bottom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p>
        </w:tc>
      </w:tr>
      <w:tr w:rsidR="00292146" w:rsidRPr="00606FAA" w:rsidTr="002D19CD">
        <w:tc>
          <w:tcPr>
            <w:tcW w:w="5000" w:type="pct"/>
            <w:gridSpan w:val="7"/>
            <w:tcBorders>
              <w:top w:val="single" w:sz="12" w:space="0" w:color="auto"/>
              <w:bottom w:val="single" w:sz="12" w:space="0" w:color="auto"/>
            </w:tcBorders>
            <w:shd w:val="clear" w:color="auto" w:fill="auto"/>
          </w:tcPr>
          <w:p w:rsidR="00292146" w:rsidRPr="00606FAA" w:rsidRDefault="00292146" w:rsidP="002D19CD">
            <w:pPr>
              <w:autoSpaceDE w:val="0"/>
              <w:autoSpaceDN w:val="0"/>
              <w:adjustRightInd w:val="0"/>
              <w:jc w:val="center"/>
              <w:rPr>
                <w:rFonts w:asciiTheme="minorHAnsi" w:hAnsiTheme="minorHAnsi" w:cstheme="minorHAnsi"/>
                <w:b/>
                <w:bCs/>
                <w:szCs w:val="22"/>
              </w:rPr>
            </w:pPr>
            <w:r w:rsidRPr="00606FAA">
              <w:rPr>
                <w:rFonts w:asciiTheme="minorHAnsi" w:hAnsiTheme="minorHAnsi" w:cstheme="minorHAnsi"/>
                <w:b/>
                <w:bCs/>
                <w:szCs w:val="22"/>
              </w:rPr>
              <w:t>Published SFBIA prediction equations for body composition in children aged 5 – 18 years</w:t>
            </w:r>
          </w:p>
        </w:tc>
      </w:tr>
      <w:tr w:rsidR="00CC4707" w:rsidRPr="00606FAA" w:rsidTr="002D19CD">
        <w:tc>
          <w:tcPr>
            <w:tcW w:w="547" w:type="pct"/>
            <w:tcBorders>
              <w:top w:val="single" w:sz="12" w:space="0" w:color="auto"/>
            </w:tcBorders>
            <w:shd w:val="clear" w:color="auto" w:fill="auto"/>
          </w:tcPr>
          <w:p w:rsidR="00292146" w:rsidRPr="00606FAA" w:rsidRDefault="00292146" w:rsidP="00B116DF">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 xml:space="preserve">Rush et al. </w:t>
            </w:r>
            <w:r w:rsidR="00C207F8">
              <w:rPr>
                <w:rFonts w:asciiTheme="minorHAnsi" w:hAnsiTheme="minorHAnsi" w:cstheme="minorHAnsi"/>
                <w:szCs w:val="22"/>
              </w:rPr>
              <w:fldChar w:fldCharType="begin" w:fldLock="1"/>
            </w:r>
            <w:r w:rsidR="00B116DF">
              <w:rPr>
                <w:rFonts w:asciiTheme="minorHAnsi" w:hAnsiTheme="minorHAnsi" w:cstheme="minorHAnsi"/>
                <w:szCs w:val="22"/>
              </w:rPr>
              <w:instrText>ADDIN CSL_CITATION {"citationItems":[{"id":"ITEM-1","itemData":{"DOI":"10.1038/sj.ejcn.1601701","ISBN":"0954-3007","ISSN":"09543007","PMID":"14576752","abstract":"Objective: To compare percentage body fat (%BF) for a given body mass index (BMI) among New Zealand European, Maori and Pacific Island children. To develop prediction equations based on bioimpedance measurements for the estimation of fat-free mass (FFM) appropriate to children in these three ethnic groups. Design: Cross-sectional study. Purposive sampling of schoolchildren aimed at recruiting three children of each sex and ethnicity for each year of age. Double cross-validation of FFM prediction equations developed by multiple regression. Setting: Local schools in Auckland. Subjects: Healthy European, Maori and Pacific Island children (n = 172, 83 M, 89 F, mean age 9.4±2.8(s.d.), range 5-14y). Measurements: Height, weight, age, sex and ethnicity were recorded. FFM was derived from measurements of total body water by deuterium dilution and resistance and reactance were measured by bioimpedance analysis. Results: For fixed BMI, the Maori and Pacific Island girls averaged 3.7% lower %BF than European girls. For boys a similar relation was not found since BMI did not significantly influence %BF of European boys (P=0.18). Based on bioimpedance measurements a single prediction equation was developed for all children: FFM (kg) = 0.622 height (cm)2 /resistance + 0.234 weight (kg) + 1.166, R2 = 0.96, s.e.e. = 2.44 kg. Ethnicity, age and sex were not significant predictors. Conclusions: A robust equation for estimation of FFM in New Zealand European, Maori and Pacific Island children in the 5-14y age range that is more suitable than BMI for the determination of body fatness in field studies has been developed.","author":[{"dropping-particle":"","family":"Rush","given":"Elaine C.","non-dropping-particle":"","parse-names":false,"suffix":""},{"dropping-particle":"","family":"Puniani","given":"K.","non-dropping-particle":"","parse-names":false,"suffix":""},{"dropping-particle":"","family":"Valencia","given":"M. E.","non-dropping-particle":"","parse-names":false,"suffix":""},{"dropping-particle":"","family":"Davies","given":"P. S.W. W","non-dropping-particle":"","parse-names":false,"suffix":""},{"dropping-particle":"","family":"Plank","given":"L. D.","non-dropping-particle":"","parse-names":false,"suffix":""}],"container-title":"European Journal of Clinical Nutrition","id":"ITEM-1","issue":"11","issued":{"date-parts":[["2003"]]},"page":"1394-1401","title":"Estimation of body fatness from body mass index and bioelectrical impedance: Comparison of New Zealand European, Maori and Pacific Island children","type":"article-journal","volume":"57"},"uris":["http://www.mendeley.com/documents/?uuid=2206728f-fc95-4646-9192-587bc95d0187"]}],"mendeley":{"formattedCitation":"&lt;sup&gt;(34)&lt;/sup&gt;","plainTextFormattedCitation":"(34)","previouslyFormattedCitation":"&lt;sup&gt;(33)&lt;/sup&gt;"},"properties":{"noteIndex":0},"schema":"https://github.com/citation-style-language/schema/raw/master/csl-citation.json"}</w:instrText>
            </w:r>
            <w:r w:rsidR="00C207F8">
              <w:rPr>
                <w:rFonts w:asciiTheme="minorHAnsi" w:hAnsiTheme="minorHAnsi" w:cstheme="minorHAnsi"/>
                <w:szCs w:val="22"/>
              </w:rPr>
              <w:fldChar w:fldCharType="separate"/>
            </w:r>
            <w:r w:rsidR="00B116DF" w:rsidRPr="00B116DF">
              <w:rPr>
                <w:rFonts w:asciiTheme="minorHAnsi" w:hAnsiTheme="minorHAnsi" w:cstheme="minorHAnsi"/>
                <w:noProof/>
                <w:szCs w:val="22"/>
                <w:vertAlign w:val="superscript"/>
              </w:rPr>
              <w:t>(34)</w:t>
            </w:r>
            <w:r w:rsidR="00C207F8">
              <w:rPr>
                <w:rFonts w:asciiTheme="minorHAnsi" w:hAnsiTheme="minorHAnsi" w:cstheme="minorHAnsi"/>
                <w:szCs w:val="22"/>
              </w:rPr>
              <w:fldChar w:fldCharType="end"/>
            </w:r>
          </w:p>
        </w:tc>
        <w:tc>
          <w:tcPr>
            <w:tcW w:w="2188" w:type="pct"/>
            <w:tcBorders>
              <w:top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FFM = 0.622 (RI) + 0.234 (W) + 1.166</w:t>
            </w:r>
          </w:p>
        </w:tc>
        <w:tc>
          <w:tcPr>
            <w:tcW w:w="938" w:type="pct"/>
            <w:tcBorders>
              <w:top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 xml:space="preserve">New Zealand </w:t>
            </w:r>
            <w:r>
              <w:rPr>
                <w:rFonts w:asciiTheme="minorHAnsi" w:hAnsiTheme="minorHAnsi" w:cstheme="minorHAnsi"/>
                <w:szCs w:val="22"/>
              </w:rPr>
              <w:t>Caucasian</w:t>
            </w:r>
            <w:r w:rsidRPr="00606FAA">
              <w:rPr>
                <w:rFonts w:asciiTheme="minorHAnsi" w:hAnsiTheme="minorHAnsi" w:cstheme="minorHAnsi"/>
                <w:szCs w:val="22"/>
              </w:rPr>
              <w:t>, Maori, Pacific Islands</w:t>
            </w:r>
          </w:p>
        </w:tc>
        <w:tc>
          <w:tcPr>
            <w:tcW w:w="372" w:type="pct"/>
            <w:tcBorders>
              <w:top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83 M,</w:t>
            </w:r>
          </w:p>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89 F</w:t>
            </w:r>
          </w:p>
        </w:tc>
        <w:tc>
          <w:tcPr>
            <w:tcW w:w="357" w:type="pct"/>
            <w:tcBorders>
              <w:top w:val="single" w:sz="12" w:space="0" w:color="auto"/>
            </w:tcBorders>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sidRPr="00606FAA">
              <w:rPr>
                <w:rFonts w:asciiTheme="minorHAnsi" w:hAnsiTheme="minorHAnsi" w:cstheme="minorHAnsi"/>
                <w:szCs w:val="22"/>
              </w:rPr>
              <w:t>5 - 14</w:t>
            </w:r>
          </w:p>
        </w:tc>
        <w:tc>
          <w:tcPr>
            <w:tcW w:w="364" w:type="pct"/>
            <w:tcBorders>
              <w:top w:val="single" w:sz="12" w:space="0" w:color="auto"/>
            </w:tcBorders>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sidRPr="00606FAA">
              <w:rPr>
                <w:rFonts w:asciiTheme="minorHAnsi" w:hAnsiTheme="minorHAnsi" w:cstheme="minorHAnsi"/>
                <w:szCs w:val="22"/>
              </w:rPr>
              <w:t>2.44</w:t>
            </w:r>
          </w:p>
        </w:tc>
        <w:tc>
          <w:tcPr>
            <w:tcW w:w="234" w:type="pct"/>
            <w:tcBorders>
              <w:top w:val="single" w:sz="12"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0.96</w:t>
            </w:r>
          </w:p>
        </w:tc>
      </w:tr>
      <w:tr w:rsidR="00CC4707" w:rsidRPr="00606FAA" w:rsidTr="002D19CD">
        <w:tc>
          <w:tcPr>
            <w:tcW w:w="547" w:type="pct"/>
            <w:shd w:val="clear" w:color="auto" w:fill="auto"/>
          </w:tcPr>
          <w:p w:rsidR="00292146" w:rsidRPr="00606FAA" w:rsidRDefault="008804A4" w:rsidP="00B116DF">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Jemaa et al. </w:t>
            </w:r>
            <w:r w:rsidR="00C207F8">
              <w:rPr>
                <w:rFonts w:asciiTheme="minorHAnsi" w:hAnsiTheme="minorHAnsi" w:cstheme="minorHAnsi"/>
                <w:szCs w:val="22"/>
              </w:rPr>
              <w:fldChar w:fldCharType="begin" w:fldLock="1"/>
            </w:r>
            <w:r w:rsidR="00B116DF">
              <w:rPr>
                <w:rFonts w:asciiTheme="minorHAnsi" w:hAnsiTheme="minorHAnsi" w:cstheme="minorHAnsi"/>
                <w:szCs w:val="22"/>
              </w:rPr>
              <w:instrText>ADDIN CSL_CITATION {"citationItems":[{"id":"ITEM-1","itemData":{"DOI":"10.1016/j.clnu.2018.01.028","ISBN":"1532-1983 (Electronic) 0261-5614 (Linking)","ISSN":"02615614","PMID":"29429643","abstract":"Background/objectives: Accuracy of impedance analysis depends on population-specific prediction equations. The aim of this study was to propose new prediction equations to estimate body composition using impedance analysis for healthy Tunisian children and validate them using the deuterium oxide dilution (D2O) technique. Subjects/methods: Body composition was estimated by the Tanita impedance analyzer. The validity of this system was investigated in 134 school children aged between 8 and 11 years. The validity of other published equations was also tested in our sample. Total body water (TBW) and Fat-Free Mass (FFM) were determined using the D2O technique. Participants were divided equally into development (n = 67) and validation groups (n = 67) to develop prediction equation using linear regression models. Results: The comparison between body composition obtained by Tanita system and by D2O technique illustrated a significant difference (p &lt; 0.01). Compared to D2O technique, Tanita impedance analysis underestimates fat mass and overestimates FFM and TBW. The prediction equations for TBW and FFM were developed with sex, age, weight and resistance index as possible predictor variables. The selected equations presented the highest adjusted coefficient of determination (R2), the lowest standard error of the estimate (SEE) value and the lowest p-values. The pure error was 1.263 for the TBW equation and 1.646 for the FFM. The Bland Altman plot illustrated the good level of concordance between the TBW and FFM predicted by the new equations and measured by isotope dilution. Conclusions: Our study provides valid prediction equations for estimation of TBW, FFM from impedance analysis measures for Tunisian children. These equations are applicable to children aged between 8 and 11 years.","author":[{"dropping-particle":"","family":"Jemaa","given":"Houda","non-dropping-particle":"Ben","parse-names":false,"suffix":""},{"dropping-particle":"","family":"Mankaï","given":"Amani","non-dropping-particle":"","parse-names":false,"suffix":""},{"dropping-particle":"","family":"Khlifi","given":"Sarra","non-dropping-particle":"","parse-names":false,"suffix":""},{"dropping-particle":"","family":"Minaoui","given":"Rim","non-dropping-particle":"","parse-names":false,"suffix":""},{"dropping-particle":"","family":"Ghozzi","given":"Dhekra","non-dropping-particle":"","parse-names":false,"suffix":""},{"dropping-particle":"","family":"Zediri","given":"Manel","non-dropping-particle":"","parse-names":false,"suffix":""},{"dropping-particle":"","family":"Kortobi","given":"Belhassen","non-dropping-particle":"","parse-names":false,"suffix":""},{"dropping-particle":"","family":"Karmous","given":"Inchirah","non-dropping-particle":"","parse-names":false,"suffix":""},{"dropping-particle":"","family":"Hmad","given":"Halima","non-dropping-particle":"Ben","parse-names":false,"suffix":""},{"dropping-particle":"","family":"Slama","given":"Fethi","non-dropping-particle":"Ben","parse-names":false,"suffix":""},{"dropping-particle":"","family":"Jamoussi","given":"Henda","non-dropping-particle":"","parse-names":false,"suffix":""},{"dropping-particle":"","family":"Aguenaou","given":"Hassan","non-dropping-particle":"","parse-names":false,"suffix":""},{"dropping-particle":"","family":"Kari","given":"Khalid","non-dropping-particle":"El","parse-names":false,"suffix":""},{"dropping-particle":"","family":"Aouidet","given":"Abdallah","non-dropping-particle":"","parse-names":false,"suffix":""}],"container-title":"Clinical Nutrition","id":"ITEM-1","issue":"1","issued":{"date-parts":[["2019","2"]]},"page":"227-233","title":"Development and validation of impedance-based equations for the prediction of total body water and fat-free mass in children aged 8–11 years","type":"article-journal","volume":"38"},"uris":["http://www.mendeley.com/documents/?uuid=5cbb96f0-2923-42e1-84cd-ef447efc0699"]}],"mendeley":{"formattedCitation":"&lt;sup&gt;(35)&lt;/sup&gt;","plainTextFormattedCitation":"(35)","previouslyFormattedCitation":"&lt;sup&gt;(34)&lt;/sup&gt;"},"properties":{"noteIndex":0},"schema":"https://github.com/citation-style-language/schema/raw/master/csl-citation.json"}</w:instrText>
            </w:r>
            <w:r w:rsidR="00C207F8">
              <w:rPr>
                <w:rFonts w:asciiTheme="minorHAnsi" w:hAnsiTheme="minorHAnsi" w:cstheme="minorHAnsi"/>
                <w:szCs w:val="22"/>
              </w:rPr>
              <w:fldChar w:fldCharType="separate"/>
            </w:r>
            <w:r w:rsidR="00B116DF" w:rsidRPr="00B116DF">
              <w:rPr>
                <w:rFonts w:asciiTheme="minorHAnsi" w:hAnsiTheme="minorHAnsi" w:cstheme="minorHAnsi"/>
                <w:noProof/>
                <w:szCs w:val="22"/>
                <w:vertAlign w:val="superscript"/>
              </w:rPr>
              <w:t>(35)</w:t>
            </w:r>
            <w:r w:rsidR="00C207F8">
              <w:rPr>
                <w:rFonts w:asciiTheme="minorHAnsi" w:hAnsiTheme="minorHAnsi" w:cstheme="minorHAnsi"/>
                <w:szCs w:val="22"/>
              </w:rPr>
              <w:fldChar w:fldCharType="end"/>
            </w:r>
          </w:p>
        </w:tc>
        <w:tc>
          <w:tcPr>
            <w:tcW w:w="2188"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TBW = 0.083 (RI) + 0.274 (A) + 0.637 (S) + 0.310 (W) + 2.456</w:t>
            </w:r>
          </w:p>
        </w:tc>
        <w:tc>
          <w:tcPr>
            <w:tcW w:w="938"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Tunisia</w:t>
            </w:r>
            <w:r>
              <w:rPr>
                <w:rFonts w:asciiTheme="minorHAnsi" w:hAnsiTheme="minorHAnsi" w:cstheme="minorHAnsi"/>
                <w:szCs w:val="22"/>
              </w:rPr>
              <w:t>n</w:t>
            </w:r>
          </w:p>
        </w:tc>
        <w:tc>
          <w:tcPr>
            <w:tcW w:w="372"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 xml:space="preserve">67 both sexes </w:t>
            </w:r>
          </w:p>
        </w:tc>
        <w:tc>
          <w:tcPr>
            <w:tcW w:w="357" w:type="pct"/>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sidRPr="00606FAA">
              <w:rPr>
                <w:rFonts w:asciiTheme="minorHAnsi" w:hAnsiTheme="minorHAnsi" w:cstheme="minorHAnsi"/>
                <w:szCs w:val="22"/>
              </w:rPr>
              <w:t>8 - 11</w:t>
            </w:r>
          </w:p>
        </w:tc>
        <w:tc>
          <w:tcPr>
            <w:tcW w:w="364" w:type="pct"/>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sidRPr="00606FAA">
              <w:rPr>
                <w:rFonts w:asciiTheme="minorHAnsi" w:hAnsiTheme="minorHAnsi" w:cstheme="minorHAnsi"/>
                <w:szCs w:val="22"/>
              </w:rPr>
              <w:t>1.34</w:t>
            </w:r>
          </w:p>
        </w:tc>
        <w:tc>
          <w:tcPr>
            <w:tcW w:w="234"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0.92</w:t>
            </w:r>
          </w:p>
        </w:tc>
      </w:tr>
      <w:tr w:rsidR="00CC4707" w:rsidRPr="00606FAA" w:rsidTr="002D19CD">
        <w:tc>
          <w:tcPr>
            <w:tcW w:w="547" w:type="pct"/>
            <w:shd w:val="clear" w:color="auto" w:fill="auto"/>
          </w:tcPr>
          <w:p w:rsidR="00292146" w:rsidRPr="00606FAA" w:rsidRDefault="008804A4" w:rsidP="00B116DF">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De Lorenzo et al. </w:t>
            </w:r>
            <w:r w:rsidR="00C207F8">
              <w:rPr>
                <w:rFonts w:asciiTheme="minorHAnsi" w:hAnsiTheme="minorHAnsi" w:cstheme="minorHAnsi"/>
                <w:szCs w:val="22"/>
              </w:rPr>
              <w:fldChar w:fldCharType="begin" w:fldLock="1"/>
            </w:r>
            <w:r w:rsidR="00B116DF">
              <w:rPr>
                <w:rFonts w:asciiTheme="minorHAnsi" w:hAnsiTheme="minorHAnsi" w:cstheme="minorHAnsi"/>
                <w:szCs w:val="22"/>
              </w:rPr>
              <w:instrText>ADDIN CSL_CITATION {"citationItems":[{"id":"ITEM-1","itemData":{"DOI":"10.1007/s00592-003-0069-z","ISSN":"08926638","abstract":"Bioelectric Impedance Analysis (BIA) is a simple, safe and inexpensive method for the body composition assessment both in pediatric and adult samples. The aim of our study was to validate the impedance index, ZI (H 2 /Z, height in cm 2 /impedance) as a predictor factor of Fat-free Mass (FFM) in a sample (75) of normal children age (9.9±1.4, yrs), BMI (17.7±2.8, kg/m 2 ). Dual energy X-ray absorptiometry (DXA) was chosen as a reference method, despite some minor bias, as it is considerably less expensive and difficult to administer in pediatric samples than other established \"gold standard\" reference body composition methods. Study characteristic variables are shown (p value: females vs males). Variables Females (25) Males (50) p value Z(Ω 50 ) 737.0±76.8 631.2±60.2  &lt; 0.0001 ZI (cm 2 /Ω 50 ) 26.6±7.6 31.0±5.7 0.006 FFM DXA 23.8±6.1 25.7±3.8 0.10 ZI values were highly correlated with FFM measured by DXA. The following equations were obtain from the regression analysis: Males, FFM DXA = 0.6375 (ZI) + 5.9913, R 2 = 0.897, p &lt; 0.0001. Females, FFM DXA = 0.7597 (ZI)+ 3.5853, R 2 = 0.903, p &lt; 0.0001. These data supported that BIA alone can be used as a surrogate to measure FFM in pediatric sample.","author":[{"dropping-particle":"","family":"Lorenzo","given":"A.","non-dropping-particle":"De","parse-names":false,"suffix":""},{"dropping-particle":"","family":"Pietrobelli","given":"A.","non-dropping-particle":"","parse-names":false,"suffix":""},{"dropping-particle":"","family":"Faith","given":"M. S.","non-dropping-particle":"","parse-names":false,"suffix":""},{"dropping-particle":"","family":"Wang","given":"J.","non-dropping-particle":"","parse-names":false,"suffix":""},{"dropping-particle":"","family":"Andreoli","given":"A.","non-dropping-particle":"","parse-names":false,"suffix":""},{"dropping-particle":"","family":"Heymsfield","given":"S. B.","non-dropping-particle":"","parse-names":false,"suffix":""}],"container-title":"FASEB Journal","id":"ITEM-1","issue":"5","issued":{"date-parts":[["1998"]]},"page":"212-215","title":"Predicting fat-free mass in children using bioimpedance analysis","type":"article-journal","volume":"12"},"uris":["http://www.mendeley.com/documents/?uuid=4c05abe6-aafc-4924-bab1-df4cd0a9f063"]}],"mendeley":{"formattedCitation":"&lt;sup&gt;(36)&lt;/sup&gt;","plainTextFormattedCitation":"(36)","previouslyFormattedCitation":"&lt;sup&gt;(35)&lt;/sup&gt;"},"properties":{"noteIndex":0},"schema":"https://github.com/citation-style-language/schema/raw/master/csl-citation.json"}</w:instrText>
            </w:r>
            <w:r w:rsidR="00C207F8">
              <w:rPr>
                <w:rFonts w:asciiTheme="minorHAnsi" w:hAnsiTheme="minorHAnsi" w:cstheme="minorHAnsi"/>
                <w:szCs w:val="22"/>
              </w:rPr>
              <w:fldChar w:fldCharType="separate"/>
            </w:r>
            <w:r w:rsidR="00B116DF" w:rsidRPr="00B116DF">
              <w:rPr>
                <w:rFonts w:asciiTheme="minorHAnsi" w:hAnsiTheme="minorHAnsi" w:cstheme="minorHAnsi"/>
                <w:noProof/>
                <w:szCs w:val="22"/>
                <w:vertAlign w:val="superscript"/>
              </w:rPr>
              <w:t>(36)</w:t>
            </w:r>
            <w:r w:rsidR="00C207F8">
              <w:rPr>
                <w:rFonts w:asciiTheme="minorHAnsi" w:hAnsiTheme="minorHAnsi" w:cstheme="minorHAnsi"/>
                <w:szCs w:val="22"/>
              </w:rPr>
              <w:fldChar w:fldCharType="end"/>
            </w:r>
          </w:p>
        </w:tc>
        <w:tc>
          <w:tcPr>
            <w:tcW w:w="2188"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FFM = 0.588 (RI) + 0.21 (W) + 2.33</w:t>
            </w:r>
          </w:p>
        </w:tc>
        <w:tc>
          <w:tcPr>
            <w:tcW w:w="938"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Italian</w:t>
            </w:r>
            <w:r>
              <w:rPr>
                <w:rFonts w:asciiTheme="minorHAnsi" w:hAnsiTheme="minorHAnsi" w:cstheme="minorHAnsi"/>
                <w:szCs w:val="22"/>
              </w:rPr>
              <w:t xml:space="preserve"> Caucasian</w:t>
            </w:r>
          </w:p>
        </w:tc>
        <w:tc>
          <w:tcPr>
            <w:tcW w:w="372"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p>
        </w:tc>
        <w:tc>
          <w:tcPr>
            <w:tcW w:w="357" w:type="pct"/>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sidRPr="00606FAA">
              <w:rPr>
                <w:rFonts w:asciiTheme="minorHAnsi" w:hAnsiTheme="minorHAnsi" w:cstheme="minorHAnsi"/>
                <w:szCs w:val="22"/>
              </w:rPr>
              <w:t>7.7 - 13</w:t>
            </w:r>
          </w:p>
        </w:tc>
        <w:tc>
          <w:tcPr>
            <w:tcW w:w="364" w:type="pct"/>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sidRPr="00606FAA">
              <w:rPr>
                <w:rFonts w:asciiTheme="minorHAnsi" w:hAnsiTheme="minorHAnsi" w:cstheme="minorHAnsi"/>
                <w:szCs w:val="22"/>
              </w:rPr>
              <w:t>1.0</w:t>
            </w:r>
          </w:p>
        </w:tc>
        <w:tc>
          <w:tcPr>
            <w:tcW w:w="234"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0.96</w:t>
            </w:r>
          </w:p>
        </w:tc>
      </w:tr>
      <w:tr w:rsidR="00CC4707" w:rsidRPr="00606FAA" w:rsidTr="002D19CD">
        <w:tc>
          <w:tcPr>
            <w:tcW w:w="547" w:type="pct"/>
            <w:shd w:val="clear" w:color="auto" w:fill="auto"/>
          </w:tcPr>
          <w:p w:rsidR="00292146" w:rsidRPr="00606FAA" w:rsidRDefault="00292146" w:rsidP="00B116DF">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 xml:space="preserve">El Harchaoui et al. </w:t>
            </w:r>
            <w:r w:rsidR="00C207F8">
              <w:rPr>
                <w:rFonts w:asciiTheme="minorHAnsi" w:hAnsiTheme="minorHAnsi" w:cstheme="minorHAnsi"/>
                <w:szCs w:val="22"/>
              </w:rPr>
              <w:fldChar w:fldCharType="begin" w:fldLock="1"/>
            </w:r>
            <w:r w:rsidR="00B116DF">
              <w:rPr>
                <w:rFonts w:asciiTheme="minorHAnsi" w:hAnsiTheme="minorHAnsi" w:cstheme="minorHAnsi"/>
                <w:szCs w:val="22"/>
              </w:rPr>
              <w:instrText>ADDIN CSL_CITATION {"citationItems":[{"id":"ITEM-1","itemData":{"DOI":"10.1038/s41430-018-0093-2","ISSN":"14765640","PMID":"29391592","abstract":"Background/objectives: Estimating body composition using bioelectric impedance analysis (BIA) requires specific prediction equations. The purpose of our study was to examine the validity of published BIA equations for assessing total body water (TBW) and fat-free mass (FFM) using deuterium oxide dilution (D 2 O) as a reference method and to develop new FFM and TBW BIA equations if needed for Moroccan pre-pubertal children. Subjects/methods: Data were collected from 247 schoolchildren aged 8–11 years old. Children were sorted by gender and age group and assigned in development and validation groups. D 2 O dilution was used as reference method for estimating TBW and FFM. Bland and Altman test, effect size, pure error, and proportional bias were used to assess the reliability of previous published equations. Cross-validation was performed by Bland and Altman test and BIA new equations were developed by linear regression. Results: Previously published equations were tested and showed significant bias values indicating that if used they would provide biased values of TBW and FFM. The new prediction equations developed were: TBWD2O (l) = 0.269 + 0.292 Ht 2 /R (cm 2 /Ω) + 0.221 weight (kg) + 0.824 sex (boys = 1, girls = 0) + 0.291 age (years) (R 2 = 0.91, RMSE = 1.54 kg); FFMD2O (kg) = −0.450 + 0.380 Ht 2 /R (cm 2 /Ω) + 0.291 weight (kg) + 1.294 sex (boys = 1, girls = 0) + 0.446 age (years) (R 2 = 0.91, RMSE = 1.97 kg). These equations provide better values of proportional bias, agreement, and pure error than the other tested equations. Conclusions: The new BIA prediction equations seem to be the most accurate for Moroccan pre-pubertal children.","author":[{"dropping-particle":"","family":"Harchaoui","given":"Imane","non-dropping-particle":"El","parse-names":false,"suffix":""},{"dropping-particle":"","family":"Hamdouchi","given":"Asmaa","non-dropping-particle":"El","parse-names":false,"suffix":""},{"dropping-particle":"","family":"Baddou","given":"Issad","non-dropping-particle":"","parse-names":false,"suffix":""},{"dropping-particle":"","family":"Menchawy","given":"Imane","non-dropping-particle":"El","parse-names":false,"suffix":""},{"dropping-particle":"","family":"Benjeddou","given":"Kaoutar","non-dropping-particle":"","parse-names":false,"suffix":""},{"dropping-particle":"","family":"Saeid","given":"Naima","non-dropping-particle":"","parse-names":false,"suffix":""},{"dropping-particle":"","family":"Belghiti","given":"Hakim","non-dropping-particle":"","parse-names":false,"suffix":""},{"dropping-particle":"","family":"Mzibri","given":"Mohammed","non-dropping-particle":"El","parse-names":false,"suffix":""},{"dropping-particle":"","family":"Kari","given":"Khalid","non-dropping-particle":"El","parse-names":false,"suffix":""},{"dropping-particle":"","family":"Aguenaou","given":"Hassan","non-dropping-particle":"","parse-names":false,"suffix":""}],"container-title":"European Journal of Clinical Nutrition","id":"ITEM-1","issue":"12","issued":{"date-parts":[["2018"]]},"page":"1663-1672","publisher":"Springer US","title":"Development and validation of bioelectrical impedance analysis equations for prediction total body water and fat-free mass using D 2 O technique in Moroccan children aged between 8 and 11 years old","type":"article-journal","volume":"72"},"uris":["http://www.mendeley.com/documents/?uuid=4fff158e-90d4-43a9-8473-e239afd0fff7"]}],"mendeley":{"formattedCitation":"&lt;sup&gt;(37)&lt;/sup&gt;","plainTextFormattedCitation":"(37)","previouslyFormattedCitation":"&lt;sup&gt;(36)&lt;/sup&gt;"},"properties":{"noteIndex":0},"schema":"https://github.com/citation-style-language/schema/raw/master/csl-citation.json"}</w:instrText>
            </w:r>
            <w:r w:rsidR="00C207F8">
              <w:rPr>
                <w:rFonts w:asciiTheme="minorHAnsi" w:hAnsiTheme="minorHAnsi" w:cstheme="minorHAnsi"/>
                <w:szCs w:val="22"/>
              </w:rPr>
              <w:fldChar w:fldCharType="separate"/>
            </w:r>
            <w:r w:rsidR="00B116DF" w:rsidRPr="00B116DF">
              <w:rPr>
                <w:rFonts w:asciiTheme="minorHAnsi" w:hAnsiTheme="minorHAnsi" w:cstheme="minorHAnsi"/>
                <w:noProof/>
                <w:szCs w:val="22"/>
                <w:vertAlign w:val="superscript"/>
              </w:rPr>
              <w:t>(37)</w:t>
            </w:r>
            <w:r w:rsidR="00C207F8">
              <w:rPr>
                <w:rFonts w:asciiTheme="minorHAnsi" w:hAnsiTheme="minorHAnsi" w:cstheme="minorHAnsi"/>
                <w:szCs w:val="22"/>
              </w:rPr>
              <w:fldChar w:fldCharType="end"/>
            </w:r>
          </w:p>
        </w:tc>
        <w:tc>
          <w:tcPr>
            <w:tcW w:w="2188"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TBW = 0.292 (RI) +0.221 (W) + 0.824 (S) + 0.269</w:t>
            </w:r>
          </w:p>
        </w:tc>
        <w:tc>
          <w:tcPr>
            <w:tcW w:w="938"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Morocc</w:t>
            </w:r>
            <w:r>
              <w:rPr>
                <w:rFonts w:asciiTheme="minorHAnsi" w:hAnsiTheme="minorHAnsi" w:cstheme="minorHAnsi"/>
                <w:szCs w:val="22"/>
              </w:rPr>
              <w:t>an</w:t>
            </w:r>
          </w:p>
        </w:tc>
        <w:tc>
          <w:tcPr>
            <w:tcW w:w="372"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82 M,</w:t>
            </w:r>
          </w:p>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41 F</w:t>
            </w:r>
          </w:p>
        </w:tc>
        <w:tc>
          <w:tcPr>
            <w:tcW w:w="357" w:type="pct"/>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sidRPr="00606FAA">
              <w:rPr>
                <w:rFonts w:asciiTheme="minorHAnsi" w:hAnsiTheme="minorHAnsi" w:cstheme="minorHAnsi"/>
                <w:szCs w:val="22"/>
              </w:rPr>
              <w:t>8 - 11</w:t>
            </w:r>
          </w:p>
        </w:tc>
        <w:tc>
          <w:tcPr>
            <w:tcW w:w="364" w:type="pct"/>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sidRPr="00606FAA">
              <w:rPr>
                <w:rFonts w:asciiTheme="minorHAnsi" w:hAnsiTheme="minorHAnsi" w:cstheme="minorHAnsi"/>
                <w:szCs w:val="22"/>
              </w:rPr>
              <w:t>1.51</w:t>
            </w:r>
          </w:p>
        </w:tc>
        <w:tc>
          <w:tcPr>
            <w:tcW w:w="234" w:type="pct"/>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0.91</w:t>
            </w:r>
          </w:p>
        </w:tc>
      </w:tr>
      <w:tr w:rsidR="00CC4707" w:rsidRPr="00606FAA" w:rsidTr="002D19CD">
        <w:tc>
          <w:tcPr>
            <w:tcW w:w="547" w:type="pct"/>
            <w:tcBorders>
              <w:bottom w:val="single" w:sz="18" w:space="0" w:color="auto"/>
            </w:tcBorders>
            <w:shd w:val="clear" w:color="auto" w:fill="auto"/>
          </w:tcPr>
          <w:p w:rsidR="00292146" w:rsidRPr="00606FAA" w:rsidRDefault="008804A4" w:rsidP="00B116DF">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Horlick et al. </w:t>
            </w:r>
            <w:r w:rsidR="00C207F8">
              <w:rPr>
                <w:rFonts w:asciiTheme="minorHAnsi" w:hAnsiTheme="minorHAnsi" w:cstheme="minorHAnsi"/>
                <w:szCs w:val="22"/>
              </w:rPr>
              <w:fldChar w:fldCharType="begin" w:fldLock="1"/>
            </w:r>
            <w:r w:rsidR="00B116DF">
              <w:rPr>
                <w:rFonts w:asciiTheme="minorHAnsi" w:hAnsiTheme="minorHAnsi" w:cstheme="minorHAnsi"/>
                <w:szCs w:val="22"/>
              </w:rPr>
              <w:instrText>ADDIN CSL_CITATION {"citationItems":[{"id":"ITEM-1","itemData":{"PMID":"12399270","abstract":"BACKGROUND: Bioelectrical impedance analysis (BIA) is an attractive method of measuring pediatric body composition in the field, but the applicability of existing equations to diverse populations has been questioned. OBJECTIVE: The objectives were to evaluate the performance of 13 published pediatric BIA-based predictive equations for total body water (TBW) and fat-free mass (FFM) and to refit the best-performing models. DESIGN: We used TBW by deuterium dilution, FFM by dual-energy X-ray absorptiometry, and BIA-derived variables to evaluate BIA models in a cross-sectional study of 1291 pediatric subjects aged 4-18 y, from several ethnic backgrounds, including 54 children with HIV infection and 627 females. The best-performing models were refitted according to criterion values from this population, cross-validated, and assessed for performance. Additional variables were added to improve the predictive accuracy of the equations. RESULTS: The correlation between predicted and criterion values was high for all models tested, but bias and precision improved with the refitted models. The 95% limits of agreement between predicted and criterion values were 16% and 11% for TBW and FFM, respectively. Bias was significant for some subgroups, and there was greater loss of precision in specific age groups and pubertal stages. The models with additional variables eliminated bias, but the limits of agreement and the loss of precision persisted. CONCLUSION: This study confirms that BIA prediction models may not be appropriate for individual evaluation but are suitable for population studies. Additional variables may be necessary to eliminate bias for specific subgroups.","author":[{"dropping-particle":"","family":"Horlick","given":"Mary","non-dropping-particle":"","parse-names":false,"suffix":""},{"dropping-particle":"","family":"Arpadi","given":"Stephen M","non-dropping-particle":"","parse-names":false,"suffix":""},{"dropping-particle":"","family":"Bethel","given":"James","non-dropping-particle":"","parse-names":false,"suffix":""},{"dropping-particle":"","family":"Wang","given":"Jack","non-dropping-particle":"","parse-names":false,"suffix":""},{"dropping-particle":"","family":"Moye","given":"Jack","non-dropping-particle":"","parse-names":false,"suffix":""},{"dropping-particle":"","family":"Cuff","given":"Patricia","non-dropping-particle":"","parse-names":false,"suffix":""},{"dropping-particle":"","family":"Pierson","given":"Richard N","non-dropping-particle":"","parse-names":false,"suffix":""},{"dropping-particle":"","family":"Kotler","given":"Donald","non-dropping-particle":"","parse-names":false,"suffix":""}],"container-title":"The American journal of clinical nutrition","id":"ITEM-1","issue":"5","issued":{"date-parts":[["2002"]]},"page":"991-999","title":"Bioelectrical impedance analysis models for prediction of total body water and fat-free mass in healthy and HIV-infected children and adolescents.","type":"article-journal","volume":"76"},"uris":["http://www.mendeley.com/documents/?uuid=5f291e70-c1c2-102d-8d56-0024e85e2bb9"]}],"mendeley":{"formattedCitation":"&lt;sup&gt;(38)&lt;/sup&gt;","plainTextFormattedCitation":"(38)","previouslyFormattedCitation":"&lt;sup&gt;(37)&lt;/sup&gt;"},"properties":{"noteIndex":0},"schema":"https://github.com/citation-style-language/schema/raw/master/csl-citation.json"}</w:instrText>
            </w:r>
            <w:r w:rsidR="00C207F8">
              <w:rPr>
                <w:rFonts w:asciiTheme="minorHAnsi" w:hAnsiTheme="minorHAnsi" w:cstheme="minorHAnsi"/>
                <w:szCs w:val="22"/>
              </w:rPr>
              <w:fldChar w:fldCharType="separate"/>
            </w:r>
            <w:r w:rsidR="00B116DF" w:rsidRPr="00B116DF">
              <w:rPr>
                <w:rFonts w:asciiTheme="minorHAnsi" w:hAnsiTheme="minorHAnsi" w:cstheme="minorHAnsi"/>
                <w:noProof/>
                <w:szCs w:val="22"/>
                <w:vertAlign w:val="superscript"/>
              </w:rPr>
              <w:t>(38)</w:t>
            </w:r>
            <w:r w:rsidR="00C207F8">
              <w:rPr>
                <w:rFonts w:asciiTheme="minorHAnsi" w:hAnsiTheme="minorHAnsi" w:cstheme="minorHAnsi"/>
                <w:szCs w:val="22"/>
              </w:rPr>
              <w:fldChar w:fldCharType="end"/>
            </w:r>
          </w:p>
        </w:tc>
        <w:tc>
          <w:tcPr>
            <w:tcW w:w="2188" w:type="pct"/>
            <w:tcBorders>
              <w:bottom w:val="single" w:sz="18"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TBW = 0.475 (RI) + 0.14 (W) + 0.725</w:t>
            </w:r>
          </w:p>
        </w:tc>
        <w:tc>
          <w:tcPr>
            <w:tcW w:w="938" w:type="pct"/>
            <w:tcBorders>
              <w:bottom w:val="single" w:sz="18"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USA (White, African-American, Asian, Hispanic)</w:t>
            </w:r>
          </w:p>
        </w:tc>
        <w:tc>
          <w:tcPr>
            <w:tcW w:w="372" w:type="pct"/>
            <w:tcBorders>
              <w:bottom w:val="single" w:sz="18"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664 M, 627 F</w:t>
            </w:r>
          </w:p>
        </w:tc>
        <w:tc>
          <w:tcPr>
            <w:tcW w:w="357" w:type="pct"/>
            <w:tcBorders>
              <w:bottom w:val="single" w:sz="18" w:space="0" w:color="auto"/>
            </w:tcBorders>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sidRPr="00606FAA">
              <w:rPr>
                <w:rFonts w:asciiTheme="minorHAnsi" w:hAnsiTheme="minorHAnsi" w:cstheme="minorHAnsi"/>
                <w:szCs w:val="22"/>
              </w:rPr>
              <w:t>4-18</w:t>
            </w:r>
          </w:p>
        </w:tc>
        <w:tc>
          <w:tcPr>
            <w:tcW w:w="364" w:type="pct"/>
            <w:tcBorders>
              <w:bottom w:val="single" w:sz="18" w:space="0" w:color="auto"/>
            </w:tcBorders>
            <w:shd w:val="clear" w:color="auto" w:fill="auto"/>
          </w:tcPr>
          <w:p w:rsidR="00292146" w:rsidRPr="00606FAA" w:rsidRDefault="00292146" w:rsidP="002D19CD">
            <w:pPr>
              <w:autoSpaceDE w:val="0"/>
              <w:autoSpaceDN w:val="0"/>
              <w:adjustRightInd w:val="0"/>
              <w:jc w:val="center"/>
              <w:rPr>
                <w:rFonts w:asciiTheme="minorHAnsi" w:hAnsiTheme="minorHAnsi" w:cstheme="minorHAnsi"/>
                <w:szCs w:val="22"/>
              </w:rPr>
            </w:pPr>
            <w:r w:rsidRPr="00606FAA">
              <w:rPr>
                <w:rFonts w:asciiTheme="minorHAnsi" w:hAnsiTheme="minorHAnsi" w:cstheme="minorHAnsi"/>
                <w:szCs w:val="22"/>
              </w:rPr>
              <w:t>0.001</w:t>
            </w:r>
          </w:p>
        </w:tc>
        <w:tc>
          <w:tcPr>
            <w:tcW w:w="234" w:type="pct"/>
            <w:tcBorders>
              <w:bottom w:val="single" w:sz="18" w:space="0" w:color="auto"/>
            </w:tcBorders>
            <w:shd w:val="clear" w:color="auto" w:fill="auto"/>
          </w:tcPr>
          <w:p w:rsidR="00292146" w:rsidRPr="00606FAA" w:rsidRDefault="00292146" w:rsidP="002D19CD">
            <w:pPr>
              <w:autoSpaceDE w:val="0"/>
              <w:autoSpaceDN w:val="0"/>
              <w:adjustRightInd w:val="0"/>
              <w:rPr>
                <w:rFonts w:asciiTheme="minorHAnsi" w:hAnsiTheme="minorHAnsi" w:cstheme="minorHAnsi"/>
                <w:szCs w:val="22"/>
              </w:rPr>
            </w:pPr>
            <w:r w:rsidRPr="00606FAA">
              <w:rPr>
                <w:rFonts w:asciiTheme="minorHAnsi" w:hAnsiTheme="minorHAnsi" w:cstheme="minorHAnsi"/>
                <w:szCs w:val="22"/>
              </w:rPr>
              <w:t>0.95</w:t>
            </w:r>
          </w:p>
        </w:tc>
      </w:tr>
    </w:tbl>
    <w:p w:rsidR="009A78BD" w:rsidRDefault="00292146" w:rsidP="008804A4">
      <w:pPr>
        <w:spacing w:line="360" w:lineRule="auto"/>
        <w:rPr>
          <w:rFonts w:asciiTheme="minorHAnsi" w:hAnsiTheme="minorHAnsi" w:cstheme="minorHAnsi"/>
          <w:szCs w:val="22"/>
        </w:rPr>
      </w:pPr>
      <w:r w:rsidRPr="00606FAA">
        <w:rPr>
          <w:rFonts w:asciiTheme="minorHAnsi" w:hAnsiTheme="minorHAnsi" w:cstheme="minorHAnsi"/>
          <w:szCs w:val="22"/>
        </w:rPr>
        <w:t>SEE = standard error of the estimate; R</w:t>
      </w:r>
      <w:r w:rsidRPr="00606FAA">
        <w:rPr>
          <w:rFonts w:asciiTheme="minorHAnsi" w:hAnsiTheme="minorHAnsi" w:cstheme="minorHAnsi"/>
          <w:szCs w:val="22"/>
          <w:vertAlign w:val="superscript"/>
        </w:rPr>
        <w:t>2</w:t>
      </w:r>
      <w:r w:rsidRPr="00606FAA">
        <w:rPr>
          <w:rFonts w:asciiTheme="minorHAnsi" w:hAnsiTheme="minorHAnsi" w:cstheme="minorHAnsi"/>
          <w:szCs w:val="22"/>
        </w:rPr>
        <w:t xml:space="preserve"> = coefficient of determination; A = age (years); RI = resistance index (H</w:t>
      </w:r>
      <w:r w:rsidRPr="00606FAA">
        <w:rPr>
          <w:rFonts w:asciiTheme="minorHAnsi" w:hAnsiTheme="minorHAnsi" w:cstheme="minorHAnsi"/>
          <w:szCs w:val="22"/>
          <w:vertAlign w:val="superscript"/>
        </w:rPr>
        <w:t>^2</w:t>
      </w:r>
      <w:r w:rsidRPr="00606FAA">
        <w:rPr>
          <w:rFonts w:asciiTheme="minorHAnsi" w:hAnsiTheme="minorHAnsi" w:cstheme="minorHAnsi"/>
          <w:szCs w:val="22"/>
        </w:rPr>
        <w:t>/R50, cm</w:t>
      </w:r>
      <w:r w:rsidRPr="00606FAA">
        <w:rPr>
          <w:rFonts w:asciiTheme="minorHAnsi" w:hAnsiTheme="minorHAnsi" w:cstheme="minorHAnsi"/>
          <w:szCs w:val="22"/>
          <w:vertAlign w:val="superscript"/>
        </w:rPr>
        <w:t>^2</w:t>
      </w:r>
      <w:r w:rsidRPr="00606FAA">
        <w:rPr>
          <w:rFonts w:asciiTheme="minorHAnsi" w:hAnsiTheme="minorHAnsi" w:cstheme="minorHAnsi"/>
          <w:szCs w:val="22"/>
        </w:rPr>
        <w:t xml:space="preserve">/ohm); Xc = reactance at 50 kHz; (ohm) W = weight (kg); H = height (cm); S = </w:t>
      </w:r>
      <w:r w:rsidRPr="00F3343E">
        <w:rPr>
          <w:rFonts w:asciiTheme="minorHAnsi" w:hAnsiTheme="minorHAnsi" w:cstheme="minorHAnsi"/>
          <w:szCs w:val="22"/>
        </w:rPr>
        <w:t>sex (</w:t>
      </w:r>
      <w:r w:rsidR="00F3343E" w:rsidRPr="00F3343E">
        <w:rPr>
          <w:rFonts w:asciiTheme="minorHAnsi" w:hAnsiTheme="minorHAnsi" w:cstheme="minorHAnsi"/>
          <w:szCs w:val="22"/>
        </w:rPr>
        <w:t>male = 1, female = 0</w:t>
      </w:r>
      <w:r w:rsidRPr="00F3343E">
        <w:rPr>
          <w:rFonts w:asciiTheme="minorHAnsi" w:hAnsiTheme="minorHAnsi" w:cstheme="minorHAnsi"/>
          <w:szCs w:val="22"/>
        </w:rPr>
        <w:t>);*</w:t>
      </w:r>
      <w:r>
        <w:rPr>
          <w:rFonts w:asciiTheme="minorHAnsi" w:hAnsiTheme="minorHAnsi" w:cstheme="minorHAnsi"/>
          <w:szCs w:val="22"/>
        </w:rPr>
        <w:t xml:space="preserve"> K value calcu</w:t>
      </w:r>
      <w:r w:rsidR="009A78BD">
        <w:rPr>
          <w:rFonts w:asciiTheme="minorHAnsi" w:hAnsiTheme="minorHAnsi" w:cstheme="minorHAnsi"/>
          <w:szCs w:val="22"/>
        </w:rPr>
        <w:t>lated in this study for children</w:t>
      </w:r>
    </w:p>
    <w:p w:rsidR="00D5239E" w:rsidRPr="00F658C8" w:rsidRDefault="00D5239E" w:rsidP="009A78BD">
      <w:pPr>
        <w:spacing w:after="200" w:line="276" w:lineRule="auto"/>
        <w:rPr>
          <w:rFonts w:cstheme="majorBidi"/>
        </w:rPr>
      </w:pPr>
    </w:p>
    <w:sectPr w:rsidR="00D5239E" w:rsidRPr="00F658C8" w:rsidSect="009A78BD">
      <w:pgSz w:w="15840" w:h="12240" w:orient="landscape"/>
      <w:pgMar w:top="1134" w:right="1134" w:bottom="1134" w:left="1134" w:header="720" w:footer="720" w:gutter="0"/>
      <w:lnNumType w:countBy="1" w:restart="continuou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CD5" w:rsidRDefault="000F4CD5">
      <w:r>
        <w:separator/>
      </w:r>
    </w:p>
  </w:endnote>
  <w:endnote w:type="continuationSeparator" w:id="0">
    <w:p w:rsidR="000F4CD5" w:rsidRDefault="000F4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CD5" w:rsidRDefault="000F4CD5">
      <w:r>
        <w:separator/>
      </w:r>
    </w:p>
  </w:footnote>
  <w:footnote w:type="continuationSeparator" w:id="0">
    <w:p w:rsidR="000F4CD5" w:rsidRDefault="000F4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902162"/>
      <w:docPartObj>
        <w:docPartGallery w:val="Page Numbers (Top of Page)"/>
        <w:docPartUnique/>
      </w:docPartObj>
    </w:sdtPr>
    <w:sdtEndPr>
      <w:rPr>
        <w:noProof/>
      </w:rPr>
    </w:sdtEndPr>
    <w:sdtContent>
      <w:p w:rsidR="005F42A1" w:rsidRDefault="00C207F8">
        <w:pPr>
          <w:pStyle w:val="Header"/>
          <w:jc w:val="right"/>
        </w:pPr>
        <w:r>
          <w:fldChar w:fldCharType="begin"/>
        </w:r>
        <w:r w:rsidR="005F42A1">
          <w:instrText xml:space="preserve"> PAGE   \* MERGEFORMAT </w:instrText>
        </w:r>
        <w:r>
          <w:fldChar w:fldCharType="separate"/>
        </w:r>
        <w:r w:rsidR="0057048E">
          <w:rPr>
            <w:noProof/>
          </w:rPr>
          <w:t>1</w:t>
        </w:r>
        <w:r>
          <w:rPr>
            <w:noProof/>
          </w:rPr>
          <w:fldChar w:fldCharType="end"/>
        </w:r>
      </w:p>
    </w:sdtContent>
  </w:sdt>
  <w:p w:rsidR="005F42A1" w:rsidRDefault="005F42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3935"/>
    <w:multiLevelType w:val="hybridMultilevel"/>
    <w:tmpl w:val="C4A8F4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AB01F4"/>
    <w:multiLevelType w:val="hybridMultilevel"/>
    <w:tmpl w:val="BB205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97E3B"/>
    <w:multiLevelType w:val="hybridMultilevel"/>
    <w:tmpl w:val="E8E67338"/>
    <w:lvl w:ilvl="0" w:tplc="FC0E27B6">
      <w:start w:val="36"/>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071A2"/>
    <w:multiLevelType w:val="hybridMultilevel"/>
    <w:tmpl w:val="34F6469A"/>
    <w:lvl w:ilvl="0" w:tplc="0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A6A81"/>
    <w:multiLevelType w:val="hybridMultilevel"/>
    <w:tmpl w:val="34F6469A"/>
    <w:lvl w:ilvl="0" w:tplc="0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9B2B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57E700BC"/>
    <w:multiLevelType w:val="hybridMultilevel"/>
    <w:tmpl w:val="F8A44A2E"/>
    <w:lvl w:ilvl="0" w:tplc="87986794">
      <w:numFmt w:val="bullet"/>
      <w:lvlText w:val=""/>
      <w:lvlJc w:val="left"/>
      <w:pPr>
        <w:ind w:left="1266" w:hanging="360"/>
      </w:pPr>
      <w:rPr>
        <w:rFonts w:ascii="Wingdings" w:eastAsia="Times New Roman" w:hAnsi="Wingdings" w:cstheme="minorHAnsi" w:hint="default"/>
      </w:rPr>
    </w:lvl>
    <w:lvl w:ilvl="1" w:tplc="0C090003">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7">
    <w:nsid w:val="701F1427"/>
    <w:multiLevelType w:val="hybridMultilevel"/>
    <w:tmpl w:val="C36A6F00"/>
    <w:lvl w:ilvl="0" w:tplc="14A6A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E4298C"/>
    <w:multiLevelType w:val="hybridMultilevel"/>
    <w:tmpl w:val="C25CEB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0"/>
  </w:num>
  <w:num w:numId="3">
    <w:abstractNumId w:val="8"/>
  </w:num>
  <w:num w:numId="4">
    <w:abstractNumId w:val="1"/>
  </w:num>
  <w:num w:numId="5">
    <w:abstractNumId w:val="6"/>
  </w:num>
  <w:num w:numId="6">
    <w:abstractNumId w:val="7"/>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Intl J Obesit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3423D0"/>
    <w:rsid w:val="00006034"/>
    <w:rsid w:val="00011832"/>
    <w:rsid w:val="00016A8C"/>
    <w:rsid w:val="00017C73"/>
    <w:rsid w:val="000230EC"/>
    <w:rsid w:val="00027714"/>
    <w:rsid w:val="000279F6"/>
    <w:rsid w:val="00037364"/>
    <w:rsid w:val="0004034B"/>
    <w:rsid w:val="000416D5"/>
    <w:rsid w:val="00047F33"/>
    <w:rsid w:val="00051ABF"/>
    <w:rsid w:val="000535FD"/>
    <w:rsid w:val="00057663"/>
    <w:rsid w:val="000606DC"/>
    <w:rsid w:val="00070209"/>
    <w:rsid w:val="000723ED"/>
    <w:rsid w:val="00072DA4"/>
    <w:rsid w:val="00073337"/>
    <w:rsid w:val="00075D92"/>
    <w:rsid w:val="00081442"/>
    <w:rsid w:val="00084C3B"/>
    <w:rsid w:val="00091EF5"/>
    <w:rsid w:val="00093B2B"/>
    <w:rsid w:val="00094DAD"/>
    <w:rsid w:val="000A2060"/>
    <w:rsid w:val="000A3013"/>
    <w:rsid w:val="000B0CA1"/>
    <w:rsid w:val="000B3BF1"/>
    <w:rsid w:val="000B5306"/>
    <w:rsid w:val="000C1538"/>
    <w:rsid w:val="000C3CBC"/>
    <w:rsid w:val="000C7445"/>
    <w:rsid w:val="000D6C8C"/>
    <w:rsid w:val="000E2C35"/>
    <w:rsid w:val="000E5D96"/>
    <w:rsid w:val="000E748D"/>
    <w:rsid w:val="000F40D6"/>
    <w:rsid w:val="000F4CD5"/>
    <w:rsid w:val="00100BE5"/>
    <w:rsid w:val="00105305"/>
    <w:rsid w:val="00110206"/>
    <w:rsid w:val="00112613"/>
    <w:rsid w:val="00116243"/>
    <w:rsid w:val="001361F9"/>
    <w:rsid w:val="001375CA"/>
    <w:rsid w:val="001417D0"/>
    <w:rsid w:val="00162810"/>
    <w:rsid w:val="00163093"/>
    <w:rsid w:val="00176A1E"/>
    <w:rsid w:val="00180569"/>
    <w:rsid w:val="00192894"/>
    <w:rsid w:val="001A0439"/>
    <w:rsid w:val="001C1449"/>
    <w:rsid w:val="001C42D2"/>
    <w:rsid w:val="001C7DBB"/>
    <w:rsid w:val="001D2BFE"/>
    <w:rsid w:val="001E5170"/>
    <w:rsid w:val="001E7E95"/>
    <w:rsid w:val="0020573F"/>
    <w:rsid w:val="0021395E"/>
    <w:rsid w:val="0022448F"/>
    <w:rsid w:val="0023157D"/>
    <w:rsid w:val="002527B7"/>
    <w:rsid w:val="00256C21"/>
    <w:rsid w:val="00256DD3"/>
    <w:rsid w:val="00270FA0"/>
    <w:rsid w:val="00273216"/>
    <w:rsid w:val="00284F8F"/>
    <w:rsid w:val="00292146"/>
    <w:rsid w:val="00294DEA"/>
    <w:rsid w:val="0029577E"/>
    <w:rsid w:val="00295D7C"/>
    <w:rsid w:val="002A1E9B"/>
    <w:rsid w:val="002A2623"/>
    <w:rsid w:val="002A2A64"/>
    <w:rsid w:val="002A2AC8"/>
    <w:rsid w:val="002B0C97"/>
    <w:rsid w:val="002B47F1"/>
    <w:rsid w:val="002B7AF9"/>
    <w:rsid w:val="002D19CD"/>
    <w:rsid w:val="002D7467"/>
    <w:rsid w:val="002E4357"/>
    <w:rsid w:val="002F18FA"/>
    <w:rsid w:val="002F213D"/>
    <w:rsid w:val="002F534D"/>
    <w:rsid w:val="00300CD5"/>
    <w:rsid w:val="003014A7"/>
    <w:rsid w:val="003119B8"/>
    <w:rsid w:val="00312B37"/>
    <w:rsid w:val="00314FBB"/>
    <w:rsid w:val="00325B4C"/>
    <w:rsid w:val="00325D7E"/>
    <w:rsid w:val="00330F19"/>
    <w:rsid w:val="00331A8D"/>
    <w:rsid w:val="003339E4"/>
    <w:rsid w:val="00333F1A"/>
    <w:rsid w:val="003356DE"/>
    <w:rsid w:val="0033646A"/>
    <w:rsid w:val="00340155"/>
    <w:rsid w:val="003420EA"/>
    <w:rsid w:val="003423D0"/>
    <w:rsid w:val="003435B8"/>
    <w:rsid w:val="00343BC8"/>
    <w:rsid w:val="00344978"/>
    <w:rsid w:val="00364BA2"/>
    <w:rsid w:val="00366CC3"/>
    <w:rsid w:val="00367A9C"/>
    <w:rsid w:val="00370648"/>
    <w:rsid w:val="00381AB7"/>
    <w:rsid w:val="00383EA6"/>
    <w:rsid w:val="0038491F"/>
    <w:rsid w:val="00386A01"/>
    <w:rsid w:val="003909DB"/>
    <w:rsid w:val="00392A74"/>
    <w:rsid w:val="0039724B"/>
    <w:rsid w:val="003974D8"/>
    <w:rsid w:val="003A5BF3"/>
    <w:rsid w:val="003B32C1"/>
    <w:rsid w:val="003B49D6"/>
    <w:rsid w:val="003C7881"/>
    <w:rsid w:val="003D1123"/>
    <w:rsid w:val="003D7FEA"/>
    <w:rsid w:val="003F1312"/>
    <w:rsid w:val="00400292"/>
    <w:rsid w:val="004110B2"/>
    <w:rsid w:val="00424183"/>
    <w:rsid w:val="00424ED1"/>
    <w:rsid w:val="00426669"/>
    <w:rsid w:val="00431801"/>
    <w:rsid w:val="004416C6"/>
    <w:rsid w:val="00442910"/>
    <w:rsid w:val="004460AC"/>
    <w:rsid w:val="004524FD"/>
    <w:rsid w:val="00456024"/>
    <w:rsid w:val="004603CB"/>
    <w:rsid w:val="004659F3"/>
    <w:rsid w:val="00466DD0"/>
    <w:rsid w:val="00467C3C"/>
    <w:rsid w:val="004753E3"/>
    <w:rsid w:val="00484CDC"/>
    <w:rsid w:val="004875CF"/>
    <w:rsid w:val="00491A1F"/>
    <w:rsid w:val="00493C1D"/>
    <w:rsid w:val="004B6F9C"/>
    <w:rsid w:val="004C5CC5"/>
    <w:rsid w:val="004D1369"/>
    <w:rsid w:val="004D4311"/>
    <w:rsid w:val="004E2AA3"/>
    <w:rsid w:val="004E33AA"/>
    <w:rsid w:val="004E3A8A"/>
    <w:rsid w:val="004F23E6"/>
    <w:rsid w:val="004F50DF"/>
    <w:rsid w:val="00502A04"/>
    <w:rsid w:val="005049E3"/>
    <w:rsid w:val="005142D7"/>
    <w:rsid w:val="005207C6"/>
    <w:rsid w:val="00520A0C"/>
    <w:rsid w:val="00540FB8"/>
    <w:rsid w:val="00541EF2"/>
    <w:rsid w:val="00552BD1"/>
    <w:rsid w:val="00553F14"/>
    <w:rsid w:val="0056022C"/>
    <w:rsid w:val="0057048E"/>
    <w:rsid w:val="005712F7"/>
    <w:rsid w:val="00585BDB"/>
    <w:rsid w:val="00590FD6"/>
    <w:rsid w:val="0059703D"/>
    <w:rsid w:val="00597A88"/>
    <w:rsid w:val="005A6F83"/>
    <w:rsid w:val="005C624D"/>
    <w:rsid w:val="005C7B31"/>
    <w:rsid w:val="005D16EB"/>
    <w:rsid w:val="005D351E"/>
    <w:rsid w:val="005D70D9"/>
    <w:rsid w:val="005E0C1C"/>
    <w:rsid w:val="005E1D0C"/>
    <w:rsid w:val="005F0AE2"/>
    <w:rsid w:val="005F268F"/>
    <w:rsid w:val="005F42A1"/>
    <w:rsid w:val="00606994"/>
    <w:rsid w:val="00606FAA"/>
    <w:rsid w:val="0061082A"/>
    <w:rsid w:val="00611669"/>
    <w:rsid w:val="0062055F"/>
    <w:rsid w:val="006222E6"/>
    <w:rsid w:val="00626AFB"/>
    <w:rsid w:val="00643FFD"/>
    <w:rsid w:val="006558A3"/>
    <w:rsid w:val="00657347"/>
    <w:rsid w:val="00661494"/>
    <w:rsid w:val="00666038"/>
    <w:rsid w:val="0068213F"/>
    <w:rsid w:val="00682652"/>
    <w:rsid w:val="0068776A"/>
    <w:rsid w:val="006A29F3"/>
    <w:rsid w:val="006A3BCB"/>
    <w:rsid w:val="006A6EFC"/>
    <w:rsid w:val="006B7F81"/>
    <w:rsid w:val="006C0144"/>
    <w:rsid w:val="006C156B"/>
    <w:rsid w:val="006D150A"/>
    <w:rsid w:val="006D30F7"/>
    <w:rsid w:val="006D7C87"/>
    <w:rsid w:val="006E54A9"/>
    <w:rsid w:val="006F4FBD"/>
    <w:rsid w:val="006F63C2"/>
    <w:rsid w:val="006F6B07"/>
    <w:rsid w:val="007024BA"/>
    <w:rsid w:val="007032DF"/>
    <w:rsid w:val="00703E4A"/>
    <w:rsid w:val="007056CF"/>
    <w:rsid w:val="0071201B"/>
    <w:rsid w:val="00712EF0"/>
    <w:rsid w:val="00730005"/>
    <w:rsid w:val="0075305C"/>
    <w:rsid w:val="00753112"/>
    <w:rsid w:val="007539AF"/>
    <w:rsid w:val="0075673A"/>
    <w:rsid w:val="00757B8B"/>
    <w:rsid w:val="00757FB6"/>
    <w:rsid w:val="0076164E"/>
    <w:rsid w:val="0076423E"/>
    <w:rsid w:val="007655D8"/>
    <w:rsid w:val="0077752B"/>
    <w:rsid w:val="00780D03"/>
    <w:rsid w:val="0079066C"/>
    <w:rsid w:val="00790925"/>
    <w:rsid w:val="007936B1"/>
    <w:rsid w:val="00796974"/>
    <w:rsid w:val="0079704D"/>
    <w:rsid w:val="007A4E3F"/>
    <w:rsid w:val="007A69FF"/>
    <w:rsid w:val="007A70AB"/>
    <w:rsid w:val="007C01ED"/>
    <w:rsid w:val="007C6723"/>
    <w:rsid w:val="007C73F7"/>
    <w:rsid w:val="007D2ACE"/>
    <w:rsid w:val="007E3A45"/>
    <w:rsid w:val="007E46A8"/>
    <w:rsid w:val="007E4BCA"/>
    <w:rsid w:val="007F10F9"/>
    <w:rsid w:val="007F52BF"/>
    <w:rsid w:val="007F7C20"/>
    <w:rsid w:val="008000E8"/>
    <w:rsid w:val="008028EF"/>
    <w:rsid w:val="00810076"/>
    <w:rsid w:val="008105B9"/>
    <w:rsid w:val="00821269"/>
    <w:rsid w:val="0082333C"/>
    <w:rsid w:val="00830E31"/>
    <w:rsid w:val="008324D1"/>
    <w:rsid w:val="00836A37"/>
    <w:rsid w:val="008442BD"/>
    <w:rsid w:val="00853257"/>
    <w:rsid w:val="0085484B"/>
    <w:rsid w:val="008617B5"/>
    <w:rsid w:val="00862858"/>
    <w:rsid w:val="0086367E"/>
    <w:rsid w:val="00864990"/>
    <w:rsid w:val="0087151C"/>
    <w:rsid w:val="008804A4"/>
    <w:rsid w:val="0089082B"/>
    <w:rsid w:val="00895288"/>
    <w:rsid w:val="008952E7"/>
    <w:rsid w:val="008A4D72"/>
    <w:rsid w:val="008A6229"/>
    <w:rsid w:val="008C23F0"/>
    <w:rsid w:val="008C3AF9"/>
    <w:rsid w:val="008C3D91"/>
    <w:rsid w:val="008C532C"/>
    <w:rsid w:val="008D732F"/>
    <w:rsid w:val="008E16A5"/>
    <w:rsid w:val="008E1BD8"/>
    <w:rsid w:val="008E3D27"/>
    <w:rsid w:val="008E6D84"/>
    <w:rsid w:val="008E7023"/>
    <w:rsid w:val="00903FEE"/>
    <w:rsid w:val="00904B5C"/>
    <w:rsid w:val="00905E24"/>
    <w:rsid w:val="00911C91"/>
    <w:rsid w:val="0091583B"/>
    <w:rsid w:val="00922CAC"/>
    <w:rsid w:val="0092567F"/>
    <w:rsid w:val="009258C6"/>
    <w:rsid w:val="009334EB"/>
    <w:rsid w:val="009425D8"/>
    <w:rsid w:val="00943EE0"/>
    <w:rsid w:val="0095017B"/>
    <w:rsid w:val="00952257"/>
    <w:rsid w:val="00953D5C"/>
    <w:rsid w:val="00954554"/>
    <w:rsid w:val="00954C77"/>
    <w:rsid w:val="00965CA6"/>
    <w:rsid w:val="00965E75"/>
    <w:rsid w:val="0096709D"/>
    <w:rsid w:val="00971E44"/>
    <w:rsid w:val="009912E7"/>
    <w:rsid w:val="009A0562"/>
    <w:rsid w:val="009A78BD"/>
    <w:rsid w:val="009B288C"/>
    <w:rsid w:val="009C53DD"/>
    <w:rsid w:val="009C792E"/>
    <w:rsid w:val="009D3EAC"/>
    <w:rsid w:val="009D40D5"/>
    <w:rsid w:val="009E2F3D"/>
    <w:rsid w:val="009F64E1"/>
    <w:rsid w:val="00A038D2"/>
    <w:rsid w:val="00A075BB"/>
    <w:rsid w:val="00A1104E"/>
    <w:rsid w:val="00A13475"/>
    <w:rsid w:val="00A17F7F"/>
    <w:rsid w:val="00A241E6"/>
    <w:rsid w:val="00A25A24"/>
    <w:rsid w:val="00A36355"/>
    <w:rsid w:val="00A37769"/>
    <w:rsid w:val="00A40946"/>
    <w:rsid w:val="00A416EC"/>
    <w:rsid w:val="00A4267F"/>
    <w:rsid w:val="00A442AA"/>
    <w:rsid w:val="00A4545A"/>
    <w:rsid w:val="00A71416"/>
    <w:rsid w:val="00A77BB3"/>
    <w:rsid w:val="00A804DB"/>
    <w:rsid w:val="00A84E58"/>
    <w:rsid w:val="00A86F99"/>
    <w:rsid w:val="00A96011"/>
    <w:rsid w:val="00AA1BCD"/>
    <w:rsid w:val="00AA622B"/>
    <w:rsid w:val="00AA7C10"/>
    <w:rsid w:val="00AB001A"/>
    <w:rsid w:val="00AB2595"/>
    <w:rsid w:val="00AC4506"/>
    <w:rsid w:val="00AC51A7"/>
    <w:rsid w:val="00AD6335"/>
    <w:rsid w:val="00AE407E"/>
    <w:rsid w:val="00B0084B"/>
    <w:rsid w:val="00B0126D"/>
    <w:rsid w:val="00B042EE"/>
    <w:rsid w:val="00B07CAA"/>
    <w:rsid w:val="00B116DF"/>
    <w:rsid w:val="00B14C42"/>
    <w:rsid w:val="00B16EBC"/>
    <w:rsid w:val="00B319F0"/>
    <w:rsid w:val="00B33E44"/>
    <w:rsid w:val="00B36590"/>
    <w:rsid w:val="00B409A5"/>
    <w:rsid w:val="00B52E32"/>
    <w:rsid w:val="00B648A6"/>
    <w:rsid w:val="00B667C3"/>
    <w:rsid w:val="00B7177D"/>
    <w:rsid w:val="00B77CAF"/>
    <w:rsid w:val="00B80F98"/>
    <w:rsid w:val="00B874FF"/>
    <w:rsid w:val="00B90F3F"/>
    <w:rsid w:val="00B95A78"/>
    <w:rsid w:val="00B97632"/>
    <w:rsid w:val="00BA1D27"/>
    <w:rsid w:val="00BA47AB"/>
    <w:rsid w:val="00BB0BDC"/>
    <w:rsid w:val="00BB1AE2"/>
    <w:rsid w:val="00BB3DD1"/>
    <w:rsid w:val="00BB5AC7"/>
    <w:rsid w:val="00BB66E8"/>
    <w:rsid w:val="00BC142F"/>
    <w:rsid w:val="00BD2F58"/>
    <w:rsid w:val="00BE0E79"/>
    <w:rsid w:val="00BE5C06"/>
    <w:rsid w:val="00BE61EC"/>
    <w:rsid w:val="00BF1273"/>
    <w:rsid w:val="00BF5D9D"/>
    <w:rsid w:val="00BF6554"/>
    <w:rsid w:val="00C035B1"/>
    <w:rsid w:val="00C03B57"/>
    <w:rsid w:val="00C03F4B"/>
    <w:rsid w:val="00C131E6"/>
    <w:rsid w:val="00C15BC0"/>
    <w:rsid w:val="00C15FC9"/>
    <w:rsid w:val="00C207F8"/>
    <w:rsid w:val="00C21AF1"/>
    <w:rsid w:val="00C230C4"/>
    <w:rsid w:val="00C27E82"/>
    <w:rsid w:val="00C3251A"/>
    <w:rsid w:val="00C35DBB"/>
    <w:rsid w:val="00C4031E"/>
    <w:rsid w:val="00C50880"/>
    <w:rsid w:val="00C521E1"/>
    <w:rsid w:val="00C60E04"/>
    <w:rsid w:val="00C642B9"/>
    <w:rsid w:val="00C65781"/>
    <w:rsid w:val="00C65C55"/>
    <w:rsid w:val="00C66571"/>
    <w:rsid w:val="00C66B2B"/>
    <w:rsid w:val="00C7236A"/>
    <w:rsid w:val="00C74224"/>
    <w:rsid w:val="00C75EDA"/>
    <w:rsid w:val="00C7734B"/>
    <w:rsid w:val="00C82D70"/>
    <w:rsid w:val="00C84009"/>
    <w:rsid w:val="00C85F94"/>
    <w:rsid w:val="00C86531"/>
    <w:rsid w:val="00C87198"/>
    <w:rsid w:val="00C8793A"/>
    <w:rsid w:val="00C9086D"/>
    <w:rsid w:val="00C95F8C"/>
    <w:rsid w:val="00C97D86"/>
    <w:rsid w:val="00CA76E6"/>
    <w:rsid w:val="00CB0544"/>
    <w:rsid w:val="00CB224B"/>
    <w:rsid w:val="00CB597C"/>
    <w:rsid w:val="00CC1A0A"/>
    <w:rsid w:val="00CC1E21"/>
    <w:rsid w:val="00CC40D1"/>
    <w:rsid w:val="00CC4707"/>
    <w:rsid w:val="00CC77E3"/>
    <w:rsid w:val="00CD3E96"/>
    <w:rsid w:val="00CE1C3A"/>
    <w:rsid w:val="00CE40CC"/>
    <w:rsid w:val="00D0035C"/>
    <w:rsid w:val="00D049A4"/>
    <w:rsid w:val="00D07A3E"/>
    <w:rsid w:val="00D07EDF"/>
    <w:rsid w:val="00D13072"/>
    <w:rsid w:val="00D24415"/>
    <w:rsid w:val="00D27BE7"/>
    <w:rsid w:val="00D31E47"/>
    <w:rsid w:val="00D33B99"/>
    <w:rsid w:val="00D37871"/>
    <w:rsid w:val="00D378BC"/>
    <w:rsid w:val="00D408A2"/>
    <w:rsid w:val="00D40B22"/>
    <w:rsid w:val="00D435E9"/>
    <w:rsid w:val="00D46913"/>
    <w:rsid w:val="00D50D33"/>
    <w:rsid w:val="00D5239E"/>
    <w:rsid w:val="00D54E2A"/>
    <w:rsid w:val="00D56FC0"/>
    <w:rsid w:val="00D655F5"/>
    <w:rsid w:val="00D70362"/>
    <w:rsid w:val="00D76D35"/>
    <w:rsid w:val="00D83359"/>
    <w:rsid w:val="00D83F82"/>
    <w:rsid w:val="00D87D03"/>
    <w:rsid w:val="00DA3CD2"/>
    <w:rsid w:val="00DA423C"/>
    <w:rsid w:val="00DA6B5A"/>
    <w:rsid w:val="00DB1F7F"/>
    <w:rsid w:val="00DB2241"/>
    <w:rsid w:val="00DB2C01"/>
    <w:rsid w:val="00DB575C"/>
    <w:rsid w:val="00DE7BD2"/>
    <w:rsid w:val="00DF1C9C"/>
    <w:rsid w:val="00DF42A9"/>
    <w:rsid w:val="00E01E9E"/>
    <w:rsid w:val="00E0453F"/>
    <w:rsid w:val="00E05477"/>
    <w:rsid w:val="00E06464"/>
    <w:rsid w:val="00E14419"/>
    <w:rsid w:val="00E274E7"/>
    <w:rsid w:val="00E30D68"/>
    <w:rsid w:val="00E3334B"/>
    <w:rsid w:val="00E35FC3"/>
    <w:rsid w:val="00E406A0"/>
    <w:rsid w:val="00E44D4F"/>
    <w:rsid w:val="00E45FF2"/>
    <w:rsid w:val="00E529A1"/>
    <w:rsid w:val="00E60128"/>
    <w:rsid w:val="00E63C2A"/>
    <w:rsid w:val="00E649CE"/>
    <w:rsid w:val="00E67F9F"/>
    <w:rsid w:val="00E73D1E"/>
    <w:rsid w:val="00E819A6"/>
    <w:rsid w:val="00E84AEA"/>
    <w:rsid w:val="00E904A8"/>
    <w:rsid w:val="00E9275D"/>
    <w:rsid w:val="00EC1AC0"/>
    <w:rsid w:val="00EC21B0"/>
    <w:rsid w:val="00EE1385"/>
    <w:rsid w:val="00EE2019"/>
    <w:rsid w:val="00EE3D4F"/>
    <w:rsid w:val="00EE7318"/>
    <w:rsid w:val="00F0446C"/>
    <w:rsid w:val="00F04D09"/>
    <w:rsid w:val="00F050B7"/>
    <w:rsid w:val="00F109A5"/>
    <w:rsid w:val="00F129F2"/>
    <w:rsid w:val="00F12B79"/>
    <w:rsid w:val="00F161D4"/>
    <w:rsid w:val="00F20278"/>
    <w:rsid w:val="00F2099A"/>
    <w:rsid w:val="00F23916"/>
    <w:rsid w:val="00F27B78"/>
    <w:rsid w:val="00F30789"/>
    <w:rsid w:val="00F3343E"/>
    <w:rsid w:val="00F34C1C"/>
    <w:rsid w:val="00F37463"/>
    <w:rsid w:val="00F37E1C"/>
    <w:rsid w:val="00F425BF"/>
    <w:rsid w:val="00F43358"/>
    <w:rsid w:val="00F4592D"/>
    <w:rsid w:val="00F51C08"/>
    <w:rsid w:val="00F658C8"/>
    <w:rsid w:val="00F76395"/>
    <w:rsid w:val="00F779EE"/>
    <w:rsid w:val="00F81041"/>
    <w:rsid w:val="00F85101"/>
    <w:rsid w:val="00F8669F"/>
    <w:rsid w:val="00FA01BB"/>
    <w:rsid w:val="00FA5EAD"/>
    <w:rsid w:val="00FB3432"/>
    <w:rsid w:val="00FB5F7C"/>
    <w:rsid w:val="00FC27FB"/>
    <w:rsid w:val="00FC3023"/>
    <w:rsid w:val="00FC7358"/>
    <w:rsid w:val="00FC7E3D"/>
    <w:rsid w:val="00FD1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3E"/>
    <w:pPr>
      <w:spacing w:after="0" w:line="240" w:lineRule="auto"/>
    </w:pPr>
    <w:rPr>
      <w:rFonts w:ascii="Arial" w:eastAsia="Times New Roman" w:hAnsi="Arial" w:cs="Times New Roman"/>
      <w:szCs w:val="20"/>
      <w:lang w:eastAsia="en-AU"/>
    </w:rPr>
  </w:style>
  <w:style w:type="paragraph" w:styleId="Heading1">
    <w:name w:val="heading 1"/>
    <w:basedOn w:val="Normal"/>
    <w:next w:val="Normal"/>
    <w:link w:val="Heading1Char"/>
    <w:qFormat/>
    <w:rsid w:val="003423D0"/>
    <w:pPr>
      <w:keepNext/>
      <w:tabs>
        <w:tab w:val="left" w:pos="6521"/>
      </w:tabs>
      <w:outlineLvl w:val="0"/>
    </w:pPr>
    <w:rPr>
      <w:rFonts w:ascii="Times New Roman" w:hAnsi="Times New Roman"/>
      <w:b/>
      <w:sz w:val="20"/>
    </w:rPr>
  </w:style>
  <w:style w:type="paragraph" w:styleId="Heading2">
    <w:name w:val="heading 2"/>
    <w:basedOn w:val="Normal"/>
    <w:next w:val="Normal"/>
    <w:link w:val="Heading2Char"/>
    <w:qFormat/>
    <w:rsid w:val="003423D0"/>
    <w:pPr>
      <w:keepNext/>
      <w:tabs>
        <w:tab w:val="left" w:pos="6521"/>
      </w:tabs>
      <w:jc w:val="right"/>
      <w:outlineLvl w:val="1"/>
    </w:pPr>
    <w:rPr>
      <w:rFonts w:ascii="Times New Roman" w:hAnsi="Times New Roman"/>
      <w:b/>
      <w:sz w:val="20"/>
    </w:rPr>
  </w:style>
  <w:style w:type="paragraph" w:styleId="Heading3">
    <w:name w:val="heading 3"/>
    <w:basedOn w:val="Normal"/>
    <w:next w:val="Normal"/>
    <w:link w:val="Heading3Char"/>
    <w:qFormat/>
    <w:rsid w:val="003423D0"/>
    <w:pPr>
      <w:keepNext/>
      <w:tabs>
        <w:tab w:val="left" w:pos="1843"/>
        <w:tab w:val="left" w:pos="4678"/>
        <w:tab w:val="left" w:pos="6946"/>
      </w:tabs>
      <w:outlineLvl w:val="2"/>
    </w:pPr>
    <w:rPr>
      <w:rFonts w:ascii="Times New Roman" w:hAnsi="Times New Roman"/>
      <w:sz w:val="24"/>
    </w:rPr>
  </w:style>
  <w:style w:type="paragraph" w:styleId="Heading4">
    <w:name w:val="heading 4"/>
    <w:basedOn w:val="Normal"/>
    <w:next w:val="Normal"/>
    <w:link w:val="Heading4Char"/>
    <w:qFormat/>
    <w:rsid w:val="003423D0"/>
    <w:pPr>
      <w:keepNext/>
      <w:tabs>
        <w:tab w:val="left" w:pos="1843"/>
        <w:tab w:val="left" w:pos="4678"/>
        <w:tab w:val="left" w:pos="6946"/>
      </w:tabs>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3D0"/>
    <w:rPr>
      <w:rFonts w:ascii="Times New Roman" w:eastAsia="Times New Roman" w:hAnsi="Times New Roman" w:cs="Times New Roman"/>
      <w:b/>
      <w:sz w:val="20"/>
      <w:szCs w:val="20"/>
      <w:lang w:eastAsia="en-AU"/>
    </w:rPr>
  </w:style>
  <w:style w:type="character" w:customStyle="1" w:styleId="Heading2Char">
    <w:name w:val="Heading 2 Char"/>
    <w:basedOn w:val="DefaultParagraphFont"/>
    <w:link w:val="Heading2"/>
    <w:rsid w:val="003423D0"/>
    <w:rPr>
      <w:rFonts w:ascii="Times New Roman" w:eastAsia="Times New Roman" w:hAnsi="Times New Roman" w:cs="Times New Roman"/>
      <w:b/>
      <w:sz w:val="20"/>
      <w:szCs w:val="20"/>
      <w:lang w:eastAsia="en-AU"/>
    </w:rPr>
  </w:style>
  <w:style w:type="character" w:customStyle="1" w:styleId="Heading3Char">
    <w:name w:val="Heading 3 Char"/>
    <w:basedOn w:val="DefaultParagraphFont"/>
    <w:link w:val="Heading3"/>
    <w:rsid w:val="003423D0"/>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rsid w:val="003423D0"/>
    <w:rPr>
      <w:rFonts w:ascii="Times New Roman" w:eastAsia="Times New Roman" w:hAnsi="Times New Roman" w:cs="Times New Roman"/>
      <w:b/>
      <w:szCs w:val="20"/>
      <w:lang w:eastAsia="en-AU"/>
    </w:rPr>
  </w:style>
  <w:style w:type="paragraph" w:styleId="Footer">
    <w:name w:val="footer"/>
    <w:basedOn w:val="Normal"/>
    <w:link w:val="FooterChar"/>
    <w:uiPriority w:val="99"/>
    <w:rsid w:val="003423D0"/>
    <w:pPr>
      <w:tabs>
        <w:tab w:val="center" w:pos="4153"/>
        <w:tab w:val="right" w:pos="8306"/>
      </w:tabs>
    </w:pPr>
  </w:style>
  <w:style w:type="character" w:customStyle="1" w:styleId="FooterChar">
    <w:name w:val="Footer Char"/>
    <w:basedOn w:val="DefaultParagraphFont"/>
    <w:link w:val="Footer"/>
    <w:uiPriority w:val="99"/>
    <w:rsid w:val="003423D0"/>
    <w:rPr>
      <w:rFonts w:ascii="Arial" w:eastAsia="Times New Roman" w:hAnsi="Arial" w:cs="Times New Roman"/>
      <w:szCs w:val="20"/>
      <w:lang w:eastAsia="en-AU"/>
    </w:rPr>
  </w:style>
  <w:style w:type="character" w:styleId="Hyperlink">
    <w:name w:val="Hyperlink"/>
    <w:basedOn w:val="DefaultParagraphFont"/>
    <w:uiPriority w:val="99"/>
    <w:unhideWhenUsed/>
    <w:rsid w:val="003423D0"/>
    <w:rPr>
      <w:color w:val="0000FF" w:themeColor="hyperlink"/>
      <w:u w:val="single"/>
    </w:rPr>
  </w:style>
  <w:style w:type="paragraph" w:styleId="Header">
    <w:name w:val="header"/>
    <w:basedOn w:val="Normal"/>
    <w:link w:val="HeaderChar"/>
    <w:uiPriority w:val="99"/>
    <w:unhideWhenUsed/>
    <w:rsid w:val="003423D0"/>
    <w:pPr>
      <w:tabs>
        <w:tab w:val="center" w:pos="4513"/>
        <w:tab w:val="right" w:pos="9026"/>
      </w:tabs>
    </w:pPr>
  </w:style>
  <w:style w:type="character" w:customStyle="1" w:styleId="HeaderChar">
    <w:name w:val="Header Char"/>
    <w:basedOn w:val="DefaultParagraphFont"/>
    <w:link w:val="Header"/>
    <w:uiPriority w:val="99"/>
    <w:rsid w:val="003423D0"/>
    <w:rPr>
      <w:rFonts w:ascii="Arial" w:eastAsia="Times New Roman" w:hAnsi="Arial" w:cs="Times New Roman"/>
      <w:szCs w:val="20"/>
      <w:lang w:eastAsia="en-AU"/>
    </w:rPr>
  </w:style>
  <w:style w:type="character" w:styleId="LineNumber">
    <w:name w:val="line number"/>
    <w:basedOn w:val="DefaultParagraphFont"/>
    <w:uiPriority w:val="99"/>
    <w:semiHidden/>
    <w:unhideWhenUsed/>
    <w:rsid w:val="003423D0"/>
  </w:style>
  <w:style w:type="paragraph" w:styleId="BalloonText">
    <w:name w:val="Balloon Text"/>
    <w:basedOn w:val="Normal"/>
    <w:link w:val="BalloonTextChar"/>
    <w:uiPriority w:val="99"/>
    <w:semiHidden/>
    <w:unhideWhenUsed/>
    <w:rsid w:val="003423D0"/>
    <w:rPr>
      <w:rFonts w:ascii="Tahoma" w:hAnsi="Tahoma" w:cs="Tahoma"/>
      <w:sz w:val="16"/>
      <w:szCs w:val="16"/>
    </w:rPr>
  </w:style>
  <w:style w:type="character" w:customStyle="1" w:styleId="BalloonTextChar">
    <w:name w:val="Balloon Text Char"/>
    <w:basedOn w:val="DefaultParagraphFont"/>
    <w:link w:val="BalloonText"/>
    <w:uiPriority w:val="99"/>
    <w:semiHidden/>
    <w:rsid w:val="003423D0"/>
    <w:rPr>
      <w:rFonts w:ascii="Tahoma" w:eastAsia="Times New Roman" w:hAnsi="Tahoma" w:cs="Tahoma"/>
      <w:sz w:val="16"/>
      <w:szCs w:val="16"/>
      <w:lang w:eastAsia="en-AU"/>
    </w:rPr>
  </w:style>
  <w:style w:type="table" w:styleId="TableGrid">
    <w:name w:val="Table Grid"/>
    <w:basedOn w:val="TableNormal"/>
    <w:uiPriority w:val="59"/>
    <w:rsid w:val="003423D0"/>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3D0"/>
    <w:pPr>
      <w:ind w:left="720"/>
      <w:contextualSpacing/>
    </w:pPr>
  </w:style>
  <w:style w:type="character" w:styleId="CommentReference">
    <w:name w:val="annotation reference"/>
    <w:basedOn w:val="DefaultParagraphFont"/>
    <w:uiPriority w:val="99"/>
    <w:semiHidden/>
    <w:unhideWhenUsed/>
    <w:rsid w:val="003423D0"/>
    <w:rPr>
      <w:sz w:val="16"/>
      <w:szCs w:val="16"/>
    </w:rPr>
  </w:style>
  <w:style w:type="paragraph" w:styleId="CommentText">
    <w:name w:val="annotation text"/>
    <w:basedOn w:val="Normal"/>
    <w:link w:val="CommentTextChar"/>
    <w:uiPriority w:val="99"/>
    <w:semiHidden/>
    <w:unhideWhenUsed/>
    <w:rsid w:val="003423D0"/>
    <w:rPr>
      <w:sz w:val="20"/>
    </w:rPr>
  </w:style>
  <w:style w:type="character" w:customStyle="1" w:styleId="CommentTextChar">
    <w:name w:val="Comment Text Char"/>
    <w:basedOn w:val="DefaultParagraphFont"/>
    <w:link w:val="CommentText"/>
    <w:uiPriority w:val="99"/>
    <w:semiHidden/>
    <w:rsid w:val="003423D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423D0"/>
    <w:rPr>
      <w:b/>
      <w:bCs/>
    </w:rPr>
  </w:style>
  <w:style w:type="character" w:customStyle="1" w:styleId="CommentSubjectChar">
    <w:name w:val="Comment Subject Char"/>
    <w:basedOn w:val="CommentTextChar"/>
    <w:link w:val="CommentSubject"/>
    <w:uiPriority w:val="99"/>
    <w:semiHidden/>
    <w:rsid w:val="003423D0"/>
    <w:rPr>
      <w:rFonts w:ascii="Arial" w:eastAsia="Times New Roman" w:hAnsi="Arial" w:cs="Times New Roman"/>
      <w:b/>
      <w:bCs/>
      <w:sz w:val="20"/>
      <w:szCs w:val="20"/>
      <w:lang w:eastAsia="en-AU"/>
    </w:rPr>
  </w:style>
  <w:style w:type="paragraph" w:styleId="Revision">
    <w:name w:val="Revision"/>
    <w:hidden/>
    <w:uiPriority w:val="99"/>
    <w:semiHidden/>
    <w:rsid w:val="003423D0"/>
    <w:pPr>
      <w:spacing w:after="0" w:line="240" w:lineRule="auto"/>
    </w:pPr>
    <w:rPr>
      <w:rFonts w:ascii="Arial" w:eastAsia="Times New Roman" w:hAnsi="Arial" w:cs="Times New Roman"/>
      <w:szCs w:val="20"/>
      <w:lang w:eastAsia="en-AU"/>
    </w:rPr>
  </w:style>
  <w:style w:type="paragraph" w:customStyle="1" w:styleId="levnl11">
    <w:name w:val="_levnl11"/>
    <w:basedOn w:val="Normal"/>
    <w:uiPriority w:val="99"/>
    <w:rsid w:val="003423D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360" w:hanging="360"/>
      <w:outlineLvl w:val="0"/>
    </w:pPr>
    <w:rPr>
      <w:rFonts w:ascii="Times New Roman" w:hAnsi="Times New Roman"/>
      <w:sz w:val="24"/>
      <w:szCs w:val="24"/>
      <w:lang w:val="en-US"/>
    </w:rPr>
  </w:style>
  <w:style w:type="character" w:styleId="PlaceholderText">
    <w:name w:val="Placeholder Text"/>
    <w:basedOn w:val="DefaultParagraphFont"/>
    <w:uiPriority w:val="99"/>
    <w:semiHidden/>
    <w:rsid w:val="003423D0"/>
    <w:rPr>
      <w:color w:val="808080"/>
    </w:rPr>
  </w:style>
  <w:style w:type="character" w:customStyle="1" w:styleId="apple-style-span">
    <w:name w:val="apple-style-span"/>
    <w:basedOn w:val="DefaultParagraphFont"/>
    <w:rsid w:val="0071201B"/>
  </w:style>
  <w:style w:type="character" w:customStyle="1" w:styleId="UnresolvedMention">
    <w:name w:val="Unresolved Mention"/>
    <w:basedOn w:val="DefaultParagraphFont"/>
    <w:uiPriority w:val="99"/>
    <w:semiHidden/>
    <w:unhideWhenUsed/>
    <w:rsid w:val="00F658C8"/>
    <w:rPr>
      <w:color w:val="605E5C"/>
      <w:shd w:val="clear" w:color="auto" w:fill="E1DFDD"/>
    </w:rPr>
  </w:style>
  <w:style w:type="paragraph" w:customStyle="1" w:styleId="DecimalAligned">
    <w:name w:val="Decimal Aligned"/>
    <w:basedOn w:val="Normal"/>
    <w:uiPriority w:val="40"/>
    <w:qFormat/>
    <w:rsid w:val="00312B37"/>
    <w:pPr>
      <w:tabs>
        <w:tab w:val="decimal" w:pos="360"/>
      </w:tabs>
      <w:spacing w:after="200" w:line="276" w:lineRule="auto"/>
    </w:pPr>
    <w:rPr>
      <w:rFonts w:ascii="Calibri" w:eastAsia="Calibri" w:hAnsi="Calibri" w:cs="Arial"/>
      <w:szCs w:val="22"/>
      <w:lang w:val="en-US" w:eastAsia="ja-JP"/>
    </w:rPr>
  </w:style>
  <w:style w:type="paragraph" w:styleId="Subtitle">
    <w:name w:val="Subtitle"/>
    <w:basedOn w:val="Normal"/>
    <w:next w:val="Normal"/>
    <w:link w:val="SubtitleChar"/>
    <w:uiPriority w:val="11"/>
    <w:qFormat/>
    <w:rsid w:val="00312B37"/>
    <w:pPr>
      <w:spacing w:after="60" w:line="276" w:lineRule="auto"/>
      <w:jc w:val="center"/>
      <w:outlineLvl w:val="1"/>
    </w:pPr>
    <w:rPr>
      <w:rFonts w:ascii="Calibri Light" w:hAnsi="Calibri Light"/>
      <w:sz w:val="24"/>
      <w:szCs w:val="24"/>
      <w:lang w:val="en-US" w:eastAsia="en-US"/>
    </w:rPr>
  </w:style>
  <w:style w:type="character" w:customStyle="1" w:styleId="SubtitleChar">
    <w:name w:val="Subtitle Char"/>
    <w:basedOn w:val="DefaultParagraphFont"/>
    <w:link w:val="Subtitle"/>
    <w:uiPriority w:val="11"/>
    <w:rsid w:val="00312B37"/>
    <w:rPr>
      <w:rFonts w:ascii="Calibri Light" w:eastAsia="Times New Roman" w:hAnsi="Calibri Light" w:cs="Times New Roman"/>
      <w:sz w:val="24"/>
      <w:szCs w:val="24"/>
      <w:lang w:val="en-US"/>
    </w:rPr>
  </w:style>
  <w:style w:type="character" w:styleId="FollowedHyperlink">
    <w:name w:val="FollowedHyperlink"/>
    <w:basedOn w:val="DefaultParagraphFont"/>
    <w:uiPriority w:val="99"/>
    <w:semiHidden/>
    <w:unhideWhenUsed/>
    <w:rsid w:val="00C131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66976454">
      <w:bodyDiv w:val="1"/>
      <w:marLeft w:val="0"/>
      <w:marRight w:val="0"/>
      <w:marTop w:val="0"/>
      <w:marBottom w:val="0"/>
      <w:divBdr>
        <w:top w:val="none" w:sz="0" w:space="0" w:color="auto"/>
        <w:left w:val="none" w:sz="0" w:space="0" w:color="auto"/>
        <w:bottom w:val="none" w:sz="0" w:space="0" w:color="auto"/>
        <w:right w:val="none" w:sz="0" w:space="0" w:color="auto"/>
      </w:divBdr>
    </w:div>
    <w:div w:id="1439985790">
      <w:bodyDiv w:val="1"/>
      <w:marLeft w:val="0"/>
      <w:marRight w:val="0"/>
      <w:marTop w:val="0"/>
      <w:marBottom w:val="0"/>
      <w:divBdr>
        <w:top w:val="none" w:sz="0" w:space="0" w:color="auto"/>
        <w:left w:val="none" w:sz="0" w:space="0" w:color="auto"/>
        <w:bottom w:val="none" w:sz="0" w:space="0" w:color="auto"/>
        <w:right w:val="none" w:sz="0" w:space="0" w:color="auto"/>
      </w:divBdr>
    </w:div>
    <w:div w:id="1512140668">
      <w:bodyDiv w:val="1"/>
      <w:marLeft w:val="0"/>
      <w:marRight w:val="0"/>
      <w:marTop w:val="0"/>
      <w:marBottom w:val="0"/>
      <w:divBdr>
        <w:top w:val="none" w:sz="0" w:space="0" w:color="auto"/>
        <w:left w:val="none" w:sz="0" w:space="0" w:color="auto"/>
        <w:bottom w:val="none" w:sz="0" w:space="0" w:color="auto"/>
        <w:right w:val="none" w:sz="0" w:space="0" w:color="auto"/>
      </w:divBdr>
    </w:div>
    <w:div w:id="156286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84863-A0FD-44FC-B7BF-CD6A74C2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8955</Words>
  <Characters>43074</Characters>
  <Application>Microsoft Office Word</Application>
  <DocSecurity>0</DocSecurity>
  <Lines>3313</Lines>
  <Paragraphs>2601</Paragraphs>
  <ScaleCrop>false</ScaleCrop>
  <HeadingPairs>
    <vt:vector size="2" baseType="variant">
      <vt:variant>
        <vt:lpstr>Title</vt:lpstr>
      </vt:variant>
      <vt:variant>
        <vt:i4>1</vt:i4>
      </vt:variant>
    </vt:vector>
  </HeadingPairs>
  <TitlesOfParts>
    <vt:vector size="1" baseType="lpstr">
      <vt:lpstr/>
    </vt:vector>
  </TitlesOfParts>
  <Company>Faculty of Science</Company>
  <LinksUpToDate>false</LinksUpToDate>
  <CharactersWithSpaces>49428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Sandhya</cp:lastModifiedBy>
  <cp:revision>3</cp:revision>
  <cp:lastPrinted>2013-05-13T09:28:00Z</cp:lastPrinted>
  <dcterms:created xsi:type="dcterms:W3CDTF">2023-05-31T01:21:00Z</dcterms:created>
  <dcterms:modified xsi:type="dcterms:W3CDTF">2025-04-21T17:43:00Z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http://www.zotero.org/styles/harvard-cite-them-right</vt:lpwstr>
  </property>
  <property fmtid="{D5CDD505-2E9C-101B-9397-08002B2CF9AE}" pid="3" name="Mendeley Recent Style Name 0_1">
    <vt:lpwstr>Cite Them Right 10th edition - Harvard</vt:lpwstr>
  </property>
  <property fmtid="{D5CDD505-2E9C-101B-9397-08002B2CF9AE}" pid="4" name="Mendeley Recent Style Id 1_1">
    <vt:lpwstr>http://www.zotero.org/styles/clinical-nutrition</vt:lpwstr>
  </property>
  <property fmtid="{D5CDD505-2E9C-101B-9397-08002B2CF9AE}" pid="5" name="Mendeley Recent Style Name 1_1">
    <vt:lpwstr>Clinical Nutrition</vt:lpwstr>
  </property>
  <property fmtid="{D5CDD505-2E9C-101B-9397-08002B2CF9AE}" pid="6" name="Mendeley Recent Style Id 2_1">
    <vt:lpwstr>http://www.zotero.org/styles/international-journal-of-gynecology-and-obstetrics</vt:lpwstr>
  </property>
  <property fmtid="{D5CDD505-2E9C-101B-9397-08002B2CF9AE}" pid="7" name="Mendeley Recent Style Name 2_1">
    <vt:lpwstr>International Journal of Gynecology and Obstetrics</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http://www.zotero.org/styles/national-library-of-medicine-brackets-no-et-al</vt:lpwstr>
  </property>
  <property fmtid="{D5CDD505-2E9C-101B-9397-08002B2CF9AE}" pid="13" name="Mendeley Recent Style Name 5_1">
    <vt:lpwstr>National Library of Medicine (brackets, no "et al.")</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http://www.zotero.org/styles/nature-no-superscript</vt:lpwstr>
  </property>
  <property fmtid="{D5CDD505-2E9C-101B-9397-08002B2CF9AE}" pid="17" name="Mendeley Recent Style Name 7_1">
    <vt:lpwstr>Nature (no superscript)</vt:lpwstr>
  </property>
  <property fmtid="{D5CDD505-2E9C-101B-9397-08002B2CF9AE}" pid="18" name="Mendeley Recent Style Id 8_1">
    <vt:lpwstr>http://www.zotero.org/styles/public-health-nutrition</vt:lpwstr>
  </property>
  <property fmtid="{D5CDD505-2E9C-101B-9397-08002B2CF9AE}" pid="19" name="Mendeley Recent Style Name 8_1">
    <vt:lpwstr>Public Health Nutrition</vt:lpwstr>
  </property>
  <property fmtid="{D5CDD505-2E9C-101B-9397-08002B2CF9AE}" pid="20" name="Mendeley Recent Style Id 9_1">
    <vt:lpwstr>http://www.zotero.org/styles/zotero-to-endnote-title</vt:lpwstr>
  </property>
  <property fmtid="{D5CDD505-2E9C-101B-9397-08002B2CF9AE}" pid="21" name="Mendeley Recent Style Name 9_1">
    <vt:lpwstr>Zotero to EndNote Title </vt:lpwstr>
  </property>
  <property fmtid="{D5CDD505-2E9C-101B-9397-08002B2CF9AE}" pid="22" name="Mendeley Document_1">
    <vt:lpwstr>True</vt:lpwstr>
  </property>
  <property fmtid="{D5CDD505-2E9C-101B-9397-08002B2CF9AE}" pid="23" name="Mendeley Citation Style_1">
    <vt:lpwstr>http://www.zotero.org/styles/public-health-nutrition</vt:lpwstr>
  </property>
  <property fmtid="{D5CDD505-2E9C-101B-9397-08002B2CF9AE}" pid="24" name="Mendeley Unique User Id_1">
    <vt:lpwstr>64e8f140-1043-388b-b181-fdac26748c0e</vt:lpwstr>
  </property>
</Properties>
</file>