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2A" w:rsidRPr="009E65A3" w:rsidRDefault="009E65A3">
      <w:pPr>
        <w:spacing w:after="5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oBack"/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Supplementary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Material</w:t>
      </w:r>
    </w:p>
    <w:p w:rsidR="00032C2A" w:rsidRPr="009E65A3" w:rsidRDefault="00032C2A">
      <w:pPr>
        <w:spacing w:after="5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032C2A" w:rsidRPr="009E65A3" w:rsidRDefault="009E65A3">
      <w:pPr>
        <w:spacing w:after="5" w:line="360" w:lineRule="auto"/>
        <w:ind w:right="2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Exploring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Interplay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between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Emotional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Attitudes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toward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Diabetes,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Eating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Behavior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Glycemic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Control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in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Patients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with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Type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2 Diabetes Mellitus</w:t>
      </w:r>
    </w:p>
    <w:p w:rsidR="00032C2A" w:rsidRPr="009E65A3" w:rsidRDefault="00032C2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032C2A" w:rsidRPr="009E65A3" w:rsidRDefault="009E65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OBJECTIVE</w:t>
      </w:r>
    </w:p>
    <w:p w:rsidR="00032C2A" w:rsidRPr="009E65A3" w:rsidRDefault="009E65A3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explore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construct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validity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ATT-19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questionnaire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patients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sample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032C2A" w:rsidRPr="009E65A3" w:rsidRDefault="00032C2A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32C2A" w:rsidRPr="009E65A3" w:rsidRDefault="009E65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METHODS</w:t>
      </w:r>
    </w:p>
    <w:p w:rsidR="00032C2A" w:rsidRPr="009E65A3" w:rsidRDefault="009E65A3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explore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construct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validity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ATT-19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questionnaire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patients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sample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performed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Factorial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First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factorability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data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ver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ified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using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Kaiser-Meyer-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Olkin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(KMO)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adequacy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test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 xml:space="preserve">1)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Bartlett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sphericity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test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(2)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Afterward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parallel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principal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components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polychoric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correlations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parallel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using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minimum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rank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factorial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were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termine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number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3,4)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Polychoric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correlations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were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according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Likert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variables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gram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ordinal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5)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Finally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extraction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loads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explained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common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variance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done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Minimum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Rank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6)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oblim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rotation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method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extraction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loads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since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expected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correlation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7)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analyses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were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conducted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Software R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version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4.0.5 (Team, R. C, 2013),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using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psych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package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8)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032C2A" w:rsidRPr="009E65A3" w:rsidRDefault="00032C2A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5A3">
        <w:rPr>
          <w:rFonts w:ascii="Times New Roman" w:eastAsia="Times New Roman" w:hAnsi="Times New Roman" w:cs="Times New Roman"/>
          <w:b/>
          <w:sz w:val="24"/>
          <w:szCs w:val="24"/>
        </w:rPr>
        <w:t>RESULTS</w:t>
      </w:r>
    </w:p>
    <w:p w:rsidR="00032C2A" w:rsidRPr="009E65A3" w:rsidRDefault="009E65A3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Considering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construct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validity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ATT-19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data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showed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good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factorability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KMO = 0.74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Bartlett's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sphericity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test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significant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(χ2(171) = 472.2, </w:t>
      </w:r>
      <w:r w:rsidRPr="009E65A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&lt;0.001). The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parallel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scree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plot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Figure 1 in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supplementary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material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indicated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two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for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since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eigenvalue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third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below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simulated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eigenvalue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parallel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9)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It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suggested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extraction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loadings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two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unlike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original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study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suggested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single </w:t>
      </w:r>
      <w:proofErr w:type="spellStart"/>
      <w:proofErr w:type="gram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10)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extr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action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factorial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loads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done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Minimum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Rank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demonstrating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items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factorial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loads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0.35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0.81 (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Table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1 in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supplementary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material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In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study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only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loads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above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0.32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items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did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cross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loadings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greater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than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0.20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were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retained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Therefore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seven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items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were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excluded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(Q2, Q5, Q11, Q12, Q13, Q14,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Q15)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After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removing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each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item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11)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exploratory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factorial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carried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out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until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satisfactory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solution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found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first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features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alpha 0.79,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second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0.70.</w:t>
      </w:r>
    </w:p>
    <w:p w:rsidR="00032C2A" w:rsidRPr="009E65A3" w:rsidRDefault="009E65A3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regression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diagnoses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did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indicate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problem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involving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collinearity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measures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variance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inflation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(VIF)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value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&lt; 2 for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variables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model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However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value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Cook's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distance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indicated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presence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influential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outliers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(Figure 2 in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supplementary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material)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exclusion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outliers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considered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concern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measurement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individuals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believed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exclusion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cases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may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underestimate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true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variability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study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sample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032C2A" w:rsidRPr="009E65A3" w:rsidRDefault="00032C2A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32C2A" w:rsidRPr="009E65A3" w:rsidRDefault="009E65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DISCUSSION</w:t>
      </w:r>
    </w:p>
    <w:p w:rsidR="00032C2A" w:rsidRPr="009E65A3" w:rsidRDefault="009E65A3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para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llel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assess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dimensionality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ATT-19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exploratory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factorial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oblimin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rotation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extract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loadings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did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find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studies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evaluating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dimensionality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comparison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 shows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social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support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perception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diabetes as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something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controllable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shame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having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diabetes,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saying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you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disease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thinking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you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nothing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having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someone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talk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related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indiv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iduals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'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perceptions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diabetes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changed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lives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032C2A" w:rsidRPr="009E65A3" w:rsidRDefault="00032C2A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32C2A" w:rsidRPr="009E65A3" w:rsidRDefault="009E65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CONCLUSION</w:t>
      </w:r>
    </w:p>
    <w:p w:rsidR="00032C2A" w:rsidRPr="009E65A3" w:rsidRDefault="009E65A3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conclusion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ATT-19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questionnaire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adequate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construct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validity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patient's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sample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although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adjustments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were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necessary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Unlike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original </w:t>
      </w:r>
      <w:proofErr w:type="spellStart"/>
      <w:proofErr w:type="gram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study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10)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resul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suggested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structure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two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exclusion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seven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items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aspects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important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ensure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quality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results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using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practice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well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for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comparison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future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studies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032C2A" w:rsidRPr="009E65A3" w:rsidRDefault="00032C2A">
      <w:pPr>
        <w:spacing w:after="16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32C2A" w:rsidRPr="009E65A3" w:rsidRDefault="009E65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65A3">
        <w:br w:type="page"/>
      </w:r>
    </w:p>
    <w:p w:rsidR="00032C2A" w:rsidRPr="009E65A3" w:rsidRDefault="009E65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REFERENCES</w:t>
      </w: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Kaiser HF.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index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factorial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simplicity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Psychometrika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1974;39(1):31-36. https://doi.org/10.1007/BF02291575.</w:t>
      </w: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Tabachnick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BG,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Fidell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LS.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Using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multivariate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statistics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International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edition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. Pearson 2012, 2013.</w:t>
      </w: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 Cho SJ, Li F,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Bandalos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Accuracy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parallel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procedure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polychoric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correlations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Educ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Psychol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Meas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2009;69(5):748-759. https://doi.org/10.1177/0013164409332229.</w:t>
      </w: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Auerswald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Moshagen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Mn.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determine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number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retain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exploratory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: A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comparison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extraction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methods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under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realistic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conditions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Psychol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Methods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2019;24(4):468. https://doi.org/10.1037/met0000200.</w:t>
      </w: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Holgado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Tello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FP,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Chacón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-Moscoso S,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Barbero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-García I et al.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Polychoric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versus Pearson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correlations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exploratory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confi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rmatory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ordinal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variables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Quality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&amp;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Quantity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. 2010;44(1):153-166. https://doi.org/10.1007/s11135-008-9190-y.</w:t>
      </w: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6. Shapiro A,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Ten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Berge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JMF.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Statistical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inference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minimum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rank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Psychometrika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2002;67(1):79-94. https://doi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.org/10.1007/BF02294710.</w:t>
      </w: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7.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Costello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AB, Osborne J. Best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practices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exploratory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Four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recommendations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getting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most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your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Pract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Assess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Res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Eval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2005;10(1):7. https://doi.org/10.7275/jyj1-4868.</w:t>
      </w: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8.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Revelle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 (2018)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Psyc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procedures for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personality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psychological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research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Northwestern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University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Evanston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9. Garrido LE,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Abad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FJ,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Ponsoda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V. A new look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Horn’s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parallel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ordinal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variables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Psychol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Methods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2013;18(4):454. https://doi.org/10.1037/a0030005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Welch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Beeney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LJ,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Dunn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SM et al. The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development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diabetes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integration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a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psychometric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study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ATT39.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Multivar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Exp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Clin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Res 1996;11(2):75-88.</w:t>
      </w:r>
    </w:p>
    <w:p w:rsidR="00032C2A" w:rsidRPr="009E65A3" w:rsidRDefault="009E6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11.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Hair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JF, Black WC,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Babin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BJ et al.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Multivariate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data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8th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edn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Cengage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Lear</w:t>
      </w: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ning EMEA, </w:t>
      </w:r>
      <w:proofErr w:type="spellStart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Andover</w:t>
      </w:r>
      <w:proofErr w:type="spellEnd"/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>. Hampshire, 2019.</w:t>
      </w:r>
      <w:r w:rsidRPr="009E65A3">
        <w:br w:type="page"/>
      </w:r>
    </w:p>
    <w:p w:rsidR="00032C2A" w:rsidRPr="009E65A3" w:rsidRDefault="00032C2A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</w:p>
    <w:tbl>
      <w:tblPr>
        <w:tblStyle w:val="a"/>
        <w:tblW w:w="9975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10"/>
        <w:gridCol w:w="1410"/>
        <w:gridCol w:w="1455"/>
      </w:tblGrid>
      <w:tr w:rsidR="009E65A3" w:rsidRPr="009E65A3">
        <w:trPr>
          <w:trHeight w:val="398"/>
        </w:trPr>
        <w:tc>
          <w:tcPr>
            <w:tcW w:w="9975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Table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S1.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Supplementary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material.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Factor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loadings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ATT-19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items</w:t>
            </w:r>
            <w:proofErr w:type="spellEnd"/>
          </w:p>
        </w:tc>
      </w:tr>
      <w:tr w:rsidR="009E65A3" w:rsidRPr="009E65A3">
        <w:trPr>
          <w:trHeight w:val="450"/>
        </w:trPr>
        <w:tc>
          <w:tcPr>
            <w:tcW w:w="7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Item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Factor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Factor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2</w:t>
            </w:r>
          </w:p>
        </w:tc>
      </w:tr>
      <w:tr w:rsidR="009E65A3" w:rsidRPr="009E65A3">
        <w:trPr>
          <w:trHeight w:val="626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Q1.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If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didn't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have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diabetes, I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would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very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different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person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0.71</w:t>
            </w:r>
          </w:p>
        </w:tc>
      </w:tr>
      <w:tr w:rsidR="009E65A3" w:rsidRPr="009E65A3">
        <w:trPr>
          <w:trHeight w:val="416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Q3.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Having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was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worst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thing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that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happened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life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0.65</w:t>
            </w:r>
          </w:p>
        </w:tc>
      </w:tr>
      <w:tr w:rsidR="009E65A3" w:rsidRPr="009E65A3">
        <w:trPr>
          <w:trHeight w:val="425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Q4.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Most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people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have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difficulty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adapting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to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having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0.35</w:t>
            </w:r>
          </w:p>
        </w:tc>
      </w:tr>
      <w:tr w:rsidR="009E65A3" w:rsidRPr="009E65A3">
        <w:trPr>
          <w:trHeight w:val="425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Q6. It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seems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like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there's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not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much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can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do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to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control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0.61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9E65A3" w:rsidRPr="009E65A3">
        <w:trPr>
          <w:trHeight w:val="425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Q7.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There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little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hope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leading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 normal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life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with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0.69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9E65A3" w:rsidRPr="009E65A3">
        <w:trPr>
          <w:trHeight w:val="47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Q8. 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Proper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control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involves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lot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sacrifice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inconvenience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0.46</w:t>
            </w:r>
          </w:p>
        </w:tc>
      </w:tr>
      <w:tr w:rsidR="009E65A3" w:rsidRPr="009E65A3">
        <w:trPr>
          <w:trHeight w:val="425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Q9. I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try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not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to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let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people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know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that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have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0.69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9E65A3" w:rsidRPr="009E65A3">
        <w:trPr>
          <w:trHeight w:val="425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Q10.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Being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diagnosed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with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same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as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being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sentenced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to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lifetime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illness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0.81</w:t>
            </w:r>
          </w:p>
        </w:tc>
      </w:tr>
      <w:tr w:rsidR="009E65A3" w:rsidRPr="009E65A3">
        <w:trPr>
          <w:trHeight w:val="425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Q16.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There's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nothing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you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can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do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if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you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have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0.71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9E65A3" w:rsidRPr="009E65A3">
        <w:trPr>
          <w:trHeight w:val="425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Q17.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There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no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one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can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talk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to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openly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about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9E65A3" w:rsidRPr="009E65A3">
        <w:trPr>
          <w:trHeight w:val="425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Q18. I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believe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live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well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with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0.41</w:t>
            </w:r>
          </w:p>
        </w:tc>
      </w:tr>
      <w:tr w:rsidR="009E65A3" w:rsidRPr="009E65A3">
        <w:trPr>
          <w:trHeight w:val="788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Q19. I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usually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think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it's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unfair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that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have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diabetes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other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people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have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very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good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health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0.62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9E65A3" w:rsidRPr="009E65A3">
        <w:trPr>
          <w:trHeight w:val="495"/>
        </w:trPr>
        <w:tc>
          <w:tcPr>
            <w:tcW w:w="71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Eigenvalue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2.97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2.19</w:t>
            </w:r>
          </w:p>
        </w:tc>
      </w:tr>
      <w:tr w:rsidR="009E65A3" w:rsidRPr="009E65A3">
        <w:trPr>
          <w:trHeight w:val="450"/>
        </w:trPr>
        <w:tc>
          <w:tcPr>
            <w:tcW w:w="7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Common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Variance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Explained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58%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42%</w:t>
            </w:r>
          </w:p>
        </w:tc>
      </w:tr>
    </w:tbl>
    <w:p w:rsidR="00032C2A" w:rsidRPr="009E65A3" w:rsidRDefault="009E65A3">
      <w:pPr>
        <w:spacing w:after="16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5A3">
        <w:br w:type="page"/>
      </w:r>
    </w:p>
    <w:p w:rsidR="00032C2A" w:rsidRPr="009E65A3" w:rsidRDefault="009E65A3">
      <w:pPr>
        <w:pStyle w:val="Ttulo1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" w:name="_xnifs6s7tc6k" w:colFirst="0" w:colLast="0"/>
      <w:bookmarkEnd w:id="1"/>
      <w:r w:rsidRPr="009E65A3">
        <w:rPr>
          <w:rFonts w:ascii="Times New Roman" w:eastAsia="Times New Roman" w:hAnsi="Times New Roman" w:cs="Times New Roman"/>
          <w:b/>
          <w:noProof/>
          <w:sz w:val="24"/>
          <w:szCs w:val="24"/>
          <w:highlight w:val="white"/>
        </w:rPr>
        <w:lastRenderedPageBreak/>
        <w:drawing>
          <wp:inline distT="114300" distB="114300" distL="114300" distR="114300">
            <wp:extent cx="5731200" cy="3848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2C2A" w:rsidRPr="009E65A3" w:rsidRDefault="009E65A3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Figure S1.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Supplementary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material.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Parallel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:rsidR="00032C2A" w:rsidRPr="009E65A3" w:rsidRDefault="009E65A3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9E65A3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PC = principal </w:t>
      </w:r>
      <w:proofErr w:type="spellStart"/>
      <w:r w:rsidRPr="009E65A3">
        <w:rPr>
          <w:rFonts w:ascii="Times New Roman" w:eastAsia="Times New Roman" w:hAnsi="Times New Roman" w:cs="Times New Roman"/>
          <w:sz w:val="20"/>
          <w:szCs w:val="20"/>
          <w:highlight w:val="white"/>
        </w:rPr>
        <w:t>components</w:t>
      </w:r>
      <w:proofErr w:type="spellEnd"/>
      <w:r w:rsidRPr="009E65A3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; FA = </w:t>
      </w:r>
      <w:proofErr w:type="spellStart"/>
      <w:r w:rsidRPr="009E65A3">
        <w:rPr>
          <w:rFonts w:ascii="Times New Roman" w:eastAsia="Times New Roman" w:hAnsi="Times New Roman" w:cs="Times New Roman"/>
          <w:sz w:val="20"/>
          <w:szCs w:val="20"/>
          <w:highlight w:val="white"/>
        </w:rPr>
        <w:t>factor</w:t>
      </w:r>
      <w:proofErr w:type="spellEnd"/>
      <w:r w:rsidRPr="009E65A3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0"/>
          <w:szCs w:val="20"/>
          <w:highlight w:val="white"/>
        </w:rPr>
        <w:t>analysis</w:t>
      </w:r>
      <w:proofErr w:type="spellEnd"/>
      <w:r w:rsidRPr="009E65A3"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  <w:r w:rsidRPr="009E65A3">
        <w:br w:type="page"/>
      </w:r>
    </w:p>
    <w:p w:rsidR="00032C2A" w:rsidRPr="009E65A3" w:rsidRDefault="009E65A3">
      <w:pPr>
        <w:pStyle w:val="Ttulo1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" w:name="_dil6nvamkcft" w:colFirst="0" w:colLast="0"/>
      <w:bookmarkEnd w:id="2"/>
      <w:r w:rsidRPr="009E65A3">
        <w:rPr>
          <w:rFonts w:ascii="Times New Roman" w:eastAsia="Times New Roman" w:hAnsi="Times New Roman" w:cs="Times New Roman"/>
          <w:b/>
          <w:noProof/>
          <w:sz w:val="24"/>
          <w:szCs w:val="24"/>
          <w:highlight w:val="white"/>
        </w:rPr>
        <w:lastRenderedPageBreak/>
        <w:drawing>
          <wp:inline distT="114300" distB="114300" distL="114300" distR="114300">
            <wp:extent cx="5612130" cy="3289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2C2A" w:rsidRPr="009E65A3" w:rsidRDefault="009E65A3">
      <w:pPr>
        <w:spacing w:after="16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</w:t>
      </w:r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Figure S2.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Supplementary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material.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Regression</w:t>
      </w:r>
      <w:proofErr w:type="spellEnd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Diagnostic</w:t>
      </w:r>
      <w:proofErr w:type="spellEnd"/>
    </w:p>
    <w:p w:rsidR="00032C2A" w:rsidRPr="009E65A3" w:rsidRDefault="009E65A3">
      <w:pPr>
        <w:spacing w:after="16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65A3">
        <w:br w:type="page"/>
      </w:r>
    </w:p>
    <w:p w:rsidR="00032C2A" w:rsidRPr="009E65A3" w:rsidRDefault="00032C2A">
      <w:pPr>
        <w:widowControl w:val="0"/>
        <w:spacing w:after="160" w:line="480" w:lineRule="auto"/>
        <w:ind w:right="275"/>
        <w:jc w:val="both"/>
        <w:rPr>
          <w:rFonts w:ascii="Times New Roman" w:eastAsia="Times New Roman" w:hAnsi="Times New Roman" w:cs="Times New Roman"/>
          <w:highlight w:val="white"/>
          <w:u w:val="single"/>
        </w:rPr>
      </w:pPr>
    </w:p>
    <w:tbl>
      <w:tblPr>
        <w:tblStyle w:val="a0"/>
        <w:tblW w:w="76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20"/>
        <w:gridCol w:w="2320"/>
        <w:gridCol w:w="2320"/>
        <w:gridCol w:w="690"/>
      </w:tblGrid>
      <w:tr w:rsidR="009E65A3" w:rsidRPr="009E65A3">
        <w:trPr>
          <w:trHeight w:val="740"/>
          <w:jc w:val="center"/>
        </w:trPr>
        <w:tc>
          <w:tcPr>
            <w:tcW w:w="76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C2A" w:rsidRPr="009E65A3" w:rsidRDefault="009E65A3">
            <w:pPr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Table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S2.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Supplementary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material.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Proportion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patients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who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reported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emotional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and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external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eating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attitudes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often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/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very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often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according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to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positive/negative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attitude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towards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diabetes (n=91)</w:t>
            </w:r>
          </w:p>
        </w:tc>
      </w:tr>
      <w:tr w:rsidR="009E65A3" w:rsidRPr="009E65A3">
        <w:trPr>
          <w:trHeight w:val="279"/>
          <w:jc w:val="center"/>
        </w:trPr>
        <w:tc>
          <w:tcPr>
            <w:tcW w:w="232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C2A" w:rsidRPr="009E65A3" w:rsidRDefault="00032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Emotional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Attitude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toward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Diabetes </w:t>
            </w:r>
          </w:p>
        </w:tc>
        <w:tc>
          <w:tcPr>
            <w:tcW w:w="69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  <w:tr w:rsidR="009E65A3" w:rsidRPr="009E65A3">
        <w:trPr>
          <w:trHeight w:val="429"/>
          <w:jc w:val="center"/>
        </w:trPr>
        <w:tc>
          <w:tcPr>
            <w:tcW w:w="23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C2A" w:rsidRPr="009E65A3" w:rsidRDefault="00032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Positive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attitude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Negative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attitude</w:t>
            </w:r>
            <w:proofErr w:type="spellEnd"/>
          </w:p>
        </w:tc>
        <w:tc>
          <w:tcPr>
            <w:tcW w:w="69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vertAlign w:val="superscript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P</w:t>
            </w: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vertAlign w:val="superscript"/>
              </w:rPr>
              <w:t>1</w:t>
            </w:r>
          </w:p>
        </w:tc>
      </w:tr>
      <w:tr w:rsidR="009E65A3" w:rsidRPr="009E65A3">
        <w:trPr>
          <w:jc w:val="center"/>
        </w:trPr>
        <w:tc>
          <w:tcPr>
            <w:tcW w:w="23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</w:t>
            </w:r>
          </w:p>
        </w:tc>
        <w:tc>
          <w:tcPr>
            <w:tcW w:w="2320" w:type="dxa"/>
            <w:tcBorders>
              <w:top w:val="single" w:sz="4" w:space="0" w:color="000000"/>
              <w:bottom w:val="single" w:sz="4" w:space="0" w:color="000000"/>
            </w:tcBorders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2320" w:type="dxa"/>
            <w:tcBorders>
              <w:top w:val="single" w:sz="4" w:space="0" w:color="000000"/>
              <w:bottom w:val="single" w:sz="4" w:space="0" w:color="000000"/>
            </w:tcBorders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68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Emotional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Eating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2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Diffuse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emotions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E65A3" w:rsidRPr="009E65A3">
        <w:trPr>
          <w:trHeight w:val="245"/>
          <w:jc w:val="center"/>
        </w:trPr>
        <w:tc>
          <w:tcPr>
            <w:tcW w:w="2320" w:type="dxa"/>
            <w:tcBorders>
              <w:top w:val="single" w:sz="4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sz w:val="18"/>
                <w:szCs w:val="18"/>
              </w:rPr>
              <w:t>2 (8.7%)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</w:t>
            </w:r>
            <w:r w:rsidRPr="009E65A3">
              <w:rPr>
                <w:rFonts w:ascii="Times New Roman" w:eastAsia="Times New Roman" w:hAnsi="Times New Roman" w:cs="Times New Roman"/>
                <w:sz w:val="18"/>
                <w:szCs w:val="18"/>
              </w:rPr>
              <w:t>(23.6%)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sz w:val="18"/>
                <w:szCs w:val="18"/>
              </w:rPr>
              <w:t>0.12</w:t>
            </w:r>
          </w:p>
        </w:tc>
      </w:tr>
      <w:tr w:rsidR="009E65A3" w:rsidRPr="009E65A3">
        <w:trPr>
          <w:trHeight w:val="65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Q8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(8.7%)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 (29.4%)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0.04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Q10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sz w:val="18"/>
                <w:szCs w:val="18"/>
              </w:rPr>
              <w:t>2 (8.7%)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sz w:val="18"/>
                <w:szCs w:val="18"/>
              </w:rPr>
              <w:t>11 (16.2%)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sz w:val="18"/>
                <w:szCs w:val="18"/>
              </w:rPr>
              <w:t>0.37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Q28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sz w:val="18"/>
                <w:szCs w:val="18"/>
              </w:rPr>
              <w:t>2 (8.7%)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sz w:val="18"/>
                <w:szCs w:val="18"/>
              </w:rPr>
              <w:t>12 (17.6%)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5A3">
              <w:rPr>
                <w:rFonts w:ascii="Times New Roman" w:eastAsia="Times New Roman" w:hAnsi="Times New Roman" w:cs="Times New Roman"/>
                <w:sz w:val="18"/>
                <w:szCs w:val="18"/>
              </w:rPr>
              <w:t>0.30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Borders>
              <w:bottom w:val="single" w:sz="4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Defined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emotions</w:t>
            </w:r>
            <w:proofErr w:type="spellEnd"/>
          </w:p>
        </w:tc>
        <w:tc>
          <w:tcPr>
            <w:tcW w:w="2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Q1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 (25%)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0.008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2 (8.7%)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14 (20.6%)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Q13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2 (8.7%)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7 (10.3%)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0.82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Q16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3 (13%)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3 (4.4%)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Q20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4 (17.4%)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18 (26.5%)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Q23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2 (8.7%)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(19.1%)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Q25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2 (8.7%)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13 (19.1%)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Q30</w:t>
            </w:r>
          </w:p>
        </w:tc>
        <w:tc>
          <w:tcPr>
            <w:tcW w:w="232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1 (4.3%)</w:t>
            </w:r>
          </w:p>
        </w:tc>
        <w:tc>
          <w:tcPr>
            <w:tcW w:w="232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3 (4.4%)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9E65A3" w:rsidRPr="009E65A3">
        <w:trPr>
          <w:trHeight w:val="444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Q32</w:t>
            </w:r>
          </w:p>
        </w:tc>
        <w:tc>
          <w:tcPr>
            <w:tcW w:w="2320" w:type="dxa"/>
            <w:tcBorders>
              <w:top w:val="nil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2 (8.7%)</w:t>
            </w:r>
          </w:p>
        </w:tc>
        <w:tc>
          <w:tcPr>
            <w:tcW w:w="2320" w:type="dxa"/>
            <w:tcBorders>
              <w:top w:val="nil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10 (14.7%)</w:t>
            </w:r>
          </w:p>
        </w:tc>
        <w:tc>
          <w:tcPr>
            <w:tcW w:w="690" w:type="dxa"/>
            <w:tcBorders>
              <w:top w:val="nil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before="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External</w:t>
            </w:r>
            <w:proofErr w:type="spellEnd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Eating</w:t>
            </w:r>
            <w:proofErr w:type="spellEnd"/>
          </w:p>
        </w:tc>
        <w:tc>
          <w:tcPr>
            <w:tcW w:w="2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C2A" w:rsidRPr="009E65A3" w:rsidRDefault="0003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before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6 (26.1%)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21 (30.9)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Q6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5 (21.7%)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17 (25%)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Q9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(8.7%)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(41.2%)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0.004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Q12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5 (21.7%)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23 (33.8%)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Q15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2 (8.7%)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19 (27.9%)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Q18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3 (13%)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14 (20.6%)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Q21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(13%)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 (44.1%)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0.007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Q24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3 (13%)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22 (32.4%)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9E65A3" w:rsidRPr="009E65A3">
        <w:trPr>
          <w:trHeight w:val="490"/>
          <w:jc w:val="center"/>
        </w:trPr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Q27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1 (4.3%)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5 (7.4%)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9E65A3" w:rsidRPr="009E65A3">
        <w:trPr>
          <w:trHeight w:val="464"/>
          <w:jc w:val="center"/>
        </w:trPr>
        <w:tc>
          <w:tcPr>
            <w:tcW w:w="232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Q33</w:t>
            </w:r>
          </w:p>
        </w:tc>
        <w:tc>
          <w:tcPr>
            <w:tcW w:w="2320" w:type="dxa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2 (8.7%)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11 (16.2%)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C2A" w:rsidRPr="009E65A3" w:rsidRDefault="009E6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5A3">
              <w:rPr>
                <w:rFonts w:ascii="Times New Roman" w:eastAsia="Times New Roman" w:hAnsi="Times New Roman" w:cs="Times New Roman"/>
                <w:sz w:val="20"/>
                <w:szCs w:val="20"/>
              </w:rPr>
              <w:t>0.37</w:t>
            </w:r>
          </w:p>
        </w:tc>
      </w:tr>
    </w:tbl>
    <w:p w:rsidR="00032C2A" w:rsidRPr="009E65A3" w:rsidRDefault="009E65A3">
      <w:pPr>
        <w:widowControl w:val="0"/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65A3">
        <w:rPr>
          <w:rFonts w:ascii="Times New Roman" w:eastAsia="Times New Roman" w:hAnsi="Times New Roman" w:cs="Times New Roman"/>
          <w:sz w:val="20"/>
          <w:szCs w:val="20"/>
        </w:rPr>
        <w:t xml:space="preserve">Data are </w:t>
      </w:r>
      <w:proofErr w:type="spellStart"/>
      <w:r w:rsidRPr="009E65A3">
        <w:rPr>
          <w:rFonts w:ascii="Times New Roman" w:eastAsia="Times New Roman" w:hAnsi="Times New Roman" w:cs="Times New Roman"/>
          <w:sz w:val="20"/>
          <w:szCs w:val="20"/>
        </w:rPr>
        <w:t>presented</w:t>
      </w:r>
      <w:proofErr w:type="spellEnd"/>
      <w:r w:rsidRPr="009E65A3"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 w:rsidRPr="009E65A3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E65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0"/>
          <w:szCs w:val="20"/>
        </w:rPr>
        <w:t>number</w:t>
      </w:r>
      <w:proofErr w:type="spellEnd"/>
      <w:r w:rsidRPr="009E65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E65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E65A3">
        <w:rPr>
          <w:rFonts w:ascii="Times New Roman" w:eastAsia="Times New Roman" w:hAnsi="Times New Roman" w:cs="Times New Roman"/>
          <w:sz w:val="20"/>
          <w:szCs w:val="20"/>
        </w:rPr>
        <w:t>patients</w:t>
      </w:r>
      <w:proofErr w:type="spellEnd"/>
      <w:r w:rsidRPr="009E65A3">
        <w:rPr>
          <w:rFonts w:ascii="Times New Roman" w:eastAsia="Times New Roman" w:hAnsi="Times New Roman" w:cs="Times New Roman"/>
          <w:sz w:val="20"/>
          <w:szCs w:val="20"/>
        </w:rPr>
        <w:t xml:space="preserve"> for total cases (%).</w:t>
      </w:r>
      <w:r w:rsidRPr="009E65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65A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 w:rsidRPr="009E65A3">
        <w:rPr>
          <w:rFonts w:ascii="Times New Roman" w:eastAsia="Times New Roman" w:hAnsi="Times New Roman" w:cs="Times New Roman"/>
          <w:sz w:val="20"/>
          <w:szCs w:val="20"/>
        </w:rPr>
        <w:t>Chi-</w:t>
      </w:r>
      <w:proofErr w:type="spellStart"/>
      <w:r w:rsidRPr="009E65A3">
        <w:rPr>
          <w:rFonts w:ascii="Times New Roman" w:eastAsia="Times New Roman" w:hAnsi="Times New Roman" w:cs="Times New Roman"/>
          <w:sz w:val="20"/>
          <w:szCs w:val="20"/>
        </w:rPr>
        <w:t>square</w:t>
      </w:r>
      <w:proofErr w:type="spellEnd"/>
      <w:r w:rsidRPr="009E65A3">
        <w:rPr>
          <w:rFonts w:ascii="Times New Roman" w:eastAsia="Times New Roman" w:hAnsi="Times New Roman" w:cs="Times New Roman"/>
          <w:sz w:val="20"/>
          <w:szCs w:val="20"/>
        </w:rPr>
        <w:t xml:space="preserve"> test.</w:t>
      </w:r>
      <w:bookmarkEnd w:id="0"/>
    </w:p>
    <w:sectPr w:rsidR="00032C2A" w:rsidRPr="009E65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2A"/>
    <w:rsid w:val="00032C2A"/>
    <w:rsid w:val="009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E83B6-F864-4A32-8C85-1D64DDD5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1260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 Carnevale De Almeida</dc:creator>
  <cp:lastModifiedBy>Jussara Carnevale De Almeida</cp:lastModifiedBy>
  <cp:revision>2</cp:revision>
  <dcterms:created xsi:type="dcterms:W3CDTF">2024-10-17T13:20:00Z</dcterms:created>
  <dcterms:modified xsi:type="dcterms:W3CDTF">2024-10-17T13:20:00Z</dcterms:modified>
</cp:coreProperties>
</file>