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1CE3" w14:textId="77777777" w:rsidR="00F42845" w:rsidRPr="00F42845" w:rsidRDefault="007F333C" w:rsidP="00F42845">
      <w:pPr>
        <w:spacing w:after="0" w:line="360" w:lineRule="auto"/>
        <w:jc w:val="center"/>
        <w:rPr>
          <w:rFonts w:ascii="Times New Roman" w:hAnsi="Times New Roman"/>
          <w:b/>
          <w:bCs/>
          <w:lang w:val="en-US"/>
        </w:rPr>
      </w:pPr>
      <w:r w:rsidRPr="00F42845">
        <w:rPr>
          <w:rFonts w:ascii="Times New Roman" w:hAnsi="Times New Roman"/>
          <w:b/>
          <w:bCs/>
          <w:lang w:val="en-US"/>
        </w:rPr>
        <w:t xml:space="preserve">Supplementary Material </w:t>
      </w:r>
      <w:bookmarkStart w:id="0" w:name="_Toc5706276"/>
      <w:r w:rsidR="009351EA" w:rsidRPr="00F42845">
        <w:rPr>
          <w:rFonts w:ascii="Times New Roman" w:hAnsi="Times New Roman"/>
          <w:b/>
          <w:bCs/>
          <w:lang w:val="en-US"/>
        </w:rPr>
        <w:t>2</w:t>
      </w:r>
      <w:bookmarkEnd w:id="0"/>
      <w:r w:rsidR="00F42845" w:rsidRPr="00F42845">
        <w:rPr>
          <w:rFonts w:ascii="Times New Roman" w:hAnsi="Times New Roman"/>
          <w:b/>
          <w:bCs/>
          <w:lang w:val="en-US"/>
        </w:rPr>
        <w:t xml:space="preserve"> - </w:t>
      </w:r>
      <w:r w:rsidR="00F42845" w:rsidRPr="00F42845">
        <w:rPr>
          <w:rFonts w:ascii="Cambria" w:eastAsia="Times New Roman" w:hAnsi="Cambria"/>
          <w:b/>
          <w:color w:val="333333"/>
          <w:sz w:val="24"/>
          <w:szCs w:val="24"/>
          <w:lang w:val="en-US" w:eastAsia="pt-BR"/>
        </w:rPr>
        <w:t>Scoring system for the Healthy Retail Food Store Index (HFSI).</w:t>
      </w:r>
    </w:p>
    <w:tbl>
      <w:tblPr>
        <w:tblW w:w="8926" w:type="dxa"/>
        <w:jc w:val="center"/>
        <w:tblBorders>
          <w:top w:val="single" w:sz="6" w:space="0" w:color="000000"/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4723"/>
      </w:tblGrid>
      <w:tr w:rsidR="00F42845" w:rsidRPr="00C06C48" w14:paraId="085D76D3" w14:textId="77777777" w:rsidTr="00C06C48">
        <w:trPr>
          <w:tblHeader/>
          <w:jc w:val="center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14:paraId="6DA0FC37" w14:textId="77777777" w:rsidR="00F42845" w:rsidRPr="00C06C48" w:rsidRDefault="00F42845" w:rsidP="00D6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t-BR"/>
              </w:rPr>
              <w:t>Variable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14:paraId="53F8BC52" w14:textId="77777777" w:rsidR="00F42845" w:rsidRPr="00C06C48" w:rsidRDefault="00F42845" w:rsidP="00D67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pt-BR"/>
              </w:rPr>
              <w:t>Score</w:t>
            </w:r>
          </w:p>
        </w:tc>
      </w:tr>
      <w:tr w:rsidR="00F42845" w:rsidRPr="00C06C48" w14:paraId="49874536" w14:textId="77777777" w:rsidTr="00C06C48">
        <w:trPr>
          <w:jc w:val="center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4A438C0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Fresh fruits and vegetable availability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B21C4CA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0 points if not available; 1 point if available</w:t>
            </w:r>
          </w:p>
        </w:tc>
      </w:tr>
      <w:tr w:rsidR="00F42845" w:rsidRPr="00C06C48" w14:paraId="5A12CDCB" w14:textId="77777777" w:rsidTr="00D67CA8">
        <w:trPr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576FB90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Fresh fruits and vegetable located near the entrance of the store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09DA013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0 points if not located near the entrance of the store; 1 point if located</w:t>
            </w:r>
          </w:p>
        </w:tc>
      </w:tr>
      <w:tr w:rsidR="00F42845" w:rsidRPr="00C06C48" w14:paraId="0E1D1BEF" w14:textId="77777777" w:rsidTr="00D67CA8">
        <w:trPr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E6DDD3C" w14:textId="54EB47AA" w:rsidR="00F42845" w:rsidRPr="00505349" w:rsidRDefault="00ED1E34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50534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Fruit diversity 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7CCFD44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0 points if not available; 1 point if 1–7 types of the 10 most purchased fruits are available; 2 points if 8–10 of the 10 most purchased fruits are available</w:t>
            </w:r>
          </w:p>
        </w:tc>
      </w:tr>
      <w:tr w:rsidR="00F42845" w:rsidRPr="00C06C48" w14:paraId="48CD4663" w14:textId="77777777" w:rsidTr="00D67CA8">
        <w:trPr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DC5479D" w14:textId="0B825E5D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Fruits </w:t>
            </w:r>
            <w:r w:rsidR="00ED1E34"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Variety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45916D1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0 points if not even 1 fruit variety is available; 1 point if up to 14 varieties are available; 2 points if 15 or more varieties are available</w:t>
            </w:r>
          </w:p>
        </w:tc>
      </w:tr>
      <w:tr w:rsidR="00F42845" w:rsidRPr="00C06C48" w14:paraId="133BD9E3" w14:textId="77777777" w:rsidTr="00D67CA8">
        <w:trPr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612247A" w14:textId="7BCFCA53" w:rsidR="00F42845" w:rsidRPr="00505349" w:rsidRDefault="00ED1E34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50534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Vegetables diversity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10E0E00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0 points if not available; 1 point if 1–7 types of the 10 most purchased vegetables are available; 2 points if 8–10 of the 10 most purchased vegetables are available</w:t>
            </w:r>
          </w:p>
        </w:tc>
      </w:tr>
      <w:tr w:rsidR="00F42845" w:rsidRPr="00C06C48" w14:paraId="074F5394" w14:textId="77777777" w:rsidTr="00D67CA8">
        <w:trPr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A22A2AB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Vegetables variety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DC77139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0 points if not even 1 vegetable variety is available; 1 point if up to 14 varieties are </w:t>
            </w:r>
            <w:r w:rsidR="00D67CA8"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available</w:t>
            </w: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; 2 points if 15 or more varieties are available</w:t>
            </w:r>
          </w:p>
        </w:tc>
      </w:tr>
      <w:tr w:rsidR="00F42845" w:rsidRPr="00C06C48" w14:paraId="0A96823B" w14:textId="77777777" w:rsidTr="00D67CA8">
        <w:trPr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9460D44" w14:textId="6592F370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Fruits and vegetable</w:t>
            </w:r>
            <w:r w:rsidR="00D67CA8"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="00B71ACA"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advertising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F779B87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0 points if not available; 1 point if available</w:t>
            </w:r>
          </w:p>
        </w:tc>
      </w:tr>
      <w:tr w:rsidR="00F42845" w:rsidRPr="00C06C48" w14:paraId="2C26A123" w14:textId="77777777" w:rsidTr="00D67CA8">
        <w:trPr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B0ED265" w14:textId="77777777" w:rsidR="00F42845" w:rsidRPr="00505349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50534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Soft drinks availability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2AA590A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0 points if available; 1 point if not available</w:t>
            </w:r>
          </w:p>
        </w:tc>
      </w:tr>
      <w:tr w:rsidR="00F42845" w:rsidRPr="00C06C48" w14:paraId="19E867E0" w14:textId="77777777" w:rsidTr="00D67CA8">
        <w:trPr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10080A6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Sugar-sweetened nectar/juice availability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B543E56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0 points if available; 1 point if not available</w:t>
            </w:r>
          </w:p>
        </w:tc>
      </w:tr>
      <w:tr w:rsidR="00F42845" w:rsidRPr="00C06C48" w14:paraId="42589A5A" w14:textId="77777777" w:rsidTr="00D67CA8">
        <w:trPr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3E5AEF5" w14:textId="77777777" w:rsidR="00F42845" w:rsidRPr="00505349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50534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Chocolate filled cookies availability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D75916C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0 points if available; 1 point if not available</w:t>
            </w:r>
          </w:p>
        </w:tc>
      </w:tr>
      <w:tr w:rsidR="00F42845" w:rsidRPr="00C06C48" w14:paraId="2184B6F3" w14:textId="77777777" w:rsidTr="00D67CA8">
        <w:trPr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C26386C" w14:textId="77777777" w:rsidR="00F42845" w:rsidRPr="00505349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50534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Corn chips availability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14F7D3F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0 points if available; 1 point if not available</w:t>
            </w:r>
          </w:p>
        </w:tc>
      </w:tr>
      <w:tr w:rsidR="00F42845" w:rsidRPr="00C06C48" w14:paraId="124D86F4" w14:textId="77777777" w:rsidTr="00D67CA8">
        <w:trPr>
          <w:jc w:val="center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B6B52AE" w14:textId="00A0084B" w:rsidR="00F42845" w:rsidRPr="00C06C48" w:rsidRDefault="00B71ACA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proofErr w:type="spellStart"/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Ultraprocessed</w:t>
            </w:r>
            <w:proofErr w:type="spellEnd"/>
            <w:r w:rsidR="00F42845"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foods </w:t>
            </w: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a</w:t>
            </w:r>
            <w:r w:rsidR="00F42845"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dvertising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F4FC536" w14:textId="77777777" w:rsidR="00F42845" w:rsidRPr="00C06C48" w:rsidRDefault="00F42845" w:rsidP="00F42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C06C48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0 points if available; 1 point if not available</w:t>
            </w:r>
          </w:p>
        </w:tc>
      </w:tr>
    </w:tbl>
    <w:p w14:paraId="433F0C6B" w14:textId="77777777" w:rsidR="00F26C59" w:rsidRPr="00D67CA8" w:rsidRDefault="00D67CA8" w:rsidP="00D67CA8">
      <w:pPr>
        <w:ind w:left="-142"/>
        <w:jc w:val="both"/>
        <w:rPr>
          <w:rFonts w:ascii="Times New Roman" w:hAnsi="Times New Roman"/>
          <w:sz w:val="20"/>
          <w:szCs w:val="20"/>
          <w:lang w:val="en-US"/>
        </w:rPr>
      </w:pPr>
      <w:r w:rsidRPr="00505349">
        <w:rPr>
          <w:rFonts w:ascii="Times New Roman" w:hAnsi="Times New Roman"/>
          <w:sz w:val="20"/>
          <w:szCs w:val="20"/>
          <w:lang w:val="en-US"/>
        </w:rPr>
        <w:t xml:space="preserve">Source: </w:t>
      </w:r>
      <w:r w:rsidR="00F42845" w:rsidRPr="00505349">
        <w:rPr>
          <w:rFonts w:ascii="Times New Roman" w:hAnsi="Times New Roman"/>
          <w:sz w:val="20"/>
          <w:szCs w:val="20"/>
          <w:lang w:val="en-US"/>
        </w:rPr>
        <w:t xml:space="preserve">Duran AC, Diez Roux AV, Latorre </w:t>
      </w:r>
      <w:proofErr w:type="spellStart"/>
      <w:r w:rsidR="00F42845" w:rsidRPr="00505349">
        <w:rPr>
          <w:rFonts w:ascii="Times New Roman" w:hAnsi="Times New Roman"/>
          <w:sz w:val="20"/>
          <w:szCs w:val="20"/>
          <w:lang w:val="en-US"/>
        </w:rPr>
        <w:t>Mdo</w:t>
      </w:r>
      <w:proofErr w:type="spellEnd"/>
      <w:r w:rsidR="00F42845" w:rsidRPr="00505349">
        <w:rPr>
          <w:rFonts w:ascii="Times New Roman" w:hAnsi="Times New Roman"/>
          <w:sz w:val="20"/>
          <w:szCs w:val="20"/>
          <w:lang w:val="en-US"/>
        </w:rPr>
        <w:t xml:space="preserve"> R, Jaime PC. </w:t>
      </w:r>
      <w:r w:rsidR="00F42845" w:rsidRPr="00D67CA8">
        <w:rPr>
          <w:rFonts w:ascii="Times New Roman" w:hAnsi="Times New Roman"/>
          <w:sz w:val="20"/>
          <w:szCs w:val="20"/>
          <w:lang w:val="en-US"/>
        </w:rPr>
        <w:t>Neighborhood socioeconomic characteristics and differences in the availability of healthy food stores and restaurants in Sao Paulo, Brazil. Health Place. 2013 Sep;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42845" w:rsidRPr="00D67CA8">
        <w:rPr>
          <w:rFonts w:ascii="Times New Roman" w:hAnsi="Times New Roman"/>
          <w:sz w:val="20"/>
          <w:szCs w:val="20"/>
          <w:lang w:val="en-US"/>
        </w:rPr>
        <w:t xml:space="preserve">23:39-47. </w:t>
      </w:r>
      <w:proofErr w:type="spellStart"/>
      <w:r w:rsidR="00F42845" w:rsidRPr="00D67CA8">
        <w:rPr>
          <w:rFonts w:ascii="Times New Roman" w:hAnsi="Times New Roman"/>
          <w:sz w:val="20"/>
          <w:szCs w:val="20"/>
          <w:lang w:val="en-US"/>
        </w:rPr>
        <w:t>doi</w:t>
      </w:r>
      <w:proofErr w:type="spellEnd"/>
      <w:r w:rsidR="00F42845" w:rsidRPr="00D67CA8">
        <w:rPr>
          <w:rFonts w:ascii="Times New Roman" w:hAnsi="Times New Roman"/>
          <w:sz w:val="20"/>
          <w:szCs w:val="20"/>
          <w:lang w:val="en-US"/>
        </w:rPr>
        <w:t xml:space="preserve">: 10.1016/j.healthplace.2013.05.001. </w:t>
      </w:r>
      <w:proofErr w:type="spellStart"/>
      <w:r w:rsidR="00F42845" w:rsidRPr="00D67CA8">
        <w:rPr>
          <w:rFonts w:ascii="Times New Roman" w:hAnsi="Times New Roman"/>
          <w:sz w:val="20"/>
          <w:szCs w:val="20"/>
          <w:lang w:val="en-US"/>
        </w:rPr>
        <w:t>Epub</w:t>
      </w:r>
      <w:proofErr w:type="spellEnd"/>
      <w:r w:rsidR="00F42845" w:rsidRPr="00D67CA8">
        <w:rPr>
          <w:rFonts w:ascii="Times New Roman" w:hAnsi="Times New Roman"/>
          <w:sz w:val="20"/>
          <w:szCs w:val="20"/>
          <w:lang w:val="en-US"/>
        </w:rPr>
        <w:t xml:space="preserve"> 2013 May 18. PMID: 23747923; PMCID: PMC3758426.</w:t>
      </w:r>
    </w:p>
    <w:sectPr w:rsidR="00F26C59" w:rsidRPr="00D67CA8" w:rsidSect="00720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3C"/>
    <w:rsid w:val="0045116C"/>
    <w:rsid w:val="00505349"/>
    <w:rsid w:val="005269CD"/>
    <w:rsid w:val="00653357"/>
    <w:rsid w:val="0068012B"/>
    <w:rsid w:val="006F5B91"/>
    <w:rsid w:val="007204E1"/>
    <w:rsid w:val="007C4E14"/>
    <w:rsid w:val="007F333C"/>
    <w:rsid w:val="00847B52"/>
    <w:rsid w:val="009351EA"/>
    <w:rsid w:val="00B71ACA"/>
    <w:rsid w:val="00C06C48"/>
    <w:rsid w:val="00D67CA8"/>
    <w:rsid w:val="00EB006F"/>
    <w:rsid w:val="00ED1E34"/>
    <w:rsid w:val="00EE226E"/>
    <w:rsid w:val="00F26C59"/>
    <w:rsid w:val="00F4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5D5B"/>
  <w15:docId w15:val="{58F87CBC-9D3E-4B4D-AA0B-9EEAE448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3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7F333C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42845"/>
  </w:style>
  <w:style w:type="table" w:styleId="Tabelacomgrade">
    <w:name w:val="Table Grid"/>
    <w:basedOn w:val="Tabelanormal"/>
    <w:uiPriority w:val="39"/>
    <w:rsid w:val="00F4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48"/>
    <w:rPr>
      <w:rFonts w:ascii="Segoe UI" w:eastAsia="Calibr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053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68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4</cp:revision>
  <dcterms:created xsi:type="dcterms:W3CDTF">2024-02-16T19:32:00Z</dcterms:created>
  <dcterms:modified xsi:type="dcterms:W3CDTF">2024-02-20T13:12:00Z</dcterms:modified>
</cp:coreProperties>
</file>