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6BA5" w14:textId="77777777" w:rsidR="00C12574" w:rsidRDefault="00C12574" w:rsidP="00C12574">
      <w:pPr>
        <w:pStyle w:val="TOCHeading"/>
      </w:pPr>
      <w:r>
        <w:t>Supplementary Material D: GRADE Decision Rules</w:t>
      </w:r>
    </w:p>
    <w:tbl>
      <w:tblPr>
        <w:tblStyle w:val="GridTable2"/>
        <w:tblW w:w="1134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1426"/>
        <w:gridCol w:w="885"/>
        <w:gridCol w:w="6585"/>
      </w:tblGrid>
      <w:tr w:rsidR="00C12574" w:rsidRPr="00DC0250" w14:paraId="127EDEED" w14:textId="77777777" w:rsidTr="00AE5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0" w:type="dxa"/>
            <w:shd w:val="clear" w:color="auto" w:fill="A6A6A6" w:themeFill="background1" w:themeFillShade="A6"/>
          </w:tcPr>
          <w:p w14:paraId="17FD8DFB" w14:textId="77777777" w:rsidR="00C12574" w:rsidRPr="00DC0250" w:rsidRDefault="00C12574" w:rsidP="00AE517C">
            <w:pPr>
              <w:rPr>
                <w:rFonts w:cstheme="minorHAnsi"/>
                <w:sz w:val="20"/>
                <w:szCs w:val="20"/>
              </w:rPr>
            </w:pPr>
            <w:r w:rsidRPr="00DC0250">
              <w:rPr>
                <w:rFonts w:cstheme="minorHAnsi"/>
                <w:sz w:val="20"/>
                <w:szCs w:val="20"/>
              </w:rPr>
              <w:t>Domain</w:t>
            </w:r>
          </w:p>
        </w:tc>
        <w:tc>
          <w:tcPr>
            <w:tcW w:w="1426" w:type="dxa"/>
            <w:shd w:val="clear" w:color="auto" w:fill="A6A6A6" w:themeFill="background1" w:themeFillShade="A6"/>
          </w:tcPr>
          <w:p w14:paraId="753CA561" w14:textId="77777777" w:rsidR="00C12574" w:rsidRPr="00DC0250" w:rsidRDefault="00C12574" w:rsidP="00AE517C">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Judgment</w:t>
            </w:r>
          </w:p>
        </w:tc>
        <w:tc>
          <w:tcPr>
            <w:tcW w:w="885" w:type="dxa"/>
            <w:shd w:val="clear" w:color="auto" w:fill="A6A6A6" w:themeFill="background1" w:themeFillShade="A6"/>
          </w:tcPr>
          <w:p w14:paraId="32A17A38" w14:textId="77777777" w:rsidR="00C12574" w:rsidRPr="00DC0250" w:rsidRDefault="00C12574" w:rsidP="00AE517C">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Scoring</w:t>
            </w:r>
          </w:p>
        </w:tc>
        <w:tc>
          <w:tcPr>
            <w:tcW w:w="6585" w:type="dxa"/>
            <w:shd w:val="clear" w:color="auto" w:fill="A6A6A6" w:themeFill="background1" w:themeFillShade="A6"/>
          </w:tcPr>
          <w:p w14:paraId="77DA731C" w14:textId="77777777" w:rsidR="00C12574" w:rsidRPr="00DC0250" w:rsidRDefault="00C12574" w:rsidP="00AE517C">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Criteria</w:t>
            </w:r>
          </w:p>
        </w:tc>
      </w:tr>
      <w:tr w:rsidR="00C12574" w:rsidRPr="00DC0250" w14:paraId="538D9F84" w14:textId="77777777" w:rsidTr="00AE5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0" w:type="dxa"/>
            <w:vMerge w:val="restart"/>
            <w:shd w:val="clear" w:color="auto" w:fill="D9D9D9" w:themeFill="background1" w:themeFillShade="D9"/>
          </w:tcPr>
          <w:p w14:paraId="283AF75A" w14:textId="77777777" w:rsidR="00C12574" w:rsidRPr="00DC0250" w:rsidRDefault="00C12574" w:rsidP="00AE517C">
            <w:pPr>
              <w:rPr>
                <w:rFonts w:cstheme="minorHAnsi"/>
                <w:sz w:val="20"/>
                <w:szCs w:val="20"/>
              </w:rPr>
            </w:pPr>
            <w:r w:rsidRPr="00DC0250">
              <w:rPr>
                <w:rFonts w:cstheme="minorHAnsi"/>
                <w:sz w:val="20"/>
                <w:szCs w:val="20"/>
              </w:rPr>
              <w:t>Risk of Bias</w:t>
            </w:r>
          </w:p>
        </w:tc>
        <w:tc>
          <w:tcPr>
            <w:tcW w:w="1426" w:type="dxa"/>
            <w:shd w:val="clear" w:color="auto" w:fill="D9D9D9" w:themeFill="background1" w:themeFillShade="D9"/>
          </w:tcPr>
          <w:p w14:paraId="792FF595"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No serious risk of bias</w:t>
            </w:r>
          </w:p>
        </w:tc>
        <w:tc>
          <w:tcPr>
            <w:tcW w:w="885" w:type="dxa"/>
            <w:shd w:val="clear" w:color="auto" w:fill="D9D9D9" w:themeFill="background1" w:themeFillShade="D9"/>
          </w:tcPr>
          <w:p w14:paraId="3FED56AE"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0</w:t>
            </w:r>
          </w:p>
        </w:tc>
        <w:tc>
          <w:tcPr>
            <w:tcW w:w="6585" w:type="dxa"/>
            <w:shd w:val="clear" w:color="auto" w:fill="D9D9D9" w:themeFill="background1" w:themeFillShade="D9"/>
          </w:tcPr>
          <w:p w14:paraId="0F232D4D" w14:textId="77777777" w:rsidR="00C12574" w:rsidRPr="00DC0250" w:rsidRDefault="00C12574" w:rsidP="00AE517C">
            <w:pPr>
              <w:pStyle w:val="ListParagraph"/>
              <w:numPr>
                <w:ilvl w:val="0"/>
                <w:numId w:val="1"/>
              </w:numPr>
              <w:ind w:left="180" w:hanging="219"/>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DC0250">
              <w:rPr>
                <w:rFonts w:cstheme="minorHAnsi"/>
                <w:sz w:val="20"/>
                <w:szCs w:val="20"/>
                <w:lang w:val="en-CA"/>
              </w:rPr>
              <w:t xml:space="preserve">Most studies were considered at low </w:t>
            </w:r>
            <w:proofErr w:type="spellStart"/>
            <w:r w:rsidRPr="00DC0250">
              <w:rPr>
                <w:rFonts w:cstheme="minorHAnsi"/>
                <w:sz w:val="20"/>
                <w:szCs w:val="20"/>
                <w:lang w:val="en-CA"/>
              </w:rPr>
              <w:t>RoB</w:t>
            </w:r>
            <w:proofErr w:type="spellEnd"/>
            <w:r w:rsidRPr="00DC0250">
              <w:rPr>
                <w:rFonts w:cstheme="minorHAnsi"/>
                <w:sz w:val="20"/>
                <w:szCs w:val="20"/>
                <w:lang w:val="en-CA"/>
              </w:rPr>
              <w:t xml:space="preserve">; those that pose a greater risk of bias contribute minimally to the outcome of interest. </w:t>
            </w:r>
          </w:p>
        </w:tc>
      </w:tr>
      <w:tr w:rsidR="00C12574" w:rsidRPr="00DC0250" w14:paraId="3BF924EE" w14:textId="77777777" w:rsidTr="00AE517C">
        <w:tc>
          <w:tcPr>
            <w:cnfStyle w:val="001000000000" w:firstRow="0" w:lastRow="0" w:firstColumn="1" w:lastColumn="0" w:oddVBand="0" w:evenVBand="0" w:oddHBand="0" w:evenHBand="0" w:firstRowFirstColumn="0" w:firstRowLastColumn="0" w:lastRowFirstColumn="0" w:lastRowLastColumn="0"/>
            <w:tcW w:w="2450" w:type="dxa"/>
            <w:vMerge/>
            <w:shd w:val="clear" w:color="auto" w:fill="D9D9D9" w:themeFill="background1" w:themeFillShade="D9"/>
          </w:tcPr>
          <w:p w14:paraId="7B2D5BCC" w14:textId="77777777" w:rsidR="00C12574" w:rsidRPr="00DC0250" w:rsidRDefault="00C12574" w:rsidP="00AE517C">
            <w:pPr>
              <w:rPr>
                <w:rFonts w:cstheme="minorHAnsi"/>
                <w:sz w:val="20"/>
                <w:szCs w:val="20"/>
              </w:rPr>
            </w:pPr>
          </w:p>
        </w:tc>
        <w:tc>
          <w:tcPr>
            <w:tcW w:w="1426" w:type="dxa"/>
            <w:vMerge w:val="restart"/>
            <w:shd w:val="clear" w:color="auto" w:fill="D9D9D9" w:themeFill="background1" w:themeFillShade="D9"/>
          </w:tcPr>
          <w:p w14:paraId="1627A0F1"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Moderate risk of bias</w:t>
            </w:r>
          </w:p>
        </w:tc>
        <w:tc>
          <w:tcPr>
            <w:tcW w:w="885" w:type="dxa"/>
            <w:shd w:val="clear" w:color="auto" w:fill="D9D9D9" w:themeFill="background1" w:themeFillShade="D9"/>
          </w:tcPr>
          <w:p w14:paraId="0955EC89"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–0.5 points</w:t>
            </w:r>
          </w:p>
        </w:tc>
        <w:tc>
          <w:tcPr>
            <w:tcW w:w="6585" w:type="dxa"/>
            <w:shd w:val="clear" w:color="auto" w:fill="D9D9D9" w:themeFill="background1" w:themeFillShade="D9"/>
          </w:tcPr>
          <w:p w14:paraId="405FF2FA" w14:textId="77777777" w:rsidR="00C12574" w:rsidRPr="00DC0250" w:rsidRDefault="00C12574" w:rsidP="00AE517C">
            <w:pPr>
              <w:pStyle w:val="ListParagraph"/>
              <w:numPr>
                <w:ilvl w:val="0"/>
                <w:numId w:val="1"/>
              </w:numPr>
              <w:ind w:left="180" w:hanging="219"/>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DC0250">
              <w:rPr>
                <w:rFonts w:cstheme="minorHAnsi"/>
                <w:sz w:val="20"/>
                <w:szCs w:val="20"/>
                <w:lang w:val="en-CA"/>
              </w:rPr>
              <w:t>at least one study that contributes significantly to the magnitude of effect is considered to be at moderate risk of bias.</w:t>
            </w:r>
          </w:p>
        </w:tc>
      </w:tr>
      <w:tr w:rsidR="00C12574" w:rsidRPr="00DC0250" w14:paraId="31CBEF57" w14:textId="77777777" w:rsidTr="00AE5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0" w:type="dxa"/>
            <w:vMerge/>
            <w:shd w:val="clear" w:color="auto" w:fill="D9D9D9" w:themeFill="background1" w:themeFillShade="D9"/>
          </w:tcPr>
          <w:p w14:paraId="600A9C92" w14:textId="77777777" w:rsidR="00C12574" w:rsidRPr="00DC0250" w:rsidRDefault="00C12574" w:rsidP="00AE517C">
            <w:pPr>
              <w:rPr>
                <w:rFonts w:cstheme="minorHAnsi"/>
                <w:sz w:val="20"/>
                <w:szCs w:val="20"/>
              </w:rPr>
            </w:pPr>
          </w:p>
        </w:tc>
        <w:tc>
          <w:tcPr>
            <w:tcW w:w="1426" w:type="dxa"/>
            <w:vMerge/>
            <w:shd w:val="clear" w:color="auto" w:fill="D9D9D9" w:themeFill="background1" w:themeFillShade="D9"/>
          </w:tcPr>
          <w:p w14:paraId="12256C47"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85" w:type="dxa"/>
            <w:shd w:val="clear" w:color="auto" w:fill="D9D9D9" w:themeFill="background1" w:themeFillShade="D9"/>
          </w:tcPr>
          <w:p w14:paraId="40B78E19"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–0.5 point</w:t>
            </w:r>
          </w:p>
        </w:tc>
        <w:tc>
          <w:tcPr>
            <w:tcW w:w="6585" w:type="dxa"/>
            <w:shd w:val="clear" w:color="auto" w:fill="D9D9D9" w:themeFill="background1" w:themeFillShade="D9"/>
          </w:tcPr>
          <w:p w14:paraId="5CD338A9"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DC0250">
              <w:rPr>
                <w:rFonts w:cstheme="minorHAnsi"/>
                <w:i/>
                <w:sz w:val="20"/>
                <w:szCs w:val="20"/>
              </w:rPr>
              <w:t>If data is synthesized narratively:</w:t>
            </w:r>
          </w:p>
          <w:p w14:paraId="2E319498" w14:textId="77777777" w:rsidR="00C12574" w:rsidRPr="00DC0250" w:rsidRDefault="00C12574" w:rsidP="00AE517C">
            <w:pPr>
              <w:pStyle w:val="ListParagraph"/>
              <w:numPr>
                <w:ilvl w:val="0"/>
                <w:numId w:val="1"/>
              </w:numPr>
              <w:spacing w:after="120"/>
              <w:ind w:left="180" w:hanging="219"/>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DC0250">
              <w:rPr>
                <w:rFonts w:cstheme="minorHAnsi"/>
                <w:sz w:val="20"/>
                <w:szCs w:val="20"/>
                <w:lang w:val="en-CA"/>
              </w:rPr>
              <w:t xml:space="preserve">≥1 study was at high ROB, but a study at high ROB </w:t>
            </w:r>
            <w:r w:rsidRPr="00DC0250">
              <w:rPr>
                <w:rFonts w:cstheme="minorHAnsi"/>
                <w:i/>
                <w:sz w:val="20"/>
                <w:szCs w:val="20"/>
                <w:lang w:val="en-CA"/>
              </w:rPr>
              <w:t>was not</w:t>
            </w:r>
            <w:r w:rsidRPr="00DC0250">
              <w:rPr>
                <w:rFonts w:cstheme="minorHAnsi"/>
                <w:sz w:val="20"/>
                <w:szCs w:val="20"/>
                <w:lang w:val="en-CA"/>
              </w:rPr>
              <w:t xml:space="preserve"> responsible for either the highest or lowest or largest  effect estimate in the range of estimates for the outcome</w:t>
            </w:r>
          </w:p>
          <w:p w14:paraId="3F1E65F5" w14:textId="77777777" w:rsidR="00C12574" w:rsidRPr="00DC0250" w:rsidRDefault="00C12574" w:rsidP="00AE517C">
            <w:pPr>
              <w:ind w:left="-39"/>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DC0250">
              <w:rPr>
                <w:rFonts w:cstheme="minorHAnsi"/>
                <w:i/>
                <w:sz w:val="20"/>
                <w:szCs w:val="20"/>
              </w:rPr>
              <w:t>If data synthesized by random effects MA:</w:t>
            </w:r>
          </w:p>
          <w:p w14:paraId="0C3A4093" w14:textId="77777777" w:rsidR="00C12574" w:rsidRPr="00DC0250" w:rsidRDefault="00C12574" w:rsidP="00AE517C">
            <w:pPr>
              <w:pStyle w:val="ListParagraph"/>
              <w:numPr>
                <w:ilvl w:val="0"/>
                <w:numId w:val="1"/>
              </w:numPr>
              <w:ind w:left="180" w:hanging="219"/>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DC0250">
              <w:rPr>
                <w:rFonts w:cstheme="minorHAnsi"/>
                <w:sz w:val="20"/>
                <w:szCs w:val="20"/>
                <w:lang w:val="en-CA"/>
              </w:rPr>
              <w:t>≥1 study (but less than 50% of total studies) was at high ROB</w:t>
            </w:r>
          </w:p>
        </w:tc>
      </w:tr>
      <w:tr w:rsidR="00C12574" w:rsidRPr="00DC0250" w14:paraId="312F6667" w14:textId="77777777" w:rsidTr="00AE517C">
        <w:tc>
          <w:tcPr>
            <w:cnfStyle w:val="001000000000" w:firstRow="0" w:lastRow="0" w:firstColumn="1" w:lastColumn="0" w:oddVBand="0" w:evenVBand="0" w:oddHBand="0" w:evenHBand="0" w:firstRowFirstColumn="0" w:firstRowLastColumn="0" w:lastRowFirstColumn="0" w:lastRowLastColumn="0"/>
            <w:tcW w:w="2450" w:type="dxa"/>
            <w:vMerge/>
            <w:shd w:val="clear" w:color="auto" w:fill="D9D9D9" w:themeFill="background1" w:themeFillShade="D9"/>
          </w:tcPr>
          <w:p w14:paraId="77A9AF53" w14:textId="77777777" w:rsidR="00C12574" w:rsidRPr="00DC0250" w:rsidRDefault="00C12574" w:rsidP="00AE517C">
            <w:pPr>
              <w:rPr>
                <w:rFonts w:cstheme="minorHAnsi"/>
                <w:sz w:val="20"/>
                <w:szCs w:val="20"/>
              </w:rPr>
            </w:pPr>
          </w:p>
        </w:tc>
        <w:tc>
          <w:tcPr>
            <w:tcW w:w="1426" w:type="dxa"/>
            <w:shd w:val="clear" w:color="auto" w:fill="D9D9D9" w:themeFill="background1" w:themeFillShade="D9"/>
          </w:tcPr>
          <w:p w14:paraId="43B7F15F"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Very serious risk of bias</w:t>
            </w:r>
          </w:p>
        </w:tc>
        <w:tc>
          <w:tcPr>
            <w:tcW w:w="885" w:type="dxa"/>
            <w:shd w:val="clear" w:color="auto" w:fill="D9D9D9" w:themeFill="background1" w:themeFillShade="D9"/>
          </w:tcPr>
          <w:p w14:paraId="02B3AAD9"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–1 points</w:t>
            </w:r>
          </w:p>
        </w:tc>
        <w:tc>
          <w:tcPr>
            <w:tcW w:w="6585" w:type="dxa"/>
            <w:shd w:val="clear" w:color="auto" w:fill="D9D9D9" w:themeFill="background1" w:themeFillShade="D9"/>
          </w:tcPr>
          <w:p w14:paraId="41ADF86F"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DC0250">
              <w:rPr>
                <w:rFonts w:cstheme="minorHAnsi"/>
                <w:i/>
                <w:sz w:val="20"/>
                <w:szCs w:val="20"/>
              </w:rPr>
              <w:t>If data synthesized narratively:</w:t>
            </w:r>
          </w:p>
          <w:p w14:paraId="4A209D9B" w14:textId="77777777" w:rsidR="00C12574" w:rsidRPr="00DC0250" w:rsidRDefault="00C12574" w:rsidP="00AE517C">
            <w:pPr>
              <w:pStyle w:val="ListParagraph"/>
              <w:numPr>
                <w:ilvl w:val="0"/>
                <w:numId w:val="1"/>
              </w:numPr>
              <w:spacing w:after="120"/>
              <w:ind w:left="180" w:hanging="219"/>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DC0250">
              <w:rPr>
                <w:rFonts w:cstheme="minorHAnsi"/>
                <w:sz w:val="20"/>
                <w:szCs w:val="20"/>
                <w:lang w:val="en-CA"/>
              </w:rPr>
              <w:t xml:space="preserve">≥1 study was at high ROB, and a study at high ROB </w:t>
            </w:r>
            <w:r w:rsidRPr="00DC0250">
              <w:rPr>
                <w:rFonts w:cstheme="minorHAnsi"/>
                <w:i/>
                <w:sz w:val="20"/>
                <w:szCs w:val="20"/>
                <w:lang w:val="en-CA"/>
              </w:rPr>
              <w:t>was</w:t>
            </w:r>
            <w:r w:rsidRPr="00DC0250">
              <w:rPr>
                <w:rFonts w:cstheme="minorHAnsi"/>
                <w:sz w:val="20"/>
                <w:szCs w:val="20"/>
                <w:lang w:val="en-CA"/>
              </w:rPr>
              <w:t xml:space="preserve"> responsible for either the highest or lowest or largest effect estimate in the range of estimates for the outcome</w:t>
            </w:r>
          </w:p>
          <w:p w14:paraId="604B27A3" w14:textId="77777777" w:rsidR="00C12574" w:rsidRPr="00DC0250" w:rsidRDefault="00C12574" w:rsidP="00AE517C">
            <w:pPr>
              <w:ind w:left="-39"/>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DC0250">
              <w:rPr>
                <w:rFonts w:cstheme="minorHAnsi"/>
                <w:i/>
                <w:sz w:val="20"/>
                <w:szCs w:val="20"/>
              </w:rPr>
              <w:t>If data synthesized by random effects MA:</w:t>
            </w:r>
          </w:p>
          <w:p w14:paraId="3E3C7A5F" w14:textId="77777777" w:rsidR="00C12574" w:rsidRPr="00DC0250" w:rsidRDefault="00C12574" w:rsidP="00AE517C">
            <w:pPr>
              <w:pStyle w:val="ListParagraph"/>
              <w:numPr>
                <w:ilvl w:val="0"/>
                <w:numId w:val="1"/>
              </w:numPr>
              <w:ind w:left="180" w:hanging="219"/>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DC0250">
              <w:rPr>
                <w:rFonts w:cstheme="minorHAnsi"/>
                <w:sz w:val="20"/>
                <w:szCs w:val="20"/>
                <w:lang w:val="en-CA"/>
              </w:rPr>
              <w:t>50% or more of studies contributing to an outcome were at high ROB</w:t>
            </w:r>
          </w:p>
        </w:tc>
      </w:tr>
      <w:tr w:rsidR="00C12574" w:rsidRPr="00DC0250" w14:paraId="55EEEA29" w14:textId="77777777" w:rsidTr="00AE5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0" w:type="dxa"/>
            <w:vMerge w:val="restart"/>
            <w:shd w:val="clear" w:color="auto" w:fill="auto"/>
          </w:tcPr>
          <w:p w14:paraId="027859BC" w14:textId="77777777" w:rsidR="00C12574" w:rsidRPr="00DC0250" w:rsidRDefault="00C12574" w:rsidP="00AE517C">
            <w:pPr>
              <w:rPr>
                <w:rFonts w:cstheme="minorHAnsi"/>
                <w:sz w:val="20"/>
                <w:szCs w:val="20"/>
                <w:vertAlign w:val="superscript"/>
              </w:rPr>
            </w:pPr>
            <w:r w:rsidRPr="00DC0250">
              <w:rPr>
                <w:rFonts w:cstheme="minorHAnsi"/>
                <w:sz w:val="20"/>
                <w:szCs w:val="20"/>
              </w:rPr>
              <w:t>Inconsistency</w:t>
            </w:r>
          </w:p>
        </w:tc>
        <w:tc>
          <w:tcPr>
            <w:tcW w:w="1426" w:type="dxa"/>
            <w:shd w:val="clear" w:color="auto" w:fill="auto"/>
          </w:tcPr>
          <w:p w14:paraId="5E172C61"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No serious inconsistency</w:t>
            </w:r>
          </w:p>
        </w:tc>
        <w:tc>
          <w:tcPr>
            <w:tcW w:w="885" w:type="dxa"/>
            <w:shd w:val="clear" w:color="auto" w:fill="auto"/>
          </w:tcPr>
          <w:p w14:paraId="3A0E7017"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0</w:t>
            </w:r>
          </w:p>
        </w:tc>
        <w:tc>
          <w:tcPr>
            <w:tcW w:w="6585" w:type="dxa"/>
            <w:shd w:val="clear" w:color="auto" w:fill="auto"/>
          </w:tcPr>
          <w:p w14:paraId="56EEED95"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DC0250">
              <w:rPr>
                <w:rFonts w:cstheme="minorHAnsi"/>
                <w:i/>
                <w:sz w:val="20"/>
                <w:szCs w:val="20"/>
              </w:rPr>
              <w:t>If data synthesized narratively:</w:t>
            </w:r>
          </w:p>
          <w:p w14:paraId="271D550E" w14:textId="77777777" w:rsidR="00C12574" w:rsidRPr="00DC0250" w:rsidRDefault="00C12574" w:rsidP="00AE517C">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DC0250">
              <w:rPr>
                <w:rFonts w:cstheme="minorHAnsi"/>
                <w:sz w:val="20"/>
                <w:szCs w:val="20"/>
                <w:lang w:val="en-CA"/>
              </w:rPr>
              <w:t>In the judgment of SMEs, heterogeneity in the outcome (i.e. the direction and magnitude of the effect) was considered expected or acceptable, OR</w:t>
            </w:r>
          </w:p>
          <w:p w14:paraId="2B54D174" w14:textId="77777777" w:rsidR="00C12574" w:rsidRPr="00DC0250" w:rsidRDefault="00C12574" w:rsidP="00AE517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DC0250">
              <w:rPr>
                <w:rFonts w:cstheme="minorHAnsi"/>
                <w:sz w:val="20"/>
                <w:szCs w:val="20"/>
                <w:lang w:val="en-CA"/>
              </w:rPr>
              <w:t xml:space="preserve">Heterogeneity could be explained, in terms of direction and magnitude of effect, by </w:t>
            </w:r>
            <w:r w:rsidRPr="00DC0250">
              <w:rPr>
                <w:rFonts w:cstheme="minorHAnsi"/>
                <w:i/>
                <w:sz w:val="20"/>
                <w:szCs w:val="20"/>
                <w:lang w:val="en-CA"/>
              </w:rPr>
              <w:t>a priori</w:t>
            </w:r>
            <w:r w:rsidRPr="00DC0250">
              <w:rPr>
                <w:rFonts w:cstheme="minorHAnsi"/>
                <w:sz w:val="20"/>
                <w:szCs w:val="20"/>
                <w:lang w:val="en-CA"/>
              </w:rPr>
              <w:t>-determined</w:t>
            </w:r>
            <w:r w:rsidRPr="00DC0250">
              <w:rPr>
                <w:rFonts w:cstheme="minorHAnsi"/>
                <w:i/>
                <w:sz w:val="20"/>
                <w:szCs w:val="20"/>
                <w:lang w:val="en-CA"/>
              </w:rPr>
              <w:t xml:space="preserve"> </w:t>
            </w:r>
            <w:r w:rsidRPr="00DC0250">
              <w:rPr>
                <w:rFonts w:cstheme="minorHAnsi"/>
                <w:sz w:val="20"/>
                <w:szCs w:val="20"/>
                <w:lang w:val="en-CA"/>
              </w:rPr>
              <w:t>subgroup analyses</w:t>
            </w:r>
          </w:p>
          <w:p w14:paraId="6FF42109" w14:textId="77777777" w:rsidR="00C12574" w:rsidRPr="00DC0250" w:rsidRDefault="00C12574" w:rsidP="00AE517C">
            <w:pPr>
              <w:pStyle w:val="ListParagraph"/>
              <w:ind w:left="171"/>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p>
          <w:p w14:paraId="03A44491" w14:textId="77777777" w:rsidR="00C12574" w:rsidRPr="00DC0250" w:rsidRDefault="00C12574" w:rsidP="00AE517C">
            <w:pPr>
              <w:ind w:left="-39"/>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DC0250">
              <w:rPr>
                <w:rFonts w:cstheme="minorHAnsi"/>
                <w:i/>
                <w:sz w:val="20"/>
                <w:szCs w:val="20"/>
              </w:rPr>
              <w:t>If data synthesized by random effects MA:</w:t>
            </w:r>
          </w:p>
          <w:p w14:paraId="4FE73089" w14:textId="77777777" w:rsidR="00C12574" w:rsidRPr="00DC0250" w:rsidRDefault="00C12574" w:rsidP="00AE517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DC0250">
              <w:rPr>
                <w:rFonts w:cstheme="minorHAnsi"/>
                <w:sz w:val="20"/>
                <w:szCs w:val="20"/>
                <w:lang w:val="en-CA"/>
              </w:rPr>
              <w:t xml:space="preserve">There is </w:t>
            </w:r>
            <w:r w:rsidRPr="00DC0250">
              <w:rPr>
                <w:rFonts w:cstheme="minorHAnsi"/>
                <w:sz w:val="20"/>
                <w:szCs w:val="20"/>
                <w:u w:val="single"/>
                <w:lang w:val="en-CA"/>
              </w:rPr>
              <w:t>not</w:t>
            </w:r>
            <w:r w:rsidRPr="00DC0250">
              <w:rPr>
                <w:rFonts w:cstheme="minorHAnsi"/>
                <w:sz w:val="20"/>
                <w:szCs w:val="20"/>
                <w:lang w:val="en-CA"/>
              </w:rPr>
              <w:t xml:space="preserve"> a wide variance in the point estimates across studies, and</w:t>
            </w:r>
          </w:p>
          <w:p w14:paraId="733DEB02" w14:textId="77777777" w:rsidR="00C12574" w:rsidRPr="00DC0250" w:rsidRDefault="00C12574" w:rsidP="00AE517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heme="minorHAnsi" w:cstheme="minorHAnsi"/>
                <w:sz w:val="20"/>
                <w:szCs w:val="20"/>
                <w:lang w:val="en-CA" w:eastAsia="en-US"/>
              </w:rPr>
            </w:pPr>
            <w:r w:rsidRPr="00DC0250">
              <w:rPr>
                <w:rFonts w:cstheme="minorHAnsi"/>
                <w:sz w:val="20"/>
                <w:szCs w:val="20"/>
                <w:lang w:val="en-CA"/>
              </w:rPr>
              <w:t>There is overlap of confidence intervals, which suggest variation is likely due to chance, and</w:t>
            </w:r>
          </w:p>
          <w:p w14:paraId="296D9381" w14:textId="77777777" w:rsidR="00C12574" w:rsidRPr="00DC0250" w:rsidRDefault="00C12574" w:rsidP="00AE517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heme="minorHAnsi" w:cstheme="minorHAnsi"/>
                <w:sz w:val="20"/>
                <w:szCs w:val="20"/>
                <w:lang w:val="en-CA" w:eastAsia="en-US"/>
              </w:rPr>
            </w:pPr>
            <w:r w:rsidRPr="00DC0250">
              <w:rPr>
                <w:rFonts w:cstheme="minorHAnsi"/>
                <w:color w:val="000000"/>
                <w:sz w:val="20"/>
                <w:szCs w:val="20"/>
                <w:shd w:val="clear" w:color="auto" w:fill="FFFFFF"/>
                <w:lang w:val="en-CA"/>
              </w:rPr>
              <w:t>tests of heterogeneity have a high p-value (p &gt;0.05)</w:t>
            </w:r>
          </w:p>
          <w:p w14:paraId="6BC0855E" w14:textId="77777777" w:rsidR="00C12574" w:rsidRPr="00DC0250" w:rsidRDefault="00C12574" w:rsidP="00AE517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c0"/>
                <w:rFonts w:eastAsiaTheme="minorHAnsi" w:cstheme="minorHAnsi"/>
                <w:sz w:val="20"/>
                <w:szCs w:val="20"/>
                <w:lang w:val="en-CA" w:eastAsia="en-US"/>
              </w:rPr>
            </w:pPr>
            <w:r w:rsidRPr="00DC0250">
              <w:rPr>
                <w:rStyle w:val="c0"/>
                <w:rFonts w:cstheme="minorHAnsi"/>
                <w:iCs/>
                <w:color w:val="000000"/>
                <w:sz w:val="20"/>
                <w:szCs w:val="20"/>
                <w:shd w:val="clear" w:color="auto" w:fill="FFFFFF"/>
                <w:lang w:val="en-CA"/>
              </w:rPr>
              <w:t>The</w:t>
            </w:r>
            <w:r w:rsidRPr="00DC0250">
              <w:rPr>
                <w:rStyle w:val="c0"/>
                <w:rFonts w:cstheme="minorHAnsi"/>
                <w:i/>
                <w:iCs/>
                <w:color w:val="000000"/>
                <w:sz w:val="20"/>
                <w:szCs w:val="20"/>
                <w:shd w:val="clear" w:color="auto" w:fill="FFFFFF"/>
                <w:lang w:val="en-CA"/>
              </w:rPr>
              <w:t xml:space="preserve"> I</w:t>
            </w:r>
            <w:r w:rsidRPr="00DC0250">
              <w:rPr>
                <w:rStyle w:val="c0"/>
                <w:rFonts w:cstheme="minorHAnsi"/>
                <w:color w:val="000000"/>
                <w:sz w:val="20"/>
                <w:szCs w:val="20"/>
                <w:shd w:val="clear" w:color="auto" w:fill="FFFFFF"/>
                <w:vertAlign w:val="superscript"/>
                <w:lang w:val="en-CA"/>
              </w:rPr>
              <w:t>2</w:t>
            </w:r>
            <w:r w:rsidRPr="00DC0250">
              <w:rPr>
                <w:rStyle w:val="c0"/>
                <w:rFonts w:cstheme="minorHAnsi"/>
                <w:color w:val="000000"/>
                <w:sz w:val="20"/>
                <w:szCs w:val="20"/>
                <w:shd w:val="clear" w:color="auto" w:fill="FFFFFF"/>
                <w:lang w:val="en-CA"/>
              </w:rPr>
              <w:t xml:space="preserve"> statistic, which quantifies the proportion of the variation in point estimates due to among-study differences, is low AND the sample sizes are small. If the sample sizes are large, the </w:t>
            </w:r>
            <w:r w:rsidRPr="00DC0250">
              <w:rPr>
                <w:rStyle w:val="c0"/>
                <w:rFonts w:cstheme="minorHAnsi"/>
                <w:i/>
                <w:iCs/>
                <w:color w:val="000000"/>
                <w:sz w:val="20"/>
                <w:szCs w:val="20"/>
                <w:shd w:val="clear" w:color="auto" w:fill="FFFFFF"/>
                <w:lang w:val="en-CA"/>
              </w:rPr>
              <w:t>I</w:t>
            </w:r>
            <w:r w:rsidRPr="00DC0250">
              <w:rPr>
                <w:rStyle w:val="c0"/>
                <w:rFonts w:cstheme="minorHAnsi"/>
                <w:color w:val="000000"/>
                <w:sz w:val="20"/>
                <w:szCs w:val="20"/>
                <w:shd w:val="clear" w:color="auto" w:fill="FFFFFF"/>
                <w:vertAlign w:val="superscript"/>
                <w:lang w:val="en-CA"/>
              </w:rPr>
              <w:t>2</w:t>
            </w:r>
            <w:r w:rsidRPr="00DC0250">
              <w:rPr>
                <w:rStyle w:val="c0"/>
                <w:rFonts w:cstheme="minorHAnsi"/>
                <w:color w:val="000000"/>
                <w:sz w:val="20"/>
                <w:szCs w:val="20"/>
                <w:shd w:val="clear" w:color="auto" w:fill="FFFFFF"/>
                <w:lang w:val="en-CA"/>
              </w:rPr>
              <w:t xml:space="preserve"> will be disregarded*.</w:t>
            </w:r>
          </w:p>
          <w:p w14:paraId="53C94841" w14:textId="77777777" w:rsidR="00C12574" w:rsidRPr="00DC0250" w:rsidRDefault="00C12574" w:rsidP="00AE517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heme="minorHAnsi" w:cstheme="minorHAnsi"/>
                <w:sz w:val="20"/>
                <w:szCs w:val="20"/>
                <w:lang w:val="en-CA" w:eastAsia="en-US"/>
              </w:rPr>
            </w:pPr>
            <w:r w:rsidRPr="00DC0250">
              <w:rPr>
                <w:rFonts w:eastAsiaTheme="minorHAnsi" w:cstheme="minorHAnsi"/>
                <w:sz w:val="20"/>
                <w:szCs w:val="20"/>
                <w:lang w:val="en-CA" w:eastAsia="en-US"/>
              </w:rPr>
              <w:t>&lt;40% may be low</w:t>
            </w:r>
          </w:p>
          <w:p w14:paraId="6BE5CF09" w14:textId="77777777" w:rsidR="00C12574" w:rsidRPr="00DC0250" w:rsidRDefault="00C12574" w:rsidP="00AE517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heme="minorHAnsi" w:cstheme="minorHAnsi"/>
                <w:sz w:val="20"/>
                <w:szCs w:val="20"/>
                <w:lang w:val="en-CA" w:eastAsia="en-US"/>
              </w:rPr>
            </w:pPr>
            <w:r w:rsidRPr="00DC0250">
              <w:rPr>
                <w:rFonts w:eastAsiaTheme="minorHAnsi" w:cstheme="minorHAnsi"/>
                <w:sz w:val="20"/>
                <w:szCs w:val="20"/>
                <w:lang w:val="en-CA" w:eastAsia="en-US"/>
              </w:rPr>
              <w:t>40-75% may be moderate</w:t>
            </w:r>
          </w:p>
          <w:p w14:paraId="6A447BE9" w14:textId="77777777" w:rsidR="00C12574" w:rsidRPr="00DC0250" w:rsidRDefault="00C12574" w:rsidP="00AE517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heme="minorHAnsi" w:cstheme="minorHAnsi"/>
                <w:sz w:val="20"/>
                <w:szCs w:val="20"/>
                <w:lang w:val="en-CA" w:eastAsia="en-US"/>
              </w:rPr>
            </w:pPr>
            <w:r w:rsidRPr="00DC0250">
              <w:rPr>
                <w:rFonts w:eastAsiaTheme="minorHAnsi" w:cstheme="minorHAnsi"/>
                <w:sz w:val="20"/>
                <w:szCs w:val="20"/>
                <w:lang w:val="en-CA" w:eastAsia="en-US"/>
              </w:rPr>
              <w:t>75-100% may be considerable</w:t>
            </w:r>
          </w:p>
          <w:p w14:paraId="60528C5C"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9DF82C8"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Style w:val="c0"/>
                <w:rFonts w:cstheme="minorHAnsi"/>
                <w:i/>
                <w:color w:val="000000"/>
                <w:sz w:val="20"/>
                <w:szCs w:val="20"/>
                <w:shd w:val="clear" w:color="auto" w:fill="FFFFFF"/>
                <w:vertAlign w:val="superscript"/>
              </w:rPr>
            </w:pPr>
            <w:r w:rsidRPr="00DC0250">
              <w:rPr>
                <w:rFonts w:cstheme="minorHAnsi"/>
                <w:sz w:val="20"/>
                <w:szCs w:val="20"/>
              </w:rPr>
              <w:t xml:space="preserve">* </w:t>
            </w:r>
            <w:r w:rsidRPr="00DC0250">
              <w:rPr>
                <w:rFonts w:cstheme="minorHAnsi"/>
                <w:i/>
                <w:sz w:val="20"/>
                <w:szCs w:val="20"/>
              </w:rPr>
              <w:t xml:space="preserve">Note: </w:t>
            </w:r>
            <w:r w:rsidRPr="00DC0250">
              <w:rPr>
                <w:rStyle w:val="c0"/>
                <w:rFonts w:cstheme="minorHAnsi"/>
                <w:i/>
                <w:color w:val="000000"/>
                <w:sz w:val="20"/>
                <w:szCs w:val="20"/>
                <w:shd w:val="clear" w:color="auto" w:fill="FFFFFF"/>
              </w:rPr>
              <w:t>when study sample sizes are large, a relatively small difference in point estimates can yield a large</w:t>
            </w:r>
            <w:r w:rsidRPr="00DC0250">
              <w:rPr>
                <w:rStyle w:val="c0"/>
                <w:rFonts w:cstheme="minorHAnsi"/>
                <w:i/>
                <w:iCs/>
                <w:color w:val="000000"/>
                <w:sz w:val="20"/>
                <w:szCs w:val="20"/>
                <w:shd w:val="clear" w:color="auto" w:fill="FFFFFF"/>
              </w:rPr>
              <w:t> I</w:t>
            </w:r>
            <w:r w:rsidRPr="00DC0250">
              <w:rPr>
                <w:rStyle w:val="c0"/>
                <w:rFonts w:cstheme="minorHAnsi"/>
                <w:i/>
                <w:color w:val="000000"/>
                <w:sz w:val="20"/>
                <w:szCs w:val="20"/>
                <w:shd w:val="clear" w:color="auto" w:fill="FFFFFF"/>
                <w:vertAlign w:val="superscript"/>
              </w:rPr>
              <w:t>2</w:t>
            </w:r>
          </w:p>
          <w:p w14:paraId="6EA918EE"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Style w:val="c0"/>
                <w:rFonts w:cstheme="minorHAnsi"/>
                <w:i/>
                <w:color w:val="000000"/>
                <w:sz w:val="20"/>
                <w:szCs w:val="20"/>
                <w:shd w:val="clear" w:color="auto" w:fill="FFFFFF"/>
                <w:vertAlign w:val="superscript"/>
              </w:rPr>
            </w:pPr>
          </w:p>
          <w:p w14:paraId="682E6057"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OR</w:t>
            </w:r>
          </w:p>
          <w:p w14:paraId="5632C970"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566B3BD" w14:textId="77777777" w:rsidR="00C12574" w:rsidRPr="00DC0250" w:rsidRDefault="00C12574" w:rsidP="00AE517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DC0250">
              <w:rPr>
                <w:rFonts w:cstheme="minorHAnsi"/>
                <w:sz w:val="20"/>
                <w:szCs w:val="20"/>
                <w:lang w:val="en-CA"/>
              </w:rPr>
              <w:t xml:space="preserve">Heterogeneity could be explained by </w:t>
            </w:r>
            <w:r w:rsidRPr="00DC0250">
              <w:rPr>
                <w:rFonts w:cstheme="minorHAnsi"/>
                <w:i/>
                <w:sz w:val="20"/>
                <w:szCs w:val="20"/>
                <w:lang w:val="en-CA"/>
              </w:rPr>
              <w:t>a priori</w:t>
            </w:r>
            <w:r w:rsidRPr="00DC0250">
              <w:rPr>
                <w:rFonts w:cstheme="minorHAnsi"/>
                <w:sz w:val="20"/>
                <w:szCs w:val="20"/>
                <w:lang w:val="en-CA"/>
              </w:rPr>
              <w:t>-determined</w:t>
            </w:r>
            <w:r w:rsidRPr="00DC0250">
              <w:rPr>
                <w:rFonts w:cstheme="minorHAnsi"/>
                <w:i/>
                <w:sz w:val="20"/>
                <w:szCs w:val="20"/>
                <w:lang w:val="en-CA"/>
              </w:rPr>
              <w:t xml:space="preserve"> </w:t>
            </w:r>
            <w:r w:rsidRPr="00DC0250">
              <w:rPr>
                <w:rFonts w:cstheme="minorHAnsi"/>
                <w:sz w:val="20"/>
                <w:szCs w:val="20"/>
                <w:lang w:val="en-CA"/>
              </w:rPr>
              <w:t xml:space="preserve">subgroup and analyses, and </w:t>
            </w:r>
          </w:p>
          <w:p w14:paraId="000A42A4" w14:textId="77777777" w:rsidR="00C12574" w:rsidRPr="00DC0250" w:rsidRDefault="00C12574" w:rsidP="00AE517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DC0250">
              <w:rPr>
                <w:rFonts w:cstheme="minorHAnsi"/>
                <w:sz w:val="20"/>
                <w:szCs w:val="20"/>
                <w:lang w:val="en-CA"/>
              </w:rPr>
              <w:t xml:space="preserve">Removal of the inconsistent study in a sensitivity analysis does not change the point estimate. </w:t>
            </w:r>
          </w:p>
          <w:p w14:paraId="24AB2D20" w14:textId="77777777" w:rsidR="00C12574" w:rsidRPr="00DC0250" w:rsidRDefault="00C12574" w:rsidP="00AE517C">
            <w:pPr>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C12574" w:rsidRPr="00DC0250" w14:paraId="2DF69AA3" w14:textId="77777777" w:rsidTr="00AE517C">
        <w:tc>
          <w:tcPr>
            <w:cnfStyle w:val="001000000000" w:firstRow="0" w:lastRow="0" w:firstColumn="1" w:lastColumn="0" w:oddVBand="0" w:evenVBand="0" w:oddHBand="0" w:evenHBand="0" w:firstRowFirstColumn="0" w:firstRowLastColumn="0" w:lastRowFirstColumn="0" w:lastRowLastColumn="0"/>
            <w:tcW w:w="2450" w:type="dxa"/>
            <w:vMerge/>
            <w:shd w:val="clear" w:color="auto" w:fill="auto"/>
          </w:tcPr>
          <w:p w14:paraId="4999FD96" w14:textId="77777777" w:rsidR="00C12574" w:rsidRPr="00DC0250" w:rsidRDefault="00C12574" w:rsidP="00AE517C">
            <w:pPr>
              <w:rPr>
                <w:rFonts w:cstheme="minorHAnsi"/>
                <w:sz w:val="20"/>
                <w:szCs w:val="20"/>
              </w:rPr>
            </w:pPr>
          </w:p>
        </w:tc>
        <w:tc>
          <w:tcPr>
            <w:tcW w:w="1426" w:type="dxa"/>
            <w:shd w:val="clear" w:color="auto" w:fill="auto"/>
          </w:tcPr>
          <w:p w14:paraId="33A24367"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Serious inconsistency</w:t>
            </w:r>
          </w:p>
        </w:tc>
        <w:tc>
          <w:tcPr>
            <w:tcW w:w="885" w:type="dxa"/>
            <w:shd w:val="clear" w:color="auto" w:fill="auto"/>
          </w:tcPr>
          <w:p w14:paraId="73008D13"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–0.5 points</w:t>
            </w:r>
          </w:p>
        </w:tc>
        <w:tc>
          <w:tcPr>
            <w:tcW w:w="6585" w:type="dxa"/>
            <w:shd w:val="clear" w:color="auto" w:fill="auto"/>
          </w:tcPr>
          <w:p w14:paraId="7730F6C1"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DC0250">
              <w:rPr>
                <w:rFonts w:cstheme="minorHAnsi"/>
                <w:i/>
                <w:sz w:val="20"/>
                <w:szCs w:val="20"/>
              </w:rPr>
              <w:t>If data synthesized narratively:</w:t>
            </w:r>
          </w:p>
          <w:p w14:paraId="2C7736D6" w14:textId="77777777" w:rsidR="00C12574" w:rsidRPr="00DC0250" w:rsidRDefault="00C12574" w:rsidP="00AE517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DC0250">
              <w:rPr>
                <w:rFonts w:cstheme="minorHAnsi"/>
                <w:sz w:val="20"/>
                <w:szCs w:val="20"/>
                <w:lang w:val="en-CA"/>
              </w:rPr>
              <w:t xml:space="preserve"> Heterogeneity could be partially (but not completely) explained by </w:t>
            </w:r>
            <w:r w:rsidRPr="00DC0250">
              <w:rPr>
                <w:rFonts w:cstheme="minorHAnsi"/>
                <w:i/>
                <w:sz w:val="20"/>
                <w:szCs w:val="20"/>
                <w:lang w:val="en-CA"/>
              </w:rPr>
              <w:t>a priori</w:t>
            </w:r>
            <w:r w:rsidRPr="00DC0250">
              <w:rPr>
                <w:rFonts w:cstheme="minorHAnsi"/>
                <w:sz w:val="20"/>
                <w:szCs w:val="20"/>
                <w:lang w:val="en-CA"/>
              </w:rPr>
              <w:t>-determined</w:t>
            </w:r>
            <w:r w:rsidRPr="00DC0250">
              <w:rPr>
                <w:rFonts w:cstheme="minorHAnsi"/>
                <w:i/>
                <w:sz w:val="20"/>
                <w:szCs w:val="20"/>
                <w:lang w:val="en-CA"/>
              </w:rPr>
              <w:t xml:space="preserve"> </w:t>
            </w:r>
            <w:r w:rsidRPr="00DC0250">
              <w:rPr>
                <w:rFonts w:cstheme="minorHAnsi"/>
                <w:sz w:val="20"/>
                <w:szCs w:val="20"/>
                <w:lang w:val="en-CA"/>
              </w:rPr>
              <w:t>subgroup analyses.</w:t>
            </w:r>
          </w:p>
          <w:p w14:paraId="747F78CB" w14:textId="77777777" w:rsidR="00C12574" w:rsidRPr="00DC0250" w:rsidRDefault="00C12574" w:rsidP="00AE517C">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p>
          <w:p w14:paraId="594A07C5" w14:textId="77777777" w:rsidR="00C12574" w:rsidRPr="00DC0250" w:rsidRDefault="00C12574" w:rsidP="00AE517C">
            <w:pPr>
              <w:ind w:left="-39"/>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DC0250">
              <w:rPr>
                <w:rFonts w:cstheme="minorHAnsi"/>
                <w:i/>
                <w:sz w:val="20"/>
                <w:szCs w:val="20"/>
              </w:rPr>
              <w:t>If data synthesized by random effects MA:</w:t>
            </w:r>
          </w:p>
          <w:p w14:paraId="0818EC82" w14:textId="77777777" w:rsidR="00C12574" w:rsidRPr="00DC0250" w:rsidRDefault="00C12574" w:rsidP="00AE517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DC0250">
              <w:rPr>
                <w:rFonts w:cstheme="minorHAnsi"/>
                <w:sz w:val="20"/>
                <w:szCs w:val="20"/>
                <w:lang w:val="en-CA"/>
              </w:rPr>
              <w:t>There is a wide variance in the point estimates across studies, and</w:t>
            </w:r>
          </w:p>
          <w:p w14:paraId="3F35E5D5" w14:textId="77777777" w:rsidR="00C12574" w:rsidRPr="00DC0250" w:rsidRDefault="00C12574" w:rsidP="00AE517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lang w:val="en-CA" w:eastAsia="en-US"/>
              </w:rPr>
            </w:pPr>
            <w:r w:rsidRPr="00DC0250">
              <w:rPr>
                <w:rFonts w:cstheme="minorHAnsi"/>
                <w:sz w:val="20"/>
                <w:szCs w:val="20"/>
                <w:lang w:val="en-CA"/>
              </w:rPr>
              <w:t>There is overlap of confidence intervals, which suggest variation is likely due to chance.</w:t>
            </w:r>
          </w:p>
          <w:p w14:paraId="11BEF579" w14:textId="77777777" w:rsidR="00C12574" w:rsidRPr="00DC0250" w:rsidRDefault="00C12574" w:rsidP="00AE517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lang w:val="en-CA" w:eastAsia="en-US"/>
              </w:rPr>
            </w:pPr>
            <w:r w:rsidRPr="00DC0250">
              <w:rPr>
                <w:rFonts w:cstheme="minorHAnsi"/>
                <w:color w:val="000000"/>
                <w:sz w:val="20"/>
                <w:szCs w:val="20"/>
                <w:shd w:val="clear" w:color="auto" w:fill="FFFFFF"/>
                <w:lang w:val="en-CA"/>
              </w:rPr>
              <w:t>tests of heterogeneity have a high p-value (p &gt;0.05)</w:t>
            </w:r>
          </w:p>
          <w:p w14:paraId="65DBD54F" w14:textId="77777777" w:rsidR="00C12574" w:rsidRPr="00DC0250" w:rsidRDefault="00C12574" w:rsidP="00AE517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c0"/>
                <w:rFonts w:eastAsiaTheme="minorHAnsi" w:cstheme="minorHAnsi"/>
                <w:sz w:val="20"/>
                <w:szCs w:val="20"/>
                <w:lang w:val="en-CA" w:eastAsia="en-US"/>
              </w:rPr>
            </w:pPr>
            <w:r w:rsidRPr="00DC0250">
              <w:rPr>
                <w:rStyle w:val="c0"/>
                <w:rFonts w:cstheme="minorHAnsi"/>
                <w:iCs/>
                <w:sz w:val="20"/>
                <w:szCs w:val="20"/>
                <w:shd w:val="clear" w:color="auto" w:fill="FFFFFF"/>
                <w:lang w:val="en-CA"/>
              </w:rPr>
              <w:t>The</w:t>
            </w:r>
            <w:r w:rsidRPr="00DC0250">
              <w:rPr>
                <w:rStyle w:val="c0"/>
                <w:rFonts w:cstheme="minorHAnsi"/>
                <w:i/>
                <w:iCs/>
                <w:sz w:val="20"/>
                <w:szCs w:val="20"/>
                <w:shd w:val="clear" w:color="auto" w:fill="FFFFFF"/>
                <w:lang w:val="en-CA"/>
              </w:rPr>
              <w:t xml:space="preserve"> I</w:t>
            </w:r>
            <w:r w:rsidRPr="00DC0250">
              <w:rPr>
                <w:rStyle w:val="c0"/>
                <w:rFonts w:cstheme="minorHAnsi"/>
                <w:sz w:val="20"/>
                <w:szCs w:val="20"/>
                <w:shd w:val="clear" w:color="auto" w:fill="FFFFFF"/>
                <w:vertAlign w:val="superscript"/>
                <w:lang w:val="en-CA"/>
              </w:rPr>
              <w:t>2</w:t>
            </w:r>
            <w:r w:rsidRPr="00DC0250">
              <w:rPr>
                <w:rStyle w:val="c0"/>
                <w:rFonts w:cstheme="minorHAnsi"/>
                <w:sz w:val="20"/>
                <w:szCs w:val="20"/>
                <w:shd w:val="clear" w:color="auto" w:fill="FFFFFF"/>
                <w:lang w:val="en-CA"/>
              </w:rPr>
              <w:t xml:space="preserve"> statistic, which quantifies the proportion of the variation in point estimates due to among-study differences, is moderate*. If the sample sizes are large, the </w:t>
            </w:r>
            <w:r w:rsidRPr="00DC0250">
              <w:rPr>
                <w:rStyle w:val="c0"/>
                <w:rFonts w:cstheme="minorHAnsi"/>
                <w:i/>
                <w:iCs/>
                <w:sz w:val="20"/>
                <w:szCs w:val="20"/>
                <w:shd w:val="clear" w:color="auto" w:fill="FFFFFF"/>
                <w:lang w:val="en-CA"/>
              </w:rPr>
              <w:t>I</w:t>
            </w:r>
            <w:r w:rsidRPr="00DC0250">
              <w:rPr>
                <w:rStyle w:val="c0"/>
                <w:rFonts w:cstheme="minorHAnsi"/>
                <w:sz w:val="20"/>
                <w:szCs w:val="20"/>
                <w:shd w:val="clear" w:color="auto" w:fill="FFFFFF"/>
                <w:vertAlign w:val="superscript"/>
                <w:lang w:val="en-CA"/>
              </w:rPr>
              <w:t>2</w:t>
            </w:r>
            <w:r w:rsidRPr="00DC0250">
              <w:rPr>
                <w:rStyle w:val="c0"/>
                <w:rFonts w:cstheme="minorHAnsi"/>
                <w:sz w:val="20"/>
                <w:szCs w:val="20"/>
                <w:shd w:val="clear" w:color="auto" w:fill="FFFFFF"/>
                <w:lang w:val="en-CA"/>
              </w:rPr>
              <w:t xml:space="preserve"> will be disregarded*.</w:t>
            </w:r>
          </w:p>
          <w:p w14:paraId="3D9313F0" w14:textId="77777777" w:rsidR="00C12574" w:rsidRPr="00DC0250" w:rsidRDefault="00C12574" w:rsidP="00AE517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lang w:val="en-CA" w:eastAsia="en-US"/>
              </w:rPr>
            </w:pPr>
            <w:r w:rsidRPr="00DC0250">
              <w:rPr>
                <w:rFonts w:eastAsiaTheme="minorHAnsi" w:cstheme="minorHAnsi"/>
                <w:sz w:val="20"/>
                <w:szCs w:val="20"/>
                <w:lang w:val="en-CA" w:eastAsia="en-US"/>
              </w:rPr>
              <w:t>&lt;40% may be low</w:t>
            </w:r>
          </w:p>
          <w:p w14:paraId="4E70A8AA" w14:textId="77777777" w:rsidR="00C12574" w:rsidRPr="00DC0250" w:rsidRDefault="00C12574" w:rsidP="00AE517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lang w:val="en-CA" w:eastAsia="en-US"/>
              </w:rPr>
            </w:pPr>
            <w:r w:rsidRPr="00DC0250">
              <w:rPr>
                <w:rFonts w:eastAsiaTheme="minorHAnsi" w:cstheme="minorHAnsi"/>
                <w:sz w:val="20"/>
                <w:szCs w:val="20"/>
                <w:lang w:val="en-CA" w:eastAsia="en-US"/>
              </w:rPr>
              <w:t>40-75% may be moderate</w:t>
            </w:r>
          </w:p>
          <w:p w14:paraId="530370BA" w14:textId="77777777" w:rsidR="00C12574" w:rsidRPr="00DC0250" w:rsidRDefault="00C12574" w:rsidP="00AE517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lang w:val="en-CA" w:eastAsia="en-US"/>
              </w:rPr>
            </w:pPr>
            <w:r w:rsidRPr="00DC0250">
              <w:rPr>
                <w:rFonts w:eastAsiaTheme="minorHAnsi" w:cstheme="minorHAnsi"/>
                <w:sz w:val="20"/>
                <w:szCs w:val="20"/>
                <w:lang w:val="en-CA" w:eastAsia="en-US"/>
              </w:rPr>
              <w:t>75-100% may be considerable</w:t>
            </w:r>
          </w:p>
          <w:p w14:paraId="460869C9"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i/>
                <w:sz w:val="20"/>
                <w:szCs w:val="20"/>
                <w:shd w:val="clear" w:color="auto" w:fill="FFFFFF"/>
                <w:vertAlign w:val="superscript"/>
              </w:rPr>
            </w:pPr>
            <w:r w:rsidRPr="00DC0250">
              <w:rPr>
                <w:rFonts w:cstheme="minorHAnsi"/>
                <w:sz w:val="20"/>
                <w:szCs w:val="20"/>
              </w:rPr>
              <w:t xml:space="preserve">* </w:t>
            </w:r>
            <w:r w:rsidRPr="00DC0250">
              <w:rPr>
                <w:rFonts w:cstheme="minorHAnsi"/>
                <w:i/>
                <w:sz w:val="20"/>
                <w:szCs w:val="20"/>
              </w:rPr>
              <w:t xml:space="preserve">Note: </w:t>
            </w:r>
            <w:r w:rsidRPr="00DC0250">
              <w:rPr>
                <w:rStyle w:val="c0"/>
                <w:rFonts w:cstheme="minorHAnsi"/>
                <w:i/>
                <w:sz w:val="20"/>
                <w:szCs w:val="20"/>
                <w:shd w:val="clear" w:color="auto" w:fill="FFFFFF"/>
              </w:rPr>
              <w:t>when study sample sizes are large, a relatively small difference in point estimates can yield a large</w:t>
            </w:r>
            <w:r w:rsidRPr="00DC0250">
              <w:rPr>
                <w:rStyle w:val="c0"/>
                <w:rFonts w:cstheme="minorHAnsi"/>
                <w:i/>
                <w:iCs/>
                <w:sz w:val="20"/>
                <w:szCs w:val="20"/>
                <w:shd w:val="clear" w:color="auto" w:fill="FFFFFF"/>
              </w:rPr>
              <w:t> I</w:t>
            </w:r>
            <w:r w:rsidRPr="00DC0250">
              <w:rPr>
                <w:rStyle w:val="c0"/>
                <w:rFonts w:cstheme="minorHAnsi"/>
                <w:i/>
                <w:sz w:val="20"/>
                <w:szCs w:val="20"/>
                <w:shd w:val="clear" w:color="auto" w:fill="FFFFFF"/>
                <w:vertAlign w:val="superscript"/>
              </w:rPr>
              <w:t>2</w:t>
            </w:r>
          </w:p>
          <w:p w14:paraId="4BCF122B" w14:textId="77777777" w:rsidR="00C12574" w:rsidRPr="00DC0250" w:rsidRDefault="00C12574" w:rsidP="00AE517C">
            <w:pPr>
              <w:pStyle w:val="ListParagraph"/>
              <w:ind w:left="360"/>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lang w:val="en-CA" w:eastAsia="en-US"/>
              </w:rPr>
            </w:pPr>
          </w:p>
          <w:p w14:paraId="61F8E6C4" w14:textId="77777777" w:rsidR="00C12574" w:rsidRPr="00DC0250" w:rsidRDefault="00C12574" w:rsidP="00AE517C">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p>
          <w:p w14:paraId="24B9E3AB"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OR</w:t>
            </w:r>
          </w:p>
          <w:p w14:paraId="0A5FD145" w14:textId="77777777" w:rsidR="00C12574" w:rsidRPr="00DC0250" w:rsidRDefault="00C12574" w:rsidP="00AE517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DC0250">
              <w:rPr>
                <w:rFonts w:cstheme="minorHAnsi"/>
                <w:sz w:val="20"/>
                <w:szCs w:val="20"/>
                <w:lang w:val="en-CA"/>
              </w:rPr>
              <w:t xml:space="preserve">Heterogeneity could be partially (but not completely) explained by </w:t>
            </w:r>
            <w:r w:rsidRPr="00DC0250">
              <w:rPr>
                <w:rFonts w:cstheme="minorHAnsi"/>
                <w:i/>
                <w:sz w:val="20"/>
                <w:szCs w:val="20"/>
                <w:lang w:val="en-CA"/>
              </w:rPr>
              <w:t>a priori</w:t>
            </w:r>
            <w:r w:rsidRPr="00DC0250">
              <w:rPr>
                <w:rFonts w:cstheme="minorHAnsi"/>
                <w:sz w:val="20"/>
                <w:szCs w:val="20"/>
                <w:lang w:val="en-CA"/>
              </w:rPr>
              <w:t>-determined</w:t>
            </w:r>
            <w:r w:rsidRPr="00DC0250">
              <w:rPr>
                <w:rFonts w:cstheme="minorHAnsi"/>
                <w:i/>
                <w:sz w:val="20"/>
                <w:szCs w:val="20"/>
                <w:lang w:val="en-CA"/>
              </w:rPr>
              <w:t xml:space="preserve"> </w:t>
            </w:r>
            <w:r w:rsidRPr="00DC0250">
              <w:rPr>
                <w:rFonts w:cstheme="minorHAnsi"/>
                <w:sz w:val="20"/>
                <w:szCs w:val="20"/>
                <w:lang w:val="en-CA"/>
              </w:rPr>
              <w:t>subgroup analyses, and</w:t>
            </w:r>
          </w:p>
          <w:p w14:paraId="18EBF5BF" w14:textId="77777777" w:rsidR="00C12574" w:rsidRPr="00DC0250" w:rsidRDefault="00C12574" w:rsidP="00AE517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DC0250">
              <w:rPr>
                <w:rFonts w:cstheme="minorHAnsi"/>
                <w:sz w:val="20"/>
                <w:szCs w:val="20"/>
                <w:lang w:val="en-CA"/>
              </w:rPr>
              <w:t xml:space="preserve">Removal of the inconsistent study in a sensitivity analysis does not change the point estimate. </w:t>
            </w:r>
          </w:p>
          <w:p w14:paraId="2F3F6446" w14:textId="77777777" w:rsidR="00C12574" w:rsidRPr="00DC0250" w:rsidRDefault="00C12574" w:rsidP="00AE517C">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p>
        </w:tc>
      </w:tr>
      <w:tr w:rsidR="00C12574" w:rsidRPr="00DC0250" w14:paraId="6E7FB235" w14:textId="77777777" w:rsidTr="00AE5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0" w:type="dxa"/>
            <w:vMerge/>
            <w:shd w:val="clear" w:color="auto" w:fill="auto"/>
          </w:tcPr>
          <w:p w14:paraId="68972472" w14:textId="77777777" w:rsidR="00C12574" w:rsidRPr="00DC0250" w:rsidRDefault="00C12574" w:rsidP="00AE517C">
            <w:pPr>
              <w:rPr>
                <w:rFonts w:cstheme="minorHAnsi"/>
                <w:sz w:val="20"/>
                <w:szCs w:val="20"/>
              </w:rPr>
            </w:pPr>
          </w:p>
        </w:tc>
        <w:tc>
          <w:tcPr>
            <w:tcW w:w="1426" w:type="dxa"/>
            <w:shd w:val="clear" w:color="auto" w:fill="auto"/>
          </w:tcPr>
          <w:p w14:paraId="095E2353"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Very Serious Inconsistency</w:t>
            </w:r>
          </w:p>
        </w:tc>
        <w:tc>
          <w:tcPr>
            <w:tcW w:w="885" w:type="dxa"/>
            <w:shd w:val="clear" w:color="auto" w:fill="auto"/>
          </w:tcPr>
          <w:p w14:paraId="7B7DEEEE"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–1 point</w:t>
            </w:r>
          </w:p>
        </w:tc>
        <w:tc>
          <w:tcPr>
            <w:tcW w:w="6585" w:type="dxa"/>
            <w:shd w:val="clear" w:color="auto" w:fill="auto"/>
          </w:tcPr>
          <w:p w14:paraId="2944211D"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DC0250">
              <w:rPr>
                <w:rFonts w:cstheme="minorHAnsi"/>
                <w:i/>
                <w:sz w:val="20"/>
                <w:szCs w:val="20"/>
              </w:rPr>
              <w:t>If data synthesized narratively:</w:t>
            </w:r>
          </w:p>
          <w:p w14:paraId="35B72ABB" w14:textId="77777777" w:rsidR="00C12574" w:rsidRPr="00DC0250" w:rsidRDefault="00C12574" w:rsidP="00AE517C">
            <w:pPr>
              <w:pStyle w:val="ListParagraph"/>
              <w:numPr>
                <w:ilvl w:val="0"/>
                <w:numId w:val="3"/>
              </w:numPr>
              <w:ind w:left="171" w:hanging="171"/>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DC0250">
              <w:rPr>
                <w:rFonts w:cstheme="minorHAnsi"/>
                <w:sz w:val="20"/>
                <w:szCs w:val="20"/>
                <w:lang w:val="en-CA"/>
              </w:rPr>
              <w:t xml:space="preserve">Heterogeneity could not be explained by </w:t>
            </w:r>
            <w:r w:rsidRPr="00DC0250">
              <w:rPr>
                <w:rFonts w:cstheme="minorHAnsi"/>
                <w:i/>
                <w:sz w:val="20"/>
                <w:szCs w:val="20"/>
                <w:lang w:val="en-CA"/>
              </w:rPr>
              <w:t>a priori</w:t>
            </w:r>
            <w:r w:rsidRPr="00DC0250">
              <w:rPr>
                <w:rFonts w:cstheme="minorHAnsi"/>
                <w:sz w:val="20"/>
                <w:szCs w:val="20"/>
                <w:lang w:val="en-CA"/>
              </w:rPr>
              <w:t>-determined</w:t>
            </w:r>
            <w:r w:rsidRPr="00DC0250">
              <w:rPr>
                <w:rFonts w:cstheme="minorHAnsi"/>
                <w:i/>
                <w:sz w:val="20"/>
                <w:szCs w:val="20"/>
                <w:lang w:val="en-CA"/>
              </w:rPr>
              <w:t xml:space="preserve"> </w:t>
            </w:r>
            <w:r w:rsidRPr="00DC0250">
              <w:rPr>
                <w:rFonts w:cstheme="minorHAnsi"/>
                <w:sz w:val="20"/>
                <w:szCs w:val="20"/>
                <w:lang w:val="en-CA"/>
              </w:rPr>
              <w:t>subgroup analyses</w:t>
            </w:r>
          </w:p>
          <w:p w14:paraId="4EEF0F91" w14:textId="77777777" w:rsidR="00C12574" w:rsidRPr="00DC0250" w:rsidRDefault="00C12574" w:rsidP="00AE517C">
            <w:pPr>
              <w:pStyle w:val="ListParagraph"/>
              <w:ind w:left="171"/>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p>
          <w:p w14:paraId="4434FA07" w14:textId="77777777" w:rsidR="00C12574" w:rsidRPr="00DC0250" w:rsidRDefault="00C12574" w:rsidP="00AE517C">
            <w:pPr>
              <w:ind w:left="-39"/>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DC0250">
              <w:rPr>
                <w:rFonts w:cstheme="minorHAnsi"/>
                <w:i/>
                <w:sz w:val="20"/>
                <w:szCs w:val="20"/>
              </w:rPr>
              <w:t>If data synthesized by random effects MA:</w:t>
            </w:r>
          </w:p>
          <w:p w14:paraId="3F68BBE7" w14:textId="77777777" w:rsidR="00C12574" w:rsidRPr="00DC0250" w:rsidRDefault="00C12574" w:rsidP="00AE517C">
            <w:pPr>
              <w:pStyle w:val="ListParagraph"/>
              <w:numPr>
                <w:ilvl w:val="0"/>
                <w:numId w:val="1"/>
              </w:numPr>
              <w:ind w:left="171" w:hanging="218"/>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DC0250">
              <w:rPr>
                <w:rFonts w:cstheme="minorHAnsi"/>
                <w:sz w:val="20"/>
                <w:szCs w:val="20"/>
                <w:lang w:val="en-CA"/>
              </w:rPr>
              <w:t>There is a wide variance in the point estimates across studies</w:t>
            </w:r>
          </w:p>
          <w:p w14:paraId="2FFD7332" w14:textId="77777777" w:rsidR="00C12574" w:rsidRPr="00DC0250" w:rsidRDefault="00C12574" w:rsidP="00AE517C">
            <w:pPr>
              <w:pStyle w:val="ListParagraph"/>
              <w:numPr>
                <w:ilvl w:val="0"/>
                <w:numId w:val="1"/>
              </w:numPr>
              <w:ind w:left="171" w:hanging="218"/>
              <w:cnfStyle w:val="000000100000" w:firstRow="0" w:lastRow="0" w:firstColumn="0" w:lastColumn="0" w:oddVBand="0" w:evenVBand="0" w:oddHBand="1" w:evenHBand="0" w:firstRowFirstColumn="0" w:firstRowLastColumn="0" w:lastRowFirstColumn="0" w:lastRowLastColumn="0"/>
              <w:rPr>
                <w:rFonts w:eastAsiaTheme="minorHAnsi" w:cstheme="minorHAnsi"/>
                <w:sz w:val="20"/>
                <w:szCs w:val="20"/>
                <w:lang w:val="en-CA" w:eastAsia="en-US"/>
              </w:rPr>
            </w:pPr>
            <w:r w:rsidRPr="00DC0250">
              <w:rPr>
                <w:rFonts w:cstheme="minorHAnsi"/>
                <w:sz w:val="20"/>
                <w:szCs w:val="20"/>
                <w:lang w:val="en-CA"/>
              </w:rPr>
              <w:t>Minimal or no overlap of confidence intervals, which suggest variation is more that what one would expect of chance alone</w:t>
            </w:r>
          </w:p>
          <w:p w14:paraId="29391CAF" w14:textId="77777777" w:rsidR="00C12574" w:rsidRPr="00DC0250" w:rsidRDefault="00C12574" w:rsidP="00AE517C">
            <w:pPr>
              <w:pStyle w:val="ListParagraph"/>
              <w:numPr>
                <w:ilvl w:val="0"/>
                <w:numId w:val="1"/>
              </w:numPr>
              <w:ind w:left="171" w:hanging="218"/>
              <w:cnfStyle w:val="000000100000" w:firstRow="0" w:lastRow="0" w:firstColumn="0" w:lastColumn="0" w:oddVBand="0" w:evenVBand="0" w:oddHBand="1" w:evenHBand="0" w:firstRowFirstColumn="0" w:firstRowLastColumn="0" w:lastRowFirstColumn="0" w:lastRowLastColumn="0"/>
              <w:rPr>
                <w:rFonts w:eastAsiaTheme="minorHAnsi" w:cstheme="minorHAnsi"/>
                <w:sz w:val="20"/>
                <w:szCs w:val="20"/>
                <w:lang w:val="en-CA" w:eastAsia="en-US"/>
              </w:rPr>
            </w:pPr>
            <w:r w:rsidRPr="00DC0250">
              <w:rPr>
                <w:rFonts w:cstheme="minorHAnsi"/>
                <w:color w:val="000000"/>
                <w:sz w:val="20"/>
                <w:szCs w:val="20"/>
                <w:shd w:val="clear" w:color="auto" w:fill="FFFFFF"/>
                <w:lang w:val="en-CA"/>
              </w:rPr>
              <w:t>tests of heterogeneity has a low p-value (p &lt;0.05)</w:t>
            </w:r>
          </w:p>
          <w:p w14:paraId="0F0E1F0C" w14:textId="77777777" w:rsidR="00C12574" w:rsidRPr="00DC0250" w:rsidRDefault="00C12574" w:rsidP="00AE517C">
            <w:pPr>
              <w:pStyle w:val="ListParagraph"/>
              <w:numPr>
                <w:ilvl w:val="0"/>
                <w:numId w:val="1"/>
              </w:numPr>
              <w:ind w:left="171" w:hanging="218"/>
              <w:cnfStyle w:val="000000100000" w:firstRow="0" w:lastRow="0" w:firstColumn="0" w:lastColumn="0" w:oddVBand="0" w:evenVBand="0" w:oddHBand="1" w:evenHBand="0" w:firstRowFirstColumn="0" w:firstRowLastColumn="0" w:lastRowFirstColumn="0" w:lastRowLastColumn="0"/>
              <w:rPr>
                <w:rStyle w:val="c0"/>
                <w:rFonts w:eastAsiaTheme="minorHAnsi" w:cstheme="minorHAnsi"/>
                <w:sz w:val="20"/>
                <w:szCs w:val="20"/>
                <w:lang w:val="en-CA" w:eastAsia="en-US"/>
              </w:rPr>
            </w:pPr>
            <w:r w:rsidRPr="00DC0250">
              <w:rPr>
                <w:rStyle w:val="c0"/>
                <w:rFonts w:cstheme="minorHAnsi"/>
                <w:i/>
                <w:iCs/>
                <w:color w:val="000000"/>
                <w:sz w:val="20"/>
                <w:szCs w:val="20"/>
                <w:shd w:val="clear" w:color="auto" w:fill="FFFFFF"/>
                <w:lang w:val="en-CA"/>
              </w:rPr>
              <w:t>I</w:t>
            </w:r>
            <w:r w:rsidRPr="00DC0250">
              <w:rPr>
                <w:rStyle w:val="c0"/>
                <w:rFonts w:cstheme="minorHAnsi"/>
                <w:color w:val="000000"/>
                <w:sz w:val="20"/>
                <w:szCs w:val="20"/>
                <w:shd w:val="clear" w:color="auto" w:fill="FFFFFF"/>
                <w:vertAlign w:val="superscript"/>
                <w:lang w:val="en-CA"/>
              </w:rPr>
              <w:t>2</w:t>
            </w:r>
            <w:r w:rsidRPr="00DC0250">
              <w:rPr>
                <w:rStyle w:val="c0"/>
                <w:rFonts w:cstheme="minorHAnsi"/>
                <w:color w:val="000000"/>
                <w:sz w:val="20"/>
                <w:szCs w:val="20"/>
                <w:shd w:val="clear" w:color="auto" w:fill="FFFFFF"/>
                <w:lang w:val="en-CA"/>
              </w:rPr>
              <w:t> statistic, which quantifies the proportion of the variation in point estimates due to among-study differences, is large *.</w:t>
            </w:r>
          </w:p>
          <w:p w14:paraId="2BC9CF0D" w14:textId="77777777" w:rsidR="00C12574" w:rsidRPr="00DC0250" w:rsidRDefault="00C12574" w:rsidP="00AE517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Theme="minorHAnsi" w:cstheme="minorHAnsi"/>
                <w:sz w:val="20"/>
                <w:szCs w:val="20"/>
                <w:lang w:val="en-CA" w:eastAsia="en-US"/>
              </w:rPr>
            </w:pPr>
            <w:r w:rsidRPr="00DC0250">
              <w:rPr>
                <w:rFonts w:eastAsiaTheme="minorHAnsi" w:cstheme="minorHAnsi"/>
                <w:sz w:val="20"/>
                <w:szCs w:val="20"/>
                <w:lang w:val="en-CA" w:eastAsia="en-US"/>
              </w:rPr>
              <w:t>&lt;40% may be low</w:t>
            </w:r>
          </w:p>
          <w:p w14:paraId="7818E855" w14:textId="77777777" w:rsidR="00C12574" w:rsidRPr="00DC0250" w:rsidRDefault="00C12574" w:rsidP="00AE517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Theme="minorHAnsi" w:cstheme="minorHAnsi"/>
                <w:sz w:val="20"/>
                <w:szCs w:val="20"/>
                <w:lang w:val="en-CA" w:eastAsia="en-US"/>
              </w:rPr>
            </w:pPr>
            <w:r w:rsidRPr="00DC0250">
              <w:rPr>
                <w:rFonts w:eastAsiaTheme="minorHAnsi" w:cstheme="minorHAnsi"/>
                <w:sz w:val="20"/>
                <w:szCs w:val="20"/>
                <w:lang w:val="en-CA" w:eastAsia="en-US"/>
              </w:rPr>
              <w:t>40-75% may be moderate</w:t>
            </w:r>
          </w:p>
          <w:p w14:paraId="6E95F113" w14:textId="77777777" w:rsidR="00C12574" w:rsidRPr="00DC0250" w:rsidRDefault="00C12574" w:rsidP="00AE517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eastAsiaTheme="minorHAnsi" w:cstheme="minorHAnsi"/>
                <w:sz w:val="20"/>
                <w:szCs w:val="20"/>
                <w:lang w:val="en-CA" w:eastAsia="en-US"/>
              </w:rPr>
            </w:pPr>
            <w:r w:rsidRPr="00DC0250">
              <w:rPr>
                <w:rFonts w:eastAsiaTheme="minorHAnsi" w:cstheme="minorHAnsi"/>
                <w:sz w:val="20"/>
                <w:szCs w:val="20"/>
                <w:lang w:val="en-CA" w:eastAsia="en-US"/>
              </w:rPr>
              <w:t>75-100% may be considerable</w:t>
            </w:r>
          </w:p>
          <w:p w14:paraId="094E4AD6" w14:textId="77777777" w:rsidR="00C12574" w:rsidRPr="00DC0250" w:rsidRDefault="00C12574" w:rsidP="00AE517C">
            <w:pPr>
              <w:pStyle w:val="ListParagraph"/>
              <w:ind w:left="531"/>
              <w:cnfStyle w:val="000000100000" w:firstRow="0" w:lastRow="0" w:firstColumn="0" w:lastColumn="0" w:oddVBand="0" w:evenVBand="0" w:oddHBand="1" w:evenHBand="0" w:firstRowFirstColumn="0" w:firstRowLastColumn="0" w:lastRowFirstColumn="0" w:lastRowLastColumn="0"/>
              <w:rPr>
                <w:rFonts w:eastAsiaTheme="minorHAnsi" w:cstheme="minorHAnsi"/>
                <w:sz w:val="20"/>
                <w:szCs w:val="20"/>
                <w:lang w:val="en-CA" w:eastAsia="en-US"/>
              </w:rPr>
            </w:pPr>
          </w:p>
          <w:p w14:paraId="1B999AA2"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Style w:val="c0"/>
                <w:rFonts w:cstheme="minorHAnsi"/>
                <w:i/>
                <w:color w:val="000000"/>
                <w:sz w:val="20"/>
                <w:szCs w:val="20"/>
                <w:shd w:val="clear" w:color="auto" w:fill="FFFFFF"/>
                <w:vertAlign w:val="superscript"/>
              </w:rPr>
            </w:pPr>
            <w:r w:rsidRPr="00DC0250">
              <w:rPr>
                <w:rFonts w:cstheme="minorHAnsi"/>
                <w:sz w:val="20"/>
                <w:szCs w:val="20"/>
              </w:rPr>
              <w:t xml:space="preserve">* </w:t>
            </w:r>
            <w:r w:rsidRPr="00DC0250">
              <w:rPr>
                <w:rFonts w:cstheme="minorHAnsi"/>
                <w:i/>
                <w:sz w:val="20"/>
                <w:szCs w:val="20"/>
              </w:rPr>
              <w:t xml:space="preserve">Note: </w:t>
            </w:r>
            <w:r w:rsidRPr="00DC0250">
              <w:rPr>
                <w:rStyle w:val="c0"/>
                <w:rFonts w:cstheme="minorHAnsi"/>
                <w:i/>
                <w:color w:val="000000"/>
                <w:sz w:val="20"/>
                <w:szCs w:val="20"/>
                <w:shd w:val="clear" w:color="auto" w:fill="FFFFFF"/>
              </w:rPr>
              <w:t>when study sample sizes are large, a relatively small difference in point estimates can yield a large</w:t>
            </w:r>
            <w:r w:rsidRPr="00DC0250">
              <w:rPr>
                <w:rStyle w:val="c0"/>
                <w:rFonts w:cstheme="minorHAnsi"/>
                <w:i/>
                <w:iCs/>
                <w:color w:val="000000"/>
                <w:sz w:val="20"/>
                <w:szCs w:val="20"/>
                <w:shd w:val="clear" w:color="auto" w:fill="FFFFFF"/>
              </w:rPr>
              <w:t> I</w:t>
            </w:r>
            <w:r w:rsidRPr="00DC0250">
              <w:rPr>
                <w:rStyle w:val="c0"/>
                <w:rFonts w:cstheme="minorHAnsi"/>
                <w:i/>
                <w:color w:val="000000"/>
                <w:sz w:val="20"/>
                <w:szCs w:val="20"/>
                <w:shd w:val="clear" w:color="auto" w:fill="FFFFFF"/>
                <w:vertAlign w:val="superscript"/>
              </w:rPr>
              <w:t>2</w:t>
            </w:r>
          </w:p>
          <w:p w14:paraId="6ECDF6BD"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C12574" w:rsidRPr="00DC0250" w14:paraId="63C8D97D" w14:textId="77777777" w:rsidTr="00AE517C">
        <w:tc>
          <w:tcPr>
            <w:cnfStyle w:val="001000000000" w:firstRow="0" w:lastRow="0" w:firstColumn="1" w:lastColumn="0" w:oddVBand="0" w:evenVBand="0" w:oddHBand="0" w:evenHBand="0" w:firstRowFirstColumn="0" w:firstRowLastColumn="0" w:lastRowFirstColumn="0" w:lastRowLastColumn="0"/>
            <w:tcW w:w="2450" w:type="dxa"/>
            <w:vMerge w:val="restart"/>
            <w:shd w:val="clear" w:color="auto" w:fill="D9D9D9" w:themeFill="background1" w:themeFillShade="D9"/>
          </w:tcPr>
          <w:p w14:paraId="33E49DB5" w14:textId="77777777" w:rsidR="00C12574" w:rsidRPr="00DC0250" w:rsidRDefault="00C12574" w:rsidP="00AE517C">
            <w:pPr>
              <w:rPr>
                <w:rFonts w:cstheme="minorHAnsi"/>
                <w:sz w:val="20"/>
                <w:szCs w:val="20"/>
              </w:rPr>
            </w:pPr>
            <w:r w:rsidRPr="00DC0250">
              <w:rPr>
                <w:rFonts w:cstheme="minorHAnsi"/>
                <w:sz w:val="20"/>
                <w:szCs w:val="20"/>
              </w:rPr>
              <w:t>Indirectness</w:t>
            </w:r>
          </w:p>
        </w:tc>
        <w:tc>
          <w:tcPr>
            <w:tcW w:w="1426" w:type="dxa"/>
            <w:shd w:val="clear" w:color="auto" w:fill="D9D9D9" w:themeFill="background1" w:themeFillShade="D9"/>
          </w:tcPr>
          <w:p w14:paraId="6482E55E"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No serious indirectness</w:t>
            </w:r>
          </w:p>
        </w:tc>
        <w:tc>
          <w:tcPr>
            <w:tcW w:w="885" w:type="dxa"/>
            <w:shd w:val="clear" w:color="auto" w:fill="D9D9D9" w:themeFill="background1" w:themeFillShade="D9"/>
          </w:tcPr>
          <w:p w14:paraId="0CA64555"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0</w:t>
            </w:r>
          </w:p>
        </w:tc>
        <w:tc>
          <w:tcPr>
            <w:tcW w:w="6585" w:type="dxa"/>
            <w:shd w:val="clear" w:color="auto" w:fill="D9D9D9" w:themeFill="background1" w:themeFillShade="D9"/>
          </w:tcPr>
          <w:p w14:paraId="61BE7CDB" w14:textId="77777777" w:rsidR="00C12574" w:rsidRPr="00DC0250" w:rsidRDefault="00C12574" w:rsidP="00AE517C">
            <w:pPr>
              <w:pStyle w:val="ListParagraph"/>
              <w:numPr>
                <w:ilvl w:val="0"/>
                <w:numId w:val="2"/>
              </w:numPr>
              <w:ind w:left="180" w:hanging="180"/>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DC0250">
              <w:rPr>
                <w:rFonts w:cstheme="minorHAnsi"/>
                <w:sz w:val="20"/>
                <w:szCs w:val="20"/>
                <w:lang w:val="en-CA"/>
              </w:rPr>
              <w:t>The study populations was representative of the general Canadian population within the provinces or the low-income population in the case of a subgroup analysis.</w:t>
            </w:r>
          </w:p>
        </w:tc>
      </w:tr>
      <w:tr w:rsidR="00C12574" w:rsidRPr="00DC0250" w14:paraId="5FF190DD" w14:textId="77777777" w:rsidTr="00AE5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0" w:type="dxa"/>
            <w:vMerge/>
            <w:shd w:val="clear" w:color="auto" w:fill="D9D9D9" w:themeFill="background1" w:themeFillShade="D9"/>
          </w:tcPr>
          <w:p w14:paraId="2B4C7AE3" w14:textId="77777777" w:rsidR="00C12574" w:rsidRPr="00DC0250" w:rsidRDefault="00C12574" w:rsidP="00AE517C">
            <w:pPr>
              <w:rPr>
                <w:rFonts w:cstheme="minorHAnsi"/>
                <w:sz w:val="20"/>
                <w:szCs w:val="20"/>
              </w:rPr>
            </w:pPr>
          </w:p>
        </w:tc>
        <w:tc>
          <w:tcPr>
            <w:tcW w:w="1426" w:type="dxa"/>
            <w:shd w:val="clear" w:color="auto" w:fill="D9D9D9" w:themeFill="background1" w:themeFillShade="D9"/>
          </w:tcPr>
          <w:p w14:paraId="30130E36"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Serious indirectness</w:t>
            </w:r>
          </w:p>
        </w:tc>
        <w:tc>
          <w:tcPr>
            <w:tcW w:w="885" w:type="dxa"/>
            <w:shd w:val="clear" w:color="auto" w:fill="D9D9D9" w:themeFill="background1" w:themeFillShade="D9"/>
          </w:tcPr>
          <w:p w14:paraId="66150CD9"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–0.5 points</w:t>
            </w:r>
          </w:p>
        </w:tc>
        <w:tc>
          <w:tcPr>
            <w:tcW w:w="6585" w:type="dxa"/>
            <w:shd w:val="clear" w:color="auto" w:fill="D9D9D9" w:themeFill="background1" w:themeFillShade="D9"/>
          </w:tcPr>
          <w:p w14:paraId="509ADBDD" w14:textId="77777777" w:rsidR="00C12574" w:rsidRPr="00DC0250" w:rsidRDefault="00C12574" w:rsidP="00AE517C">
            <w:pPr>
              <w:pStyle w:val="ListParagraph"/>
              <w:numPr>
                <w:ilvl w:val="0"/>
                <w:numId w:val="2"/>
              </w:numPr>
              <w:ind w:left="180" w:hanging="180"/>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DC0250">
              <w:rPr>
                <w:rFonts w:cstheme="minorHAnsi"/>
                <w:sz w:val="20"/>
                <w:szCs w:val="20"/>
                <w:lang w:val="en-CA"/>
              </w:rPr>
              <w:t>The study/studies contributing to an outcome were moderately representative of the general Canadian population within the provinces or the low-income population in the case of a subgroup analysis.</w:t>
            </w:r>
          </w:p>
        </w:tc>
      </w:tr>
      <w:tr w:rsidR="00C12574" w:rsidRPr="00DC0250" w14:paraId="4714DA19" w14:textId="77777777" w:rsidTr="00AE517C">
        <w:tc>
          <w:tcPr>
            <w:cnfStyle w:val="001000000000" w:firstRow="0" w:lastRow="0" w:firstColumn="1" w:lastColumn="0" w:oddVBand="0" w:evenVBand="0" w:oddHBand="0" w:evenHBand="0" w:firstRowFirstColumn="0" w:firstRowLastColumn="0" w:lastRowFirstColumn="0" w:lastRowLastColumn="0"/>
            <w:tcW w:w="2450" w:type="dxa"/>
            <w:shd w:val="clear" w:color="auto" w:fill="D9D9D9" w:themeFill="background1" w:themeFillShade="D9"/>
          </w:tcPr>
          <w:p w14:paraId="514F577C" w14:textId="77777777" w:rsidR="00C12574" w:rsidRPr="00DC0250" w:rsidRDefault="00C12574" w:rsidP="00AE517C">
            <w:pPr>
              <w:rPr>
                <w:rFonts w:cstheme="minorHAnsi"/>
                <w:sz w:val="20"/>
                <w:szCs w:val="20"/>
              </w:rPr>
            </w:pPr>
          </w:p>
        </w:tc>
        <w:tc>
          <w:tcPr>
            <w:tcW w:w="1426" w:type="dxa"/>
            <w:shd w:val="clear" w:color="auto" w:fill="D9D9D9" w:themeFill="background1" w:themeFillShade="D9"/>
          </w:tcPr>
          <w:p w14:paraId="6BDC0AC8"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Very serious indirectness</w:t>
            </w:r>
          </w:p>
        </w:tc>
        <w:tc>
          <w:tcPr>
            <w:tcW w:w="885" w:type="dxa"/>
            <w:shd w:val="clear" w:color="auto" w:fill="D9D9D9" w:themeFill="background1" w:themeFillShade="D9"/>
          </w:tcPr>
          <w:p w14:paraId="73969995"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-1 point</w:t>
            </w:r>
          </w:p>
        </w:tc>
        <w:tc>
          <w:tcPr>
            <w:tcW w:w="6585" w:type="dxa"/>
            <w:shd w:val="clear" w:color="auto" w:fill="D9D9D9" w:themeFill="background1" w:themeFillShade="D9"/>
          </w:tcPr>
          <w:p w14:paraId="738EDDF0" w14:textId="77777777" w:rsidR="00C12574" w:rsidRPr="00DC0250" w:rsidRDefault="00C12574" w:rsidP="00AE517C">
            <w:pPr>
              <w:pStyle w:val="ListParagraph"/>
              <w:numPr>
                <w:ilvl w:val="0"/>
                <w:numId w:val="2"/>
              </w:numPr>
              <w:ind w:left="180" w:hanging="180"/>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lang w:val="en-CA" w:eastAsia="en-US"/>
              </w:rPr>
            </w:pPr>
            <w:r w:rsidRPr="00DC0250">
              <w:rPr>
                <w:rFonts w:cstheme="minorHAnsi"/>
                <w:sz w:val="20"/>
                <w:szCs w:val="20"/>
                <w:lang w:val="en-CA"/>
              </w:rPr>
              <w:t>The study/studies contributing to an outcome was not representative of the general Canadian population within the provinces or the low-income population in the case of a subgroup analysis.</w:t>
            </w:r>
          </w:p>
          <w:p w14:paraId="4AE54748" w14:textId="77777777" w:rsidR="00C12574" w:rsidRPr="00DC0250" w:rsidRDefault="00C12574" w:rsidP="00AE517C">
            <w:pPr>
              <w:pStyle w:val="ListParagraph"/>
              <w:ind w:left="180"/>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lang w:val="en-CA" w:eastAsia="en-US"/>
              </w:rPr>
            </w:pPr>
            <w:r w:rsidRPr="00DC0250">
              <w:rPr>
                <w:rFonts w:eastAsiaTheme="minorHAnsi" w:cstheme="minorHAnsi"/>
                <w:sz w:val="20"/>
                <w:szCs w:val="20"/>
                <w:lang w:val="en-CA" w:eastAsia="en-US"/>
              </w:rPr>
              <w:lastRenderedPageBreak/>
              <w:t>OR</w:t>
            </w:r>
          </w:p>
          <w:p w14:paraId="58EC822D" w14:textId="77777777" w:rsidR="00C12574" w:rsidRPr="00DC0250" w:rsidRDefault="00C12574" w:rsidP="00AE517C">
            <w:pPr>
              <w:pStyle w:val="ListParagraph"/>
              <w:numPr>
                <w:ilvl w:val="0"/>
                <w:numId w:val="2"/>
              </w:numPr>
              <w:ind w:left="180" w:hanging="180"/>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lang w:val="en-CA" w:eastAsia="en-US"/>
              </w:rPr>
            </w:pPr>
            <w:r w:rsidRPr="00DC0250">
              <w:rPr>
                <w:rFonts w:eastAsiaTheme="minorHAnsi" w:cstheme="minorHAnsi"/>
                <w:sz w:val="20"/>
                <w:szCs w:val="20"/>
                <w:lang w:val="en-CA" w:eastAsia="en-US"/>
              </w:rPr>
              <w:t>Indirect measures were used to assess the outcome of interest</w:t>
            </w:r>
          </w:p>
          <w:p w14:paraId="044ADD35" w14:textId="77777777" w:rsidR="00C12574" w:rsidRPr="00DC0250" w:rsidRDefault="00C12574" w:rsidP="00AE517C">
            <w:pPr>
              <w:pStyle w:val="ListParagraph"/>
              <w:ind w:left="180"/>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lang w:val="en-CA" w:eastAsia="en-US"/>
              </w:rPr>
            </w:pPr>
          </w:p>
        </w:tc>
      </w:tr>
      <w:tr w:rsidR="00C12574" w:rsidRPr="00DC0250" w14:paraId="4745A4B9" w14:textId="77777777" w:rsidTr="00AE5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0" w:type="dxa"/>
            <w:vMerge w:val="restart"/>
            <w:shd w:val="clear" w:color="auto" w:fill="auto"/>
          </w:tcPr>
          <w:p w14:paraId="05FFD27E" w14:textId="77777777" w:rsidR="00C12574" w:rsidRPr="00DC0250" w:rsidRDefault="00C12574" w:rsidP="00AE517C">
            <w:pPr>
              <w:rPr>
                <w:rFonts w:cstheme="minorHAnsi"/>
                <w:sz w:val="20"/>
                <w:szCs w:val="20"/>
                <w:highlight w:val="yellow"/>
              </w:rPr>
            </w:pPr>
            <w:r w:rsidRPr="00DC0250">
              <w:rPr>
                <w:rFonts w:cstheme="minorHAnsi"/>
                <w:sz w:val="20"/>
                <w:szCs w:val="20"/>
              </w:rPr>
              <w:lastRenderedPageBreak/>
              <w:t>Imprecision</w:t>
            </w:r>
          </w:p>
        </w:tc>
        <w:tc>
          <w:tcPr>
            <w:tcW w:w="1426" w:type="dxa"/>
            <w:shd w:val="clear" w:color="auto" w:fill="auto"/>
          </w:tcPr>
          <w:p w14:paraId="423AE458"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No serious imprecision</w:t>
            </w:r>
          </w:p>
        </w:tc>
        <w:tc>
          <w:tcPr>
            <w:tcW w:w="885" w:type="dxa"/>
            <w:shd w:val="clear" w:color="auto" w:fill="auto"/>
          </w:tcPr>
          <w:p w14:paraId="6856E320"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0</w:t>
            </w:r>
          </w:p>
        </w:tc>
        <w:tc>
          <w:tcPr>
            <w:tcW w:w="6585" w:type="dxa"/>
            <w:shd w:val="clear" w:color="auto" w:fill="auto"/>
          </w:tcPr>
          <w:p w14:paraId="685436B0"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p w14:paraId="01C2E5A4" w14:textId="77777777" w:rsidR="00C12574" w:rsidRPr="00DC0250" w:rsidRDefault="00C12574" w:rsidP="00AE517C">
            <w:pPr>
              <w:pStyle w:val="ListParagraph"/>
              <w:numPr>
                <w:ilvl w:val="0"/>
                <w:numId w:val="1"/>
              </w:numPr>
              <w:spacing w:after="120"/>
              <w:ind w:left="180" w:hanging="219"/>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DC0250">
              <w:rPr>
                <w:rFonts w:cstheme="minorHAnsi"/>
                <w:sz w:val="20"/>
                <w:szCs w:val="20"/>
                <w:lang w:val="en-CA"/>
              </w:rPr>
              <w:t xml:space="preserve">If the optimal information size (OIS) criterion is met, or the sample size is very large (at least 2000) </w:t>
            </w:r>
          </w:p>
          <w:p w14:paraId="2CF0870A" w14:textId="77777777" w:rsidR="00C12574" w:rsidRPr="00DC0250" w:rsidRDefault="00C12574" w:rsidP="00AE517C">
            <w:pPr>
              <w:pStyle w:val="ListParagraph"/>
              <w:spacing w:after="120"/>
              <w:ind w:left="180"/>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DC0250">
              <w:rPr>
                <w:rFonts w:cstheme="minorHAnsi"/>
                <w:sz w:val="20"/>
                <w:szCs w:val="20"/>
                <w:lang w:val="en-CA"/>
              </w:rPr>
              <w:t>AND</w:t>
            </w:r>
          </w:p>
          <w:p w14:paraId="227968E6" w14:textId="77777777" w:rsidR="00C12574" w:rsidRPr="00DC0250" w:rsidRDefault="00C12574" w:rsidP="00AE517C">
            <w:pPr>
              <w:pStyle w:val="ListParagraph"/>
              <w:numPr>
                <w:ilvl w:val="0"/>
                <w:numId w:val="1"/>
              </w:numPr>
              <w:spacing w:after="120"/>
              <w:ind w:left="180" w:hanging="219"/>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r w:rsidRPr="00DC0250">
              <w:rPr>
                <w:rStyle w:val="c0"/>
                <w:rFonts w:cstheme="minorHAnsi"/>
                <w:color w:val="000000"/>
                <w:sz w:val="20"/>
                <w:szCs w:val="20"/>
                <w:shd w:val="clear" w:color="auto" w:fill="FFFFFF"/>
                <w:lang w:val="en-CA"/>
              </w:rPr>
              <w:t>the </w:t>
            </w:r>
            <w:r w:rsidRPr="00DC0250">
              <w:rPr>
                <w:rStyle w:val="c0"/>
                <w:rFonts w:cstheme="minorHAnsi"/>
                <w:b/>
                <w:bCs/>
                <w:color w:val="000000"/>
                <w:sz w:val="20"/>
                <w:szCs w:val="20"/>
                <w:shd w:val="clear" w:color="auto" w:fill="FFFFFF"/>
                <w:lang w:val="en-CA"/>
              </w:rPr>
              <w:t>95% CI excludes no effect</w:t>
            </w:r>
            <w:r w:rsidRPr="00DC0250">
              <w:rPr>
                <w:rStyle w:val="c0"/>
                <w:rFonts w:cstheme="minorHAnsi"/>
                <w:color w:val="000000"/>
                <w:sz w:val="20"/>
                <w:szCs w:val="20"/>
                <w:shd w:val="clear" w:color="auto" w:fill="FFFFFF"/>
                <w:lang w:val="en-CA"/>
              </w:rPr>
              <w:t> (i.e. CI around OR excludes 1.0).</w:t>
            </w:r>
          </w:p>
          <w:p w14:paraId="26B9F701" w14:textId="77777777" w:rsidR="00C12574" w:rsidRPr="00DC0250" w:rsidRDefault="00C12574" w:rsidP="00AE517C">
            <w:pPr>
              <w:pStyle w:val="ListParagraph"/>
              <w:spacing w:after="120"/>
              <w:ind w:left="180"/>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p>
        </w:tc>
      </w:tr>
      <w:tr w:rsidR="00C12574" w:rsidRPr="00DC0250" w14:paraId="69929ED9" w14:textId="77777777" w:rsidTr="00AE517C">
        <w:tc>
          <w:tcPr>
            <w:cnfStyle w:val="001000000000" w:firstRow="0" w:lastRow="0" w:firstColumn="1" w:lastColumn="0" w:oddVBand="0" w:evenVBand="0" w:oddHBand="0" w:evenHBand="0" w:firstRowFirstColumn="0" w:firstRowLastColumn="0" w:lastRowFirstColumn="0" w:lastRowLastColumn="0"/>
            <w:tcW w:w="2450" w:type="dxa"/>
            <w:vMerge/>
            <w:shd w:val="clear" w:color="auto" w:fill="auto"/>
          </w:tcPr>
          <w:p w14:paraId="55CD325C" w14:textId="77777777" w:rsidR="00C12574" w:rsidRPr="00DC0250" w:rsidRDefault="00C12574" w:rsidP="00AE517C">
            <w:pPr>
              <w:rPr>
                <w:rFonts w:cstheme="minorHAnsi"/>
                <w:sz w:val="20"/>
                <w:szCs w:val="20"/>
              </w:rPr>
            </w:pPr>
          </w:p>
        </w:tc>
        <w:tc>
          <w:tcPr>
            <w:tcW w:w="1426" w:type="dxa"/>
            <w:shd w:val="clear" w:color="auto" w:fill="auto"/>
          </w:tcPr>
          <w:p w14:paraId="3C11D581"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Serious imprecision</w:t>
            </w:r>
          </w:p>
        </w:tc>
        <w:tc>
          <w:tcPr>
            <w:tcW w:w="885" w:type="dxa"/>
            <w:shd w:val="clear" w:color="auto" w:fill="auto"/>
          </w:tcPr>
          <w:p w14:paraId="133886CA"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–0.5 points</w:t>
            </w:r>
          </w:p>
        </w:tc>
        <w:tc>
          <w:tcPr>
            <w:tcW w:w="6585" w:type="dxa"/>
            <w:shd w:val="clear" w:color="auto" w:fill="auto"/>
          </w:tcPr>
          <w:p w14:paraId="7A97AD73"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p w14:paraId="27E60C37" w14:textId="77777777" w:rsidR="00C12574" w:rsidRPr="00DC0250" w:rsidRDefault="00C12574" w:rsidP="00AE517C">
            <w:pPr>
              <w:pStyle w:val="ListParagraph"/>
              <w:numPr>
                <w:ilvl w:val="0"/>
                <w:numId w:val="1"/>
              </w:numPr>
              <w:spacing w:after="120"/>
              <w:ind w:left="171" w:hanging="218"/>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DC0250">
              <w:rPr>
                <w:rFonts w:cstheme="minorHAnsi"/>
                <w:sz w:val="20"/>
                <w:szCs w:val="20"/>
                <w:lang w:val="en-CA"/>
              </w:rPr>
              <w:t xml:space="preserve">If the OIS </w:t>
            </w:r>
            <w:r w:rsidRPr="00DC0250">
              <w:rPr>
                <w:rFonts w:cstheme="minorHAnsi"/>
                <w:i/>
                <w:sz w:val="20"/>
                <w:szCs w:val="20"/>
                <w:lang w:val="en-CA"/>
              </w:rPr>
              <w:t>was not</w:t>
            </w:r>
            <w:r w:rsidRPr="00DC0250">
              <w:rPr>
                <w:rFonts w:cstheme="minorHAnsi"/>
                <w:sz w:val="20"/>
                <w:szCs w:val="20"/>
                <w:lang w:val="en-CA"/>
              </w:rPr>
              <w:t xml:space="preserve"> met.</w:t>
            </w:r>
          </w:p>
          <w:p w14:paraId="3F6F6223" w14:textId="77777777" w:rsidR="00C12574" w:rsidRPr="00DC0250" w:rsidRDefault="00C12574" w:rsidP="00AE517C">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fr-CA"/>
              </w:rPr>
            </w:pPr>
            <w:r w:rsidRPr="00DC0250">
              <w:rPr>
                <w:rFonts w:eastAsia="Times New Roman" w:cstheme="minorHAnsi"/>
                <w:sz w:val="20"/>
                <w:szCs w:val="20"/>
                <w:lang w:eastAsia="fr-CA"/>
              </w:rPr>
              <w:t>OR</w:t>
            </w:r>
          </w:p>
          <w:p w14:paraId="2F14AF7C" w14:textId="77777777" w:rsidR="00C12574" w:rsidRPr="00DC0250" w:rsidRDefault="00C12574" w:rsidP="00AE517C">
            <w:pPr>
              <w:pStyle w:val="ListParagraph"/>
              <w:numPr>
                <w:ilvl w:val="0"/>
                <w:numId w:val="1"/>
              </w:numPr>
              <w:spacing w:after="120"/>
              <w:ind w:left="171" w:hanging="218"/>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r w:rsidRPr="00DC0250">
              <w:rPr>
                <w:rStyle w:val="c0"/>
                <w:rFonts w:cstheme="minorHAnsi"/>
                <w:color w:val="000000"/>
                <w:sz w:val="20"/>
                <w:szCs w:val="20"/>
                <w:shd w:val="clear" w:color="auto" w:fill="FFFFFF"/>
                <w:lang w:val="en-CA"/>
              </w:rPr>
              <w:t>If OIS criterion is met, and the </w:t>
            </w:r>
            <w:r w:rsidRPr="00DC0250">
              <w:rPr>
                <w:rStyle w:val="c0"/>
                <w:rFonts w:cstheme="minorHAnsi"/>
                <w:b/>
                <w:bCs/>
                <w:color w:val="000000"/>
                <w:sz w:val="20"/>
                <w:szCs w:val="20"/>
                <w:shd w:val="clear" w:color="auto" w:fill="FFFFFF"/>
                <w:lang w:val="en-CA"/>
              </w:rPr>
              <w:t>95% CI overlaps no effect</w:t>
            </w:r>
            <w:r w:rsidRPr="00DC0250">
              <w:rPr>
                <w:rStyle w:val="c0"/>
                <w:rFonts w:cstheme="minorHAnsi"/>
                <w:color w:val="000000"/>
                <w:sz w:val="20"/>
                <w:szCs w:val="20"/>
                <w:shd w:val="clear" w:color="auto" w:fill="FFFFFF"/>
                <w:lang w:val="en-CA"/>
              </w:rPr>
              <w:t> (i.e. CI includes OR of 1.0). </w:t>
            </w:r>
          </w:p>
          <w:p w14:paraId="479CE88F" w14:textId="77777777" w:rsidR="00C12574" w:rsidRPr="00DC0250" w:rsidRDefault="00C12574" w:rsidP="00AE517C">
            <w:pPr>
              <w:pStyle w:val="ListParagraph"/>
              <w:ind w:left="171"/>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p>
        </w:tc>
      </w:tr>
      <w:tr w:rsidR="00C12574" w:rsidRPr="00DC0250" w14:paraId="10B40FD5" w14:textId="77777777" w:rsidTr="00AE5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0" w:type="dxa"/>
            <w:shd w:val="clear" w:color="auto" w:fill="D9D9D9" w:themeFill="background1" w:themeFillShade="D9"/>
          </w:tcPr>
          <w:p w14:paraId="38E4D010" w14:textId="77777777" w:rsidR="00C12574" w:rsidRPr="00DC0250" w:rsidRDefault="00C12574" w:rsidP="00AE517C">
            <w:pPr>
              <w:rPr>
                <w:rFonts w:cstheme="minorHAnsi"/>
                <w:sz w:val="20"/>
                <w:szCs w:val="20"/>
              </w:rPr>
            </w:pPr>
            <w:r w:rsidRPr="00DC0250">
              <w:rPr>
                <w:rFonts w:cstheme="minorHAnsi"/>
                <w:sz w:val="20"/>
                <w:szCs w:val="20"/>
              </w:rPr>
              <w:t>Publication Bias</w:t>
            </w:r>
          </w:p>
        </w:tc>
        <w:tc>
          <w:tcPr>
            <w:tcW w:w="1426" w:type="dxa"/>
            <w:shd w:val="clear" w:color="auto" w:fill="D9D9D9" w:themeFill="background1" w:themeFillShade="D9"/>
          </w:tcPr>
          <w:p w14:paraId="3D0EB880"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No serious risk of publication bias</w:t>
            </w:r>
          </w:p>
        </w:tc>
        <w:tc>
          <w:tcPr>
            <w:tcW w:w="885" w:type="dxa"/>
            <w:shd w:val="clear" w:color="auto" w:fill="D9D9D9" w:themeFill="background1" w:themeFillShade="D9"/>
          </w:tcPr>
          <w:p w14:paraId="78C8D34C"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0</w:t>
            </w:r>
          </w:p>
        </w:tc>
        <w:tc>
          <w:tcPr>
            <w:tcW w:w="6585" w:type="dxa"/>
            <w:shd w:val="clear" w:color="auto" w:fill="D9D9D9" w:themeFill="background1" w:themeFillShade="D9"/>
          </w:tcPr>
          <w:p w14:paraId="4B5F11C8"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C0250">
              <w:rPr>
                <w:rFonts w:cstheme="minorHAnsi"/>
                <w:sz w:val="20"/>
                <w:szCs w:val="20"/>
                <w:lang w:val="en-US"/>
              </w:rPr>
              <w:t xml:space="preserve">Due to the limited number of studies included for each population – intervention – outcome combination, it was not possible to undertake a funnel plot. </w:t>
            </w:r>
          </w:p>
          <w:p w14:paraId="1939F336"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C0250">
              <w:rPr>
                <w:rFonts w:cstheme="minorHAnsi"/>
                <w:sz w:val="20"/>
                <w:szCs w:val="20"/>
                <w:lang w:val="en-US"/>
              </w:rPr>
              <w:t>The search strategy was very comprehensive.</w:t>
            </w:r>
          </w:p>
          <w:p w14:paraId="5F341204"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C0250">
              <w:rPr>
                <w:rFonts w:cstheme="minorHAnsi"/>
                <w:sz w:val="20"/>
                <w:szCs w:val="20"/>
                <w:lang w:val="en-US"/>
              </w:rPr>
              <w:t xml:space="preserve"> Given the tight-knit community of researchers in the field of food insecurity in Canada, and due to the extensive consultation that we undertook with these experts, we do not believe that there was publication bias that would ultimately change the results of this systematic review for income supplementation studies. </w:t>
            </w:r>
          </w:p>
          <w:p w14:paraId="6BA41484"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C12574" w:rsidRPr="00DC0250" w14:paraId="260A2781" w14:textId="77777777" w:rsidTr="00AE517C">
        <w:tc>
          <w:tcPr>
            <w:cnfStyle w:val="001000000000" w:firstRow="0" w:lastRow="0" w:firstColumn="1" w:lastColumn="0" w:oddVBand="0" w:evenVBand="0" w:oddHBand="0" w:evenHBand="0" w:firstRowFirstColumn="0" w:firstRowLastColumn="0" w:lastRowFirstColumn="0" w:lastRowLastColumn="0"/>
            <w:tcW w:w="2450" w:type="dxa"/>
            <w:shd w:val="clear" w:color="auto" w:fill="D9D9D9" w:themeFill="background1" w:themeFillShade="D9"/>
          </w:tcPr>
          <w:p w14:paraId="66D005DD" w14:textId="77777777" w:rsidR="00C12574" w:rsidRPr="00DC0250" w:rsidRDefault="00C12574" w:rsidP="00AE517C">
            <w:pPr>
              <w:rPr>
                <w:rFonts w:cstheme="minorHAnsi"/>
                <w:sz w:val="20"/>
                <w:szCs w:val="20"/>
              </w:rPr>
            </w:pPr>
          </w:p>
        </w:tc>
        <w:tc>
          <w:tcPr>
            <w:tcW w:w="1426" w:type="dxa"/>
            <w:shd w:val="clear" w:color="auto" w:fill="D9D9D9" w:themeFill="background1" w:themeFillShade="D9"/>
          </w:tcPr>
          <w:p w14:paraId="557DE4EC"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Serious risk of publication bias</w:t>
            </w:r>
          </w:p>
        </w:tc>
        <w:tc>
          <w:tcPr>
            <w:tcW w:w="885" w:type="dxa"/>
            <w:shd w:val="clear" w:color="auto" w:fill="D9D9D9" w:themeFill="background1" w:themeFillShade="D9"/>
          </w:tcPr>
          <w:p w14:paraId="59C41251"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0250">
              <w:rPr>
                <w:rFonts w:cstheme="minorHAnsi"/>
                <w:sz w:val="20"/>
                <w:szCs w:val="20"/>
              </w:rPr>
              <w:t>-0.5 points</w:t>
            </w:r>
          </w:p>
        </w:tc>
        <w:tc>
          <w:tcPr>
            <w:tcW w:w="6585" w:type="dxa"/>
            <w:shd w:val="clear" w:color="auto" w:fill="D9D9D9" w:themeFill="background1" w:themeFillShade="D9"/>
          </w:tcPr>
          <w:p w14:paraId="51FF8C6F"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C0250">
              <w:rPr>
                <w:rFonts w:cstheme="minorHAnsi"/>
                <w:sz w:val="20"/>
                <w:szCs w:val="20"/>
                <w:lang w:val="en-US"/>
              </w:rPr>
              <w:t>To be assessed by SMEs</w:t>
            </w:r>
          </w:p>
          <w:p w14:paraId="53BB6473" w14:textId="77777777" w:rsidR="00C12574" w:rsidRPr="00DC0250" w:rsidRDefault="00C12574" w:rsidP="00AE517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C0250">
              <w:rPr>
                <w:rFonts w:cstheme="minorHAnsi"/>
                <w:sz w:val="20"/>
                <w:szCs w:val="20"/>
                <w:lang w:val="en-US"/>
              </w:rPr>
              <w:t>For the housing and food-based studies, the following should be considered.</w:t>
            </w:r>
          </w:p>
          <w:p w14:paraId="57097FB8" w14:textId="77777777" w:rsidR="00C12574" w:rsidRPr="00DC0250" w:rsidRDefault="00C12574" w:rsidP="00AE517C">
            <w:pPr>
              <w:numPr>
                <w:ilvl w:val="0"/>
                <w:numId w:val="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CA"/>
              </w:rPr>
            </w:pPr>
            <w:r w:rsidRPr="00DC0250">
              <w:rPr>
                <w:rFonts w:eastAsia="Times New Roman" w:cstheme="minorHAnsi"/>
                <w:color w:val="000000"/>
                <w:sz w:val="20"/>
                <w:szCs w:val="20"/>
                <w:lang w:eastAsia="en-CA"/>
              </w:rPr>
              <w:t xml:space="preserve"> study design (experimental vs. observational)</w:t>
            </w:r>
          </w:p>
          <w:p w14:paraId="22759DEC" w14:textId="77777777" w:rsidR="00C12574" w:rsidRPr="00DC0250" w:rsidRDefault="00C12574" w:rsidP="00AE517C">
            <w:pPr>
              <w:numPr>
                <w:ilvl w:val="0"/>
                <w:numId w:val="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CA"/>
              </w:rPr>
            </w:pPr>
            <w:r w:rsidRPr="00DC0250">
              <w:rPr>
                <w:rFonts w:eastAsia="Times New Roman" w:cstheme="minorHAnsi"/>
                <w:color w:val="000000"/>
                <w:sz w:val="20"/>
                <w:szCs w:val="20"/>
                <w:lang w:eastAsia="en-CA"/>
              </w:rPr>
              <w:t>study size (small studies vs. large studies)</w:t>
            </w:r>
          </w:p>
          <w:p w14:paraId="153825AD" w14:textId="77777777" w:rsidR="00C12574" w:rsidRPr="00DC0250" w:rsidRDefault="00C12574" w:rsidP="00AE517C">
            <w:pPr>
              <w:numPr>
                <w:ilvl w:val="0"/>
                <w:numId w:val="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CA"/>
              </w:rPr>
            </w:pPr>
            <w:r w:rsidRPr="00DC0250">
              <w:rPr>
                <w:rFonts w:eastAsia="Times New Roman" w:cstheme="minorHAnsi"/>
                <w:color w:val="000000"/>
                <w:sz w:val="20"/>
                <w:szCs w:val="20"/>
                <w:lang w:eastAsia="en-CA"/>
              </w:rPr>
              <w:t>lag bias (early publication of positive results)</w:t>
            </w:r>
          </w:p>
        </w:tc>
      </w:tr>
      <w:tr w:rsidR="00C12574" w:rsidRPr="00DC0250" w14:paraId="084BA747" w14:textId="77777777" w:rsidTr="00AE5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0" w:type="dxa"/>
            <w:shd w:val="clear" w:color="auto" w:fill="auto"/>
          </w:tcPr>
          <w:p w14:paraId="6E9A488B" w14:textId="77777777" w:rsidR="00C12574" w:rsidRPr="00DC0250" w:rsidRDefault="00C12574" w:rsidP="00AE517C">
            <w:pPr>
              <w:rPr>
                <w:rFonts w:cstheme="minorHAnsi"/>
                <w:sz w:val="20"/>
                <w:szCs w:val="20"/>
              </w:rPr>
            </w:pPr>
            <w:r w:rsidRPr="00DC0250">
              <w:rPr>
                <w:rFonts w:cstheme="minorHAnsi"/>
                <w:sz w:val="20"/>
                <w:szCs w:val="20"/>
              </w:rPr>
              <w:t>Dose-response gradient</w:t>
            </w:r>
          </w:p>
        </w:tc>
        <w:tc>
          <w:tcPr>
            <w:tcW w:w="1426" w:type="dxa"/>
            <w:shd w:val="clear" w:color="auto" w:fill="auto"/>
          </w:tcPr>
          <w:p w14:paraId="2FDDDDAE"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 xml:space="preserve"> </w:t>
            </w:r>
          </w:p>
        </w:tc>
        <w:tc>
          <w:tcPr>
            <w:tcW w:w="885" w:type="dxa"/>
            <w:shd w:val="clear" w:color="auto" w:fill="auto"/>
          </w:tcPr>
          <w:p w14:paraId="6D8E2650"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0250">
              <w:rPr>
                <w:rFonts w:cstheme="minorHAnsi"/>
                <w:sz w:val="20"/>
                <w:szCs w:val="20"/>
              </w:rPr>
              <w:t>+1 point</w:t>
            </w:r>
          </w:p>
        </w:tc>
        <w:tc>
          <w:tcPr>
            <w:tcW w:w="6585" w:type="dxa"/>
            <w:shd w:val="clear" w:color="auto" w:fill="auto"/>
          </w:tcPr>
          <w:p w14:paraId="0160BD8F"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C0250">
              <w:rPr>
                <w:rFonts w:cstheme="minorHAnsi"/>
                <w:sz w:val="20"/>
                <w:szCs w:val="20"/>
                <w:lang w:val="en-US"/>
              </w:rPr>
              <w:t>The presence of a dose-response gradient has long been recognized as an important criterion for believing a putative cause-effect relationship. The presence of a dose-response gradient may increase our confidence in the findings of observational studies and thereby increase the quality of evidence.</w:t>
            </w:r>
          </w:p>
          <w:p w14:paraId="7754B90A" w14:textId="77777777" w:rsidR="00C12574" w:rsidRPr="00DC0250" w:rsidRDefault="00C12574" w:rsidP="00AE517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bl>
    <w:p w14:paraId="2A7B4008" w14:textId="1B4FB152" w:rsidR="00C12574" w:rsidRPr="00B20DC7" w:rsidRDefault="00C12574" w:rsidP="00040C01">
      <w:pPr>
        <w:pStyle w:val="TOCHeading"/>
      </w:pPr>
    </w:p>
    <w:sectPr w:rsidR="00C12574" w:rsidRPr="00B20DC7" w:rsidSect="001C658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B909" w14:textId="77777777" w:rsidR="00E43C6A" w:rsidRDefault="00E43C6A" w:rsidP="001D3239">
      <w:pPr>
        <w:spacing w:after="0" w:line="240" w:lineRule="auto"/>
      </w:pPr>
      <w:r>
        <w:separator/>
      </w:r>
    </w:p>
  </w:endnote>
  <w:endnote w:type="continuationSeparator" w:id="0">
    <w:p w14:paraId="264BAAAF" w14:textId="77777777" w:rsidR="00E43C6A" w:rsidRDefault="00E43C6A" w:rsidP="001D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D239" w14:textId="77777777" w:rsidR="00E43C6A" w:rsidRDefault="00E43C6A" w:rsidP="001D3239">
      <w:pPr>
        <w:spacing w:after="0" w:line="240" w:lineRule="auto"/>
      </w:pPr>
      <w:r>
        <w:separator/>
      </w:r>
    </w:p>
  </w:footnote>
  <w:footnote w:type="continuationSeparator" w:id="0">
    <w:p w14:paraId="09C74B20" w14:textId="77777777" w:rsidR="00E43C6A" w:rsidRDefault="00E43C6A" w:rsidP="001D3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F02"/>
    <w:multiLevelType w:val="hybridMultilevel"/>
    <w:tmpl w:val="E1620A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3760DC"/>
    <w:multiLevelType w:val="hybridMultilevel"/>
    <w:tmpl w:val="F490E0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0761DD"/>
    <w:multiLevelType w:val="hybridMultilevel"/>
    <w:tmpl w:val="7FA2D618"/>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1B00A4"/>
    <w:multiLevelType w:val="hybridMultilevel"/>
    <w:tmpl w:val="F490E0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E363BB"/>
    <w:multiLevelType w:val="hybridMultilevel"/>
    <w:tmpl w:val="37CAC4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52C7C43"/>
    <w:multiLevelType w:val="hybridMultilevel"/>
    <w:tmpl w:val="315042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93D3135"/>
    <w:multiLevelType w:val="hybridMultilevel"/>
    <w:tmpl w:val="BCB85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BD20EC"/>
    <w:multiLevelType w:val="hybridMultilevel"/>
    <w:tmpl w:val="D20A70CA"/>
    <w:lvl w:ilvl="0" w:tplc="0FC099B2">
      <w:numFmt w:val="bullet"/>
      <w:lvlText w:val="-"/>
      <w:lvlJc w:val="left"/>
      <w:pPr>
        <w:ind w:left="531" w:hanging="360"/>
      </w:pPr>
      <w:rPr>
        <w:rFonts w:ascii="Calibri" w:eastAsiaTheme="minorHAnsi" w:hAnsi="Calibri" w:cs="Calibri" w:hint="default"/>
      </w:rPr>
    </w:lvl>
    <w:lvl w:ilvl="1" w:tplc="10090003" w:tentative="1">
      <w:start w:val="1"/>
      <w:numFmt w:val="bullet"/>
      <w:lvlText w:val="o"/>
      <w:lvlJc w:val="left"/>
      <w:pPr>
        <w:ind w:left="1251" w:hanging="360"/>
      </w:pPr>
      <w:rPr>
        <w:rFonts w:ascii="Courier New" w:hAnsi="Courier New" w:cs="Courier New" w:hint="default"/>
      </w:rPr>
    </w:lvl>
    <w:lvl w:ilvl="2" w:tplc="10090005" w:tentative="1">
      <w:start w:val="1"/>
      <w:numFmt w:val="bullet"/>
      <w:lvlText w:val=""/>
      <w:lvlJc w:val="left"/>
      <w:pPr>
        <w:ind w:left="1971" w:hanging="360"/>
      </w:pPr>
      <w:rPr>
        <w:rFonts w:ascii="Wingdings" w:hAnsi="Wingdings" w:hint="default"/>
      </w:rPr>
    </w:lvl>
    <w:lvl w:ilvl="3" w:tplc="10090001" w:tentative="1">
      <w:start w:val="1"/>
      <w:numFmt w:val="bullet"/>
      <w:lvlText w:val=""/>
      <w:lvlJc w:val="left"/>
      <w:pPr>
        <w:ind w:left="2691" w:hanging="360"/>
      </w:pPr>
      <w:rPr>
        <w:rFonts w:ascii="Symbol" w:hAnsi="Symbol" w:hint="default"/>
      </w:rPr>
    </w:lvl>
    <w:lvl w:ilvl="4" w:tplc="10090003" w:tentative="1">
      <w:start w:val="1"/>
      <w:numFmt w:val="bullet"/>
      <w:lvlText w:val="o"/>
      <w:lvlJc w:val="left"/>
      <w:pPr>
        <w:ind w:left="3411" w:hanging="360"/>
      </w:pPr>
      <w:rPr>
        <w:rFonts w:ascii="Courier New" w:hAnsi="Courier New" w:cs="Courier New" w:hint="default"/>
      </w:rPr>
    </w:lvl>
    <w:lvl w:ilvl="5" w:tplc="10090005" w:tentative="1">
      <w:start w:val="1"/>
      <w:numFmt w:val="bullet"/>
      <w:lvlText w:val=""/>
      <w:lvlJc w:val="left"/>
      <w:pPr>
        <w:ind w:left="4131" w:hanging="360"/>
      </w:pPr>
      <w:rPr>
        <w:rFonts w:ascii="Wingdings" w:hAnsi="Wingdings" w:hint="default"/>
      </w:rPr>
    </w:lvl>
    <w:lvl w:ilvl="6" w:tplc="10090001" w:tentative="1">
      <w:start w:val="1"/>
      <w:numFmt w:val="bullet"/>
      <w:lvlText w:val=""/>
      <w:lvlJc w:val="left"/>
      <w:pPr>
        <w:ind w:left="4851" w:hanging="360"/>
      </w:pPr>
      <w:rPr>
        <w:rFonts w:ascii="Symbol" w:hAnsi="Symbol" w:hint="default"/>
      </w:rPr>
    </w:lvl>
    <w:lvl w:ilvl="7" w:tplc="10090003" w:tentative="1">
      <w:start w:val="1"/>
      <w:numFmt w:val="bullet"/>
      <w:lvlText w:val="o"/>
      <w:lvlJc w:val="left"/>
      <w:pPr>
        <w:ind w:left="5571" w:hanging="360"/>
      </w:pPr>
      <w:rPr>
        <w:rFonts w:ascii="Courier New" w:hAnsi="Courier New" w:cs="Courier New" w:hint="default"/>
      </w:rPr>
    </w:lvl>
    <w:lvl w:ilvl="8" w:tplc="10090005" w:tentative="1">
      <w:start w:val="1"/>
      <w:numFmt w:val="bullet"/>
      <w:lvlText w:val=""/>
      <w:lvlJc w:val="left"/>
      <w:pPr>
        <w:ind w:left="6291" w:hanging="360"/>
      </w:pPr>
      <w:rPr>
        <w:rFonts w:ascii="Wingdings" w:hAnsi="Wingdings" w:hint="default"/>
      </w:rPr>
    </w:lvl>
  </w:abstractNum>
  <w:abstractNum w:abstractNumId="8" w15:restartNumberingAfterBreak="0">
    <w:nsid w:val="6CBB2333"/>
    <w:multiLevelType w:val="hybridMultilevel"/>
    <w:tmpl w:val="4B788AEC"/>
    <w:lvl w:ilvl="0" w:tplc="9466B990">
      <w:numFmt w:val="bullet"/>
      <w:lvlText w:val="-"/>
      <w:lvlJc w:val="left"/>
      <w:pPr>
        <w:ind w:left="1480" w:hanging="360"/>
      </w:pPr>
      <w:rPr>
        <w:rFonts w:ascii="Calibri" w:eastAsiaTheme="minorHAnsi" w:hAnsi="Calibri" w:cs="Calibri" w:hint="default"/>
      </w:rPr>
    </w:lvl>
    <w:lvl w:ilvl="1" w:tplc="10090003" w:tentative="1">
      <w:start w:val="1"/>
      <w:numFmt w:val="bullet"/>
      <w:lvlText w:val="o"/>
      <w:lvlJc w:val="left"/>
      <w:pPr>
        <w:ind w:left="2200" w:hanging="360"/>
      </w:pPr>
      <w:rPr>
        <w:rFonts w:ascii="Courier New" w:hAnsi="Courier New" w:cs="Courier New" w:hint="default"/>
      </w:rPr>
    </w:lvl>
    <w:lvl w:ilvl="2" w:tplc="10090005" w:tentative="1">
      <w:start w:val="1"/>
      <w:numFmt w:val="bullet"/>
      <w:lvlText w:val=""/>
      <w:lvlJc w:val="left"/>
      <w:pPr>
        <w:ind w:left="2920" w:hanging="360"/>
      </w:pPr>
      <w:rPr>
        <w:rFonts w:ascii="Wingdings" w:hAnsi="Wingdings" w:hint="default"/>
      </w:rPr>
    </w:lvl>
    <w:lvl w:ilvl="3" w:tplc="10090001" w:tentative="1">
      <w:start w:val="1"/>
      <w:numFmt w:val="bullet"/>
      <w:lvlText w:val=""/>
      <w:lvlJc w:val="left"/>
      <w:pPr>
        <w:ind w:left="3640" w:hanging="360"/>
      </w:pPr>
      <w:rPr>
        <w:rFonts w:ascii="Symbol" w:hAnsi="Symbol" w:hint="default"/>
      </w:rPr>
    </w:lvl>
    <w:lvl w:ilvl="4" w:tplc="10090003" w:tentative="1">
      <w:start w:val="1"/>
      <w:numFmt w:val="bullet"/>
      <w:lvlText w:val="o"/>
      <w:lvlJc w:val="left"/>
      <w:pPr>
        <w:ind w:left="4360" w:hanging="360"/>
      </w:pPr>
      <w:rPr>
        <w:rFonts w:ascii="Courier New" w:hAnsi="Courier New" w:cs="Courier New" w:hint="default"/>
      </w:rPr>
    </w:lvl>
    <w:lvl w:ilvl="5" w:tplc="10090005" w:tentative="1">
      <w:start w:val="1"/>
      <w:numFmt w:val="bullet"/>
      <w:lvlText w:val=""/>
      <w:lvlJc w:val="left"/>
      <w:pPr>
        <w:ind w:left="5080" w:hanging="360"/>
      </w:pPr>
      <w:rPr>
        <w:rFonts w:ascii="Wingdings" w:hAnsi="Wingdings" w:hint="default"/>
      </w:rPr>
    </w:lvl>
    <w:lvl w:ilvl="6" w:tplc="10090001" w:tentative="1">
      <w:start w:val="1"/>
      <w:numFmt w:val="bullet"/>
      <w:lvlText w:val=""/>
      <w:lvlJc w:val="left"/>
      <w:pPr>
        <w:ind w:left="5800" w:hanging="360"/>
      </w:pPr>
      <w:rPr>
        <w:rFonts w:ascii="Symbol" w:hAnsi="Symbol" w:hint="default"/>
      </w:rPr>
    </w:lvl>
    <w:lvl w:ilvl="7" w:tplc="10090003" w:tentative="1">
      <w:start w:val="1"/>
      <w:numFmt w:val="bullet"/>
      <w:lvlText w:val="o"/>
      <w:lvlJc w:val="left"/>
      <w:pPr>
        <w:ind w:left="6520" w:hanging="360"/>
      </w:pPr>
      <w:rPr>
        <w:rFonts w:ascii="Courier New" w:hAnsi="Courier New" w:cs="Courier New" w:hint="default"/>
      </w:rPr>
    </w:lvl>
    <w:lvl w:ilvl="8" w:tplc="10090005" w:tentative="1">
      <w:start w:val="1"/>
      <w:numFmt w:val="bullet"/>
      <w:lvlText w:val=""/>
      <w:lvlJc w:val="left"/>
      <w:pPr>
        <w:ind w:left="7240" w:hanging="360"/>
      </w:pPr>
      <w:rPr>
        <w:rFonts w:ascii="Wingdings" w:hAnsi="Wingdings" w:hint="default"/>
      </w:rPr>
    </w:lvl>
  </w:abstractNum>
  <w:abstractNum w:abstractNumId="9" w15:restartNumberingAfterBreak="0">
    <w:nsid w:val="70B517C2"/>
    <w:multiLevelType w:val="hybridMultilevel"/>
    <w:tmpl w:val="FC3AF5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4903A4"/>
    <w:multiLevelType w:val="hybridMultilevel"/>
    <w:tmpl w:val="F61633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FF81428"/>
    <w:multiLevelType w:val="multilevel"/>
    <w:tmpl w:val="E022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2836389">
    <w:abstractNumId w:val="6"/>
  </w:num>
  <w:num w:numId="2" w16cid:durableId="787702876">
    <w:abstractNumId w:val="4"/>
  </w:num>
  <w:num w:numId="3" w16cid:durableId="2036804410">
    <w:abstractNumId w:val="5"/>
  </w:num>
  <w:num w:numId="4" w16cid:durableId="886452296">
    <w:abstractNumId w:val="7"/>
  </w:num>
  <w:num w:numId="5" w16cid:durableId="1253010744">
    <w:abstractNumId w:val="11"/>
  </w:num>
  <w:num w:numId="6" w16cid:durableId="2035764910">
    <w:abstractNumId w:val="8"/>
  </w:num>
  <w:num w:numId="7" w16cid:durableId="661544492">
    <w:abstractNumId w:val="3"/>
  </w:num>
  <w:num w:numId="8" w16cid:durableId="87071">
    <w:abstractNumId w:val="1"/>
  </w:num>
  <w:num w:numId="9" w16cid:durableId="862746184">
    <w:abstractNumId w:val="10"/>
  </w:num>
  <w:num w:numId="10" w16cid:durableId="2040275406">
    <w:abstractNumId w:val="9"/>
  </w:num>
  <w:num w:numId="11" w16cid:durableId="976691265">
    <w:abstractNumId w:val="2"/>
  </w:num>
  <w:num w:numId="12" w16cid:durableId="1978488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C4"/>
    <w:rsid w:val="0003160E"/>
    <w:rsid w:val="00040C01"/>
    <w:rsid w:val="00063779"/>
    <w:rsid w:val="00087E08"/>
    <w:rsid w:val="000C0819"/>
    <w:rsid w:val="000D1409"/>
    <w:rsid w:val="000E0111"/>
    <w:rsid w:val="001076F2"/>
    <w:rsid w:val="00137DBC"/>
    <w:rsid w:val="00144E04"/>
    <w:rsid w:val="001C6580"/>
    <w:rsid w:val="001D3239"/>
    <w:rsid w:val="00201E05"/>
    <w:rsid w:val="002756FF"/>
    <w:rsid w:val="002E68FC"/>
    <w:rsid w:val="003150C4"/>
    <w:rsid w:val="00351EFD"/>
    <w:rsid w:val="0036109C"/>
    <w:rsid w:val="003844DF"/>
    <w:rsid w:val="003B157B"/>
    <w:rsid w:val="003B706D"/>
    <w:rsid w:val="004D1E35"/>
    <w:rsid w:val="004D492C"/>
    <w:rsid w:val="0052263D"/>
    <w:rsid w:val="0055070B"/>
    <w:rsid w:val="0066432E"/>
    <w:rsid w:val="006B613B"/>
    <w:rsid w:val="00727B45"/>
    <w:rsid w:val="0080544A"/>
    <w:rsid w:val="00836506"/>
    <w:rsid w:val="008B2435"/>
    <w:rsid w:val="008C1A95"/>
    <w:rsid w:val="00901D7B"/>
    <w:rsid w:val="00915B33"/>
    <w:rsid w:val="00927926"/>
    <w:rsid w:val="009E591D"/>
    <w:rsid w:val="00A54AD6"/>
    <w:rsid w:val="00B028FA"/>
    <w:rsid w:val="00B20DC7"/>
    <w:rsid w:val="00BF7250"/>
    <w:rsid w:val="00C12574"/>
    <w:rsid w:val="00C12DEF"/>
    <w:rsid w:val="00CB79F3"/>
    <w:rsid w:val="00D0488E"/>
    <w:rsid w:val="00D53B70"/>
    <w:rsid w:val="00D71597"/>
    <w:rsid w:val="00DC71B8"/>
    <w:rsid w:val="00DE7122"/>
    <w:rsid w:val="00E25B62"/>
    <w:rsid w:val="00E40F11"/>
    <w:rsid w:val="00E42FDD"/>
    <w:rsid w:val="00E43C6A"/>
    <w:rsid w:val="00E6630D"/>
    <w:rsid w:val="00E771B3"/>
    <w:rsid w:val="00F85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15C2"/>
  <w15:chartTrackingRefBased/>
  <w15:docId w15:val="{D2EDBAD0-8A60-4E57-AE54-70678657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574"/>
  </w:style>
  <w:style w:type="paragraph" w:styleId="Heading1">
    <w:name w:val="heading 1"/>
    <w:basedOn w:val="Normal"/>
    <w:next w:val="Normal"/>
    <w:link w:val="Heading1Char"/>
    <w:uiPriority w:val="9"/>
    <w:qFormat/>
    <w:rsid w:val="001D3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B70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23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3239"/>
    <w:pPr>
      <w:outlineLvl w:val="9"/>
    </w:pPr>
    <w:rPr>
      <w:lang w:val="en-US"/>
    </w:rPr>
  </w:style>
  <w:style w:type="paragraph" w:styleId="NormalWeb">
    <w:name w:val="Normal (Web)"/>
    <w:basedOn w:val="Normal"/>
    <w:uiPriority w:val="99"/>
    <w:unhideWhenUsed/>
    <w:rsid w:val="001D323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D3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239"/>
  </w:style>
  <w:style w:type="paragraph" w:styleId="Footer">
    <w:name w:val="footer"/>
    <w:basedOn w:val="Normal"/>
    <w:link w:val="FooterChar"/>
    <w:uiPriority w:val="99"/>
    <w:unhideWhenUsed/>
    <w:rsid w:val="001D3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239"/>
  </w:style>
  <w:style w:type="paragraph" w:styleId="Caption">
    <w:name w:val="caption"/>
    <w:basedOn w:val="Normal"/>
    <w:next w:val="Normal"/>
    <w:uiPriority w:val="35"/>
    <w:unhideWhenUsed/>
    <w:qFormat/>
    <w:rsid w:val="001D3239"/>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D3239"/>
    <w:pPr>
      <w:spacing w:after="0"/>
    </w:pPr>
  </w:style>
  <w:style w:type="character" w:styleId="Hyperlink">
    <w:name w:val="Hyperlink"/>
    <w:basedOn w:val="DefaultParagraphFont"/>
    <w:uiPriority w:val="99"/>
    <w:unhideWhenUsed/>
    <w:rsid w:val="001D3239"/>
    <w:rPr>
      <w:color w:val="0563C1" w:themeColor="hyperlink"/>
      <w:u w:val="single"/>
    </w:rPr>
  </w:style>
  <w:style w:type="paragraph" w:styleId="ListParagraph">
    <w:name w:val="List Paragraph"/>
    <w:basedOn w:val="Normal"/>
    <w:uiPriority w:val="34"/>
    <w:qFormat/>
    <w:rsid w:val="00D71597"/>
    <w:pPr>
      <w:spacing w:after="0" w:line="240" w:lineRule="auto"/>
      <w:ind w:left="720"/>
      <w:contextualSpacing/>
    </w:pPr>
    <w:rPr>
      <w:rFonts w:eastAsia="Times New Roman" w:cs="Times New Roman"/>
      <w:szCs w:val="24"/>
      <w:lang w:val="fr-CA" w:eastAsia="fr-CA"/>
    </w:rPr>
  </w:style>
  <w:style w:type="table" w:styleId="GridTable2">
    <w:name w:val="Grid Table 2"/>
    <w:basedOn w:val="TableNormal"/>
    <w:uiPriority w:val="47"/>
    <w:rsid w:val="00D715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0">
    <w:name w:val="c0"/>
    <w:basedOn w:val="DefaultParagraphFont"/>
    <w:rsid w:val="00D71597"/>
  </w:style>
  <w:style w:type="character" w:customStyle="1" w:styleId="Heading4Char">
    <w:name w:val="Heading 4 Char"/>
    <w:basedOn w:val="DefaultParagraphFont"/>
    <w:link w:val="Heading4"/>
    <w:uiPriority w:val="9"/>
    <w:semiHidden/>
    <w:rsid w:val="003B706D"/>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063779"/>
    <w:pPr>
      <w:spacing w:after="100"/>
    </w:pPr>
  </w:style>
  <w:style w:type="character" w:styleId="CommentReference">
    <w:name w:val="annotation reference"/>
    <w:basedOn w:val="DefaultParagraphFont"/>
    <w:uiPriority w:val="99"/>
    <w:semiHidden/>
    <w:unhideWhenUsed/>
    <w:rsid w:val="000C0819"/>
    <w:rPr>
      <w:sz w:val="16"/>
      <w:szCs w:val="16"/>
    </w:rPr>
  </w:style>
  <w:style w:type="paragraph" w:styleId="CommentText">
    <w:name w:val="annotation text"/>
    <w:basedOn w:val="Normal"/>
    <w:link w:val="CommentTextChar"/>
    <w:uiPriority w:val="99"/>
    <w:unhideWhenUsed/>
    <w:rsid w:val="000C0819"/>
    <w:pPr>
      <w:spacing w:line="240" w:lineRule="auto"/>
    </w:pPr>
    <w:rPr>
      <w:sz w:val="20"/>
      <w:szCs w:val="20"/>
    </w:rPr>
  </w:style>
  <w:style w:type="character" w:customStyle="1" w:styleId="CommentTextChar">
    <w:name w:val="Comment Text Char"/>
    <w:basedOn w:val="DefaultParagraphFont"/>
    <w:link w:val="CommentText"/>
    <w:uiPriority w:val="99"/>
    <w:rsid w:val="000C0819"/>
    <w:rPr>
      <w:sz w:val="20"/>
      <w:szCs w:val="20"/>
    </w:rPr>
  </w:style>
  <w:style w:type="paragraph" w:styleId="BalloonText">
    <w:name w:val="Balloon Text"/>
    <w:basedOn w:val="Normal"/>
    <w:link w:val="BalloonTextChar"/>
    <w:uiPriority w:val="99"/>
    <w:semiHidden/>
    <w:unhideWhenUsed/>
    <w:rsid w:val="000C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8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0819"/>
    <w:rPr>
      <w:b/>
      <w:bCs/>
    </w:rPr>
  </w:style>
  <w:style w:type="character" w:customStyle="1" w:styleId="CommentSubjectChar">
    <w:name w:val="Comment Subject Char"/>
    <w:basedOn w:val="CommentTextChar"/>
    <w:link w:val="CommentSubject"/>
    <w:uiPriority w:val="99"/>
    <w:semiHidden/>
    <w:rsid w:val="000C0819"/>
    <w:rPr>
      <w:b/>
      <w:bCs/>
      <w:sz w:val="20"/>
      <w:szCs w:val="20"/>
    </w:rPr>
  </w:style>
  <w:style w:type="table" w:styleId="TableGrid">
    <w:name w:val="Table Grid"/>
    <w:basedOn w:val="TableNormal"/>
    <w:uiPriority w:val="39"/>
    <w:rsid w:val="000C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01D7B"/>
    <w:pPr>
      <w:spacing w:before="200" w:after="0" w:line="240" w:lineRule="auto"/>
    </w:pPr>
    <w:rPr>
      <w:rFonts w:eastAsia="Times New Roman"/>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5929">
      <w:bodyDiv w:val="1"/>
      <w:marLeft w:val="0"/>
      <w:marRight w:val="0"/>
      <w:marTop w:val="0"/>
      <w:marBottom w:val="0"/>
      <w:divBdr>
        <w:top w:val="none" w:sz="0" w:space="0" w:color="auto"/>
        <w:left w:val="none" w:sz="0" w:space="0" w:color="auto"/>
        <w:bottom w:val="none" w:sz="0" w:space="0" w:color="auto"/>
        <w:right w:val="none" w:sz="0" w:space="0" w:color="auto"/>
      </w:divBdr>
    </w:div>
    <w:div w:id="894396262">
      <w:bodyDiv w:val="1"/>
      <w:marLeft w:val="0"/>
      <w:marRight w:val="0"/>
      <w:marTop w:val="0"/>
      <w:marBottom w:val="0"/>
      <w:divBdr>
        <w:top w:val="none" w:sz="0" w:space="0" w:color="auto"/>
        <w:left w:val="none" w:sz="0" w:space="0" w:color="auto"/>
        <w:bottom w:val="none" w:sz="0" w:space="0" w:color="auto"/>
        <w:right w:val="none" w:sz="0" w:space="0" w:color="auto"/>
      </w:divBdr>
    </w:div>
    <w:div w:id="1324428837">
      <w:bodyDiv w:val="1"/>
      <w:marLeft w:val="0"/>
      <w:marRight w:val="0"/>
      <w:marTop w:val="0"/>
      <w:marBottom w:val="0"/>
      <w:divBdr>
        <w:top w:val="none" w:sz="0" w:space="0" w:color="auto"/>
        <w:left w:val="none" w:sz="0" w:space="0" w:color="auto"/>
        <w:bottom w:val="none" w:sz="0" w:space="0" w:color="auto"/>
        <w:right w:val="none" w:sz="0" w:space="0" w:color="auto"/>
      </w:divBdr>
    </w:div>
    <w:div w:id="1345597000">
      <w:bodyDiv w:val="1"/>
      <w:marLeft w:val="0"/>
      <w:marRight w:val="0"/>
      <w:marTop w:val="0"/>
      <w:marBottom w:val="0"/>
      <w:divBdr>
        <w:top w:val="none" w:sz="0" w:space="0" w:color="auto"/>
        <w:left w:val="none" w:sz="0" w:space="0" w:color="auto"/>
        <w:bottom w:val="none" w:sz="0" w:space="0" w:color="auto"/>
        <w:right w:val="none" w:sz="0" w:space="0" w:color="auto"/>
      </w:divBdr>
    </w:div>
    <w:div w:id="1537742482">
      <w:bodyDiv w:val="1"/>
      <w:marLeft w:val="0"/>
      <w:marRight w:val="0"/>
      <w:marTop w:val="0"/>
      <w:marBottom w:val="0"/>
      <w:divBdr>
        <w:top w:val="none" w:sz="0" w:space="0" w:color="auto"/>
        <w:left w:val="none" w:sz="0" w:space="0" w:color="auto"/>
        <w:bottom w:val="none" w:sz="0" w:space="0" w:color="auto"/>
        <w:right w:val="none" w:sz="0" w:space="0" w:color="auto"/>
      </w:divBdr>
      <w:divsChild>
        <w:div w:id="810754660">
          <w:marLeft w:val="0"/>
          <w:marRight w:val="0"/>
          <w:marTop w:val="0"/>
          <w:marBottom w:val="0"/>
          <w:divBdr>
            <w:top w:val="none" w:sz="0" w:space="0" w:color="auto"/>
            <w:left w:val="none" w:sz="0" w:space="0" w:color="auto"/>
            <w:bottom w:val="none" w:sz="0" w:space="0" w:color="auto"/>
            <w:right w:val="none" w:sz="0" w:space="0" w:color="auto"/>
          </w:divBdr>
        </w:div>
      </w:divsChild>
    </w:div>
    <w:div w:id="175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031F-5A4A-489B-A6D4-B51DCF6C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Lazarescu, Calin (PHAC/ASPC)</dc:creator>
  <cp:keywords/>
  <dc:description/>
  <cp:lastModifiedBy>Lazarescu, Calin (PHAC/ASPC)</cp:lastModifiedBy>
  <cp:revision>14</cp:revision>
  <dcterms:created xsi:type="dcterms:W3CDTF">2023-01-09T16:41:00Z</dcterms:created>
  <dcterms:modified xsi:type="dcterms:W3CDTF">2023-08-09T17:40:00Z</dcterms:modified>
</cp:coreProperties>
</file>