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8DD48" w14:textId="77777777" w:rsidR="00BE340E" w:rsidRPr="00163902" w:rsidRDefault="00BE340E" w:rsidP="00565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63902">
        <w:rPr>
          <w:rFonts w:ascii="Times New Roman" w:hAnsi="Times New Roman"/>
          <w:sz w:val="24"/>
          <w:szCs w:val="24"/>
          <w:lang w:val="en-US"/>
        </w:rPr>
        <w:t>S</w:t>
      </w:r>
      <w:bookmarkStart w:id="0" w:name="_GoBack"/>
      <w:bookmarkEnd w:id="0"/>
      <w:r w:rsidRPr="00163902">
        <w:rPr>
          <w:rFonts w:ascii="Times New Roman" w:hAnsi="Times New Roman"/>
          <w:sz w:val="24"/>
          <w:szCs w:val="24"/>
          <w:lang w:val="en-US"/>
        </w:rPr>
        <w:t>upplementary Table 1: Acute malnutrition among children assessed through existing active and passive screening schemes, disaggregated by sex.</w:t>
      </w:r>
    </w:p>
    <w:p w14:paraId="559DD7DD" w14:textId="77777777" w:rsidR="00BE340E" w:rsidRPr="00163902" w:rsidRDefault="00BE340E" w:rsidP="00565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2411"/>
        <w:gridCol w:w="1276"/>
        <w:gridCol w:w="1275"/>
        <w:gridCol w:w="1357"/>
        <w:gridCol w:w="1478"/>
        <w:gridCol w:w="1276"/>
        <w:gridCol w:w="1418"/>
      </w:tblGrid>
      <w:tr w:rsidR="00163902" w:rsidRPr="00163902" w14:paraId="2E4DAD35" w14:textId="77777777" w:rsidTr="00C67884">
        <w:tc>
          <w:tcPr>
            <w:tcW w:w="2411" w:type="dxa"/>
            <w:vMerge w:val="restart"/>
            <w:vAlign w:val="center"/>
          </w:tcPr>
          <w:p w14:paraId="236F28C8" w14:textId="77777777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8" w:type="dxa"/>
            <w:gridSpan w:val="3"/>
            <w:vAlign w:val="center"/>
          </w:tcPr>
          <w:p w14:paraId="7A7C3EEB" w14:textId="77777777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Active screening in the community</w:t>
            </w:r>
          </w:p>
          <w:p w14:paraId="0B86BB67" w14:textId="3B2908BE" w:rsidR="00BE340E" w:rsidRPr="00163902" w:rsidRDefault="00EA62C4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by 40 CHWs *</w:t>
            </w:r>
          </w:p>
        </w:tc>
        <w:tc>
          <w:tcPr>
            <w:tcW w:w="4172" w:type="dxa"/>
            <w:gridSpan w:val="3"/>
            <w:vAlign w:val="center"/>
          </w:tcPr>
          <w:p w14:paraId="4AD025F9" w14:textId="77777777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Passive screening in the 22 OTP sites</w:t>
            </w:r>
          </w:p>
        </w:tc>
      </w:tr>
      <w:tr w:rsidR="00163902" w:rsidRPr="00163902" w14:paraId="28B0A41F" w14:textId="77777777" w:rsidTr="00C67884">
        <w:tc>
          <w:tcPr>
            <w:tcW w:w="2411" w:type="dxa"/>
            <w:vMerge/>
            <w:vAlign w:val="center"/>
          </w:tcPr>
          <w:p w14:paraId="74FA855F" w14:textId="77777777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DB736A" w14:textId="77777777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6-59 months</w:t>
            </w:r>
          </w:p>
        </w:tc>
        <w:tc>
          <w:tcPr>
            <w:tcW w:w="1275" w:type="dxa"/>
            <w:vAlign w:val="center"/>
          </w:tcPr>
          <w:p w14:paraId="02E7848D" w14:textId="77777777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357" w:type="dxa"/>
            <w:vAlign w:val="center"/>
          </w:tcPr>
          <w:p w14:paraId="06D4BCF0" w14:textId="77777777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478" w:type="dxa"/>
            <w:vAlign w:val="center"/>
          </w:tcPr>
          <w:p w14:paraId="2A610102" w14:textId="77777777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6-59 months</w:t>
            </w:r>
          </w:p>
        </w:tc>
        <w:tc>
          <w:tcPr>
            <w:tcW w:w="1276" w:type="dxa"/>
            <w:vAlign w:val="center"/>
          </w:tcPr>
          <w:p w14:paraId="66706E93" w14:textId="77777777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418" w:type="dxa"/>
            <w:vAlign w:val="center"/>
          </w:tcPr>
          <w:p w14:paraId="024EEB97" w14:textId="77777777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</w:tr>
      <w:tr w:rsidR="00163902" w:rsidRPr="00163902" w14:paraId="64CD4F45" w14:textId="77777777" w:rsidTr="00C67884">
        <w:tc>
          <w:tcPr>
            <w:tcW w:w="2411" w:type="dxa"/>
            <w:vAlign w:val="center"/>
          </w:tcPr>
          <w:p w14:paraId="1B950FCF" w14:textId="77777777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Number of children, N (%)</w:t>
            </w:r>
          </w:p>
        </w:tc>
        <w:tc>
          <w:tcPr>
            <w:tcW w:w="1276" w:type="dxa"/>
            <w:vAlign w:val="center"/>
          </w:tcPr>
          <w:p w14:paraId="408C3AD0" w14:textId="77777777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4445 (100)</w:t>
            </w:r>
          </w:p>
        </w:tc>
        <w:tc>
          <w:tcPr>
            <w:tcW w:w="1275" w:type="dxa"/>
            <w:vAlign w:val="center"/>
          </w:tcPr>
          <w:p w14:paraId="5EB90365" w14:textId="77777777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2340 (52.6)</w:t>
            </w:r>
          </w:p>
        </w:tc>
        <w:tc>
          <w:tcPr>
            <w:tcW w:w="1357" w:type="dxa"/>
            <w:vAlign w:val="center"/>
          </w:tcPr>
          <w:p w14:paraId="7AC41E9E" w14:textId="77777777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2105 (47.4)</w:t>
            </w:r>
          </w:p>
        </w:tc>
        <w:tc>
          <w:tcPr>
            <w:tcW w:w="1478" w:type="dxa"/>
            <w:vAlign w:val="center"/>
          </w:tcPr>
          <w:p w14:paraId="50D786F0" w14:textId="77777777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8202 (100)</w:t>
            </w:r>
          </w:p>
        </w:tc>
        <w:tc>
          <w:tcPr>
            <w:tcW w:w="1276" w:type="dxa"/>
            <w:vAlign w:val="center"/>
          </w:tcPr>
          <w:p w14:paraId="7760829F" w14:textId="77777777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4252 (51.8)</w:t>
            </w:r>
          </w:p>
        </w:tc>
        <w:tc>
          <w:tcPr>
            <w:tcW w:w="1418" w:type="dxa"/>
            <w:vAlign w:val="center"/>
          </w:tcPr>
          <w:p w14:paraId="4C7FFB02" w14:textId="77777777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3950 (48.2)</w:t>
            </w:r>
          </w:p>
        </w:tc>
      </w:tr>
      <w:tr w:rsidR="00163902" w:rsidRPr="00163902" w14:paraId="54E03FD7" w14:textId="77777777" w:rsidTr="00C67884">
        <w:tc>
          <w:tcPr>
            <w:tcW w:w="2411" w:type="dxa"/>
            <w:vAlign w:val="center"/>
          </w:tcPr>
          <w:p w14:paraId="3366F836" w14:textId="39C9DC3F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&lt;24 months, %</w:t>
            </w:r>
            <w:r w:rsidR="009457B5" w:rsidRPr="00163902">
              <w:rPr>
                <w:rFonts w:ascii="Times New Roman" w:hAnsi="Times New Roman"/>
                <w:sz w:val="20"/>
                <w:szCs w:val="20"/>
              </w:rPr>
              <w:t xml:space="preserve"> (N)</w:t>
            </w:r>
          </w:p>
        </w:tc>
        <w:tc>
          <w:tcPr>
            <w:tcW w:w="1276" w:type="dxa"/>
            <w:vAlign w:val="center"/>
          </w:tcPr>
          <w:p w14:paraId="104D09E9" w14:textId="2FEA6D7E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27.7</w:t>
            </w:r>
            <w:r w:rsidR="009457B5" w:rsidRPr="00163902">
              <w:rPr>
                <w:rFonts w:ascii="Times New Roman" w:hAnsi="Times New Roman"/>
                <w:sz w:val="20"/>
                <w:szCs w:val="20"/>
              </w:rPr>
              <w:t xml:space="preserve"> (1229)</w:t>
            </w:r>
          </w:p>
        </w:tc>
        <w:tc>
          <w:tcPr>
            <w:tcW w:w="1275" w:type="dxa"/>
            <w:vAlign w:val="center"/>
          </w:tcPr>
          <w:p w14:paraId="7681DE66" w14:textId="4E7E4470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26.7</w:t>
            </w:r>
            <w:r w:rsidR="00984CD8" w:rsidRPr="00163902">
              <w:rPr>
                <w:rFonts w:ascii="Times New Roman" w:hAnsi="Times New Roman"/>
                <w:sz w:val="20"/>
                <w:szCs w:val="20"/>
              </w:rPr>
              <w:t xml:space="preserve"> (624)</w:t>
            </w:r>
          </w:p>
        </w:tc>
        <w:tc>
          <w:tcPr>
            <w:tcW w:w="1357" w:type="dxa"/>
            <w:vAlign w:val="center"/>
          </w:tcPr>
          <w:p w14:paraId="6F3DD614" w14:textId="187E83B2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28.7</w:t>
            </w:r>
            <w:r w:rsidR="00984CD8" w:rsidRPr="00163902">
              <w:rPr>
                <w:rFonts w:ascii="Times New Roman" w:hAnsi="Times New Roman"/>
                <w:sz w:val="20"/>
                <w:szCs w:val="20"/>
              </w:rPr>
              <w:t xml:space="preserve"> (605)</w:t>
            </w:r>
          </w:p>
        </w:tc>
        <w:tc>
          <w:tcPr>
            <w:tcW w:w="1478" w:type="dxa"/>
            <w:vAlign w:val="center"/>
          </w:tcPr>
          <w:p w14:paraId="324AB42E" w14:textId="663C77A5" w:rsidR="00BE340E" w:rsidRPr="00163902" w:rsidRDefault="00BE340E" w:rsidP="00E955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45.7 (</w:t>
            </w:r>
            <w:r w:rsidR="00E955AE" w:rsidRPr="00163902">
              <w:rPr>
                <w:rFonts w:ascii="Times New Roman" w:hAnsi="Times New Roman"/>
                <w:sz w:val="20"/>
                <w:szCs w:val="20"/>
              </w:rPr>
              <w:t>3747</w:t>
            </w:r>
            <w:r w:rsidRPr="0016390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EA62C4" w:rsidRPr="00163902">
              <w:rPr>
                <w:rFonts w:ascii="Times New Roman" w:hAnsi="Times New Roman"/>
                <w:sz w:val="24"/>
                <w:szCs w:val="24"/>
              </w:rPr>
              <w:t>‡</w:t>
            </w:r>
          </w:p>
        </w:tc>
        <w:tc>
          <w:tcPr>
            <w:tcW w:w="1276" w:type="dxa"/>
            <w:vAlign w:val="center"/>
          </w:tcPr>
          <w:p w14:paraId="76EF0660" w14:textId="2AB13719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45.9</w:t>
            </w:r>
            <w:r w:rsidR="009457B5" w:rsidRPr="00163902">
              <w:rPr>
                <w:rFonts w:ascii="Times New Roman" w:hAnsi="Times New Roman"/>
                <w:sz w:val="20"/>
                <w:szCs w:val="20"/>
              </w:rPr>
              <w:t xml:space="preserve"> (1951)</w:t>
            </w:r>
          </w:p>
        </w:tc>
        <w:tc>
          <w:tcPr>
            <w:tcW w:w="1418" w:type="dxa"/>
            <w:vAlign w:val="center"/>
          </w:tcPr>
          <w:p w14:paraId="4AD47D85" w14:textId="45623181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45.5</w:t>
            </w:r>
            <w:r w:rsidR="009457B5" w:rsidRPr="00163902">
              <w:rPr>
                <w:rFonts w:ascii="Times New Roman" w:hAnsi="Times New Roman"/>
                <w:sz w:val="20"/>
                <w:szCs w:val="20"/>
              </w:rPr>
              <w:t xml:space="preserve"> (1796)</w:t>
            </w:r>
          </w:p>
        </w:tc>
      </w:tr>
      <w:tr w:rsidR="00163902" w:rsidRPr="00163902" w14:paraId="0E8B5EF5" w14:textId="77777777" w:rsidTr="00C67884">
        <w:tc>
          <w:tcPr>
            <w:tcW w:w="2411" w:type="dxa"/>
            <w:vAlign w:val="center"/>
          </w:tcPr>
          <w:p w14:paraId="39FE03DB" w14:textId="10139530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GAM, %</w:t>
            </w:r>
            <w:r w:rsidR="00E955AE" w:rsidRPr="00163902">
              <w:rPr>
                <w:rFonts w:ascii="Times New Roman" w:hAnsi="Times New Roman"/>
                <w:sz w:val="20"/>
                <w:szCs w:val="20"/>
              </w:rPr>
              <w:t xml:space="preserve"> (N)</w:t>
            </w:r>
          </w:p>
        </w:tc>
        <w:tc>
          <w:tcPr>
            <w:tcW w:w="1276" w:type="dxa"/>
            <w:vAlign w:val="center"/>
          </w:tcPr>
          <w:p w14:paraId="60E6BFD9" w14:textId="0F5258AE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32.7</w:t>
            </w:r>
            <w:r w:rsidR="00984CD8" w:rsidRPr="00163902">
              <w:rPr>
                <w:rFonts w:ascii="Times New Roman" w:hAnsi="Times New Roman"/>
                <w:sz w:val="20"/>
                <w:szCs w:val="20"/>
              </w:rPr>
              <w:t xml:space="preserve"> (1455)</w:t>
            </w:r>
          </w:p>
        </w:tc>
        <w:tc>
          <w:tcPr>
            <w:tcW w:w="1275" w:type="dxa"/>
            <w:vAlign w:val="center"/>
          </w:tcPr>
          <w:p w14:paraId="0F5AD920" w14:textId="3F9D5D8B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33.2</w:t>
            </w:r>
            <w:r w:rsidR="00984CD8" w:rsidRPr="00163902">
              <w:rPr>
                <w:rFonts w:ascii="Times New Roman" w:hAnsi="Times New Roman"/>
                <w:sz w:val="20"/>
                <w:szCs w:val="20"/>
              </w:rPr>
              <w:t xml:space="preserve"> (776)</w:t>
            </w:r>
          </w:p>
        </w:tc>
        <w:tc>
          <w:tcPr>
            <w:tcW w:w="1357" w:type="dxa"/>
            <w:vAlign w:val="center"/>
          </w:tcPr>
          <w:p w14:paraId="2B486CAE" w14:textId="7A07BF96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32.3</w:t>
            </w:r>
            <w:r w:rsidR="00984CD8" w:rsidRPr="00163902">
              <w:rPr>
                <w:rFonts w:ascii="Times New Roman" w:hAnsi="Times New Roman"/>
                <w:sz w:val="20"/>
                <w:szCs w:val="20"/>
              </w:rPr>
              <w:t xml:space="preserve"> (679)</w:t>
            </w:r>
          </w:p>
        </w:tc>
        <w:tc>
          <w:tcPr>
            <w:tcW w:w="1478" w:type="dxa"/>
            <w:vAlign w:val="center"/>
          </w:tcPr>
          <w:p w14:paraId="147E10B4" w14:textId="1E42EB74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 xml:space="preserve">49.0 </w:t>
            </w:r>
            <w:r w:rsidR="00E955AE" w:rsidRPr="00163902">
              <w:rPr>
                <w:rFonts w:ascii="Times New Roman" w:hAnsi="Times New Roman"/>
                <w:sz w:val="20"/>
                <w:szCs w:val="20"/>
              </w:rPr>
              <w:t>(4018)</w:t>
            </w:r>
            <w:r w:rsidRPr="00163902">
              <w:rPr>
                <w:rFonts w:ascii="Times New Roman" w:hAnsi="Times New Roman"/>
                <w:sz w:val="20"/>
                <w:szCs w:val="20"/>
              </w:rPr>
              <w:t>†</w:t>
            </w:r>
          </w:p>
        </w:tc>
        <w:tc>
          <w:tcPr>
            <w:tcW w:w="1276" w:type="dxa"/>
            <w:vAlign w:val="center"/>
          </w:tcPr>
          <w:p w14:paraId="4353736D" w14:textId="3A922DD3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49.4</w:t>
            </w:r>
            <w:r w:rsidR="009457B5" w:rsidRPr="00163902">
              <w:rPr>
                <w:rFonts w:ascii="Times New Roman" w:hAnsi="Times New Roman"/>
                <w:sz w:val="20"/>
                <w:szCs w:val="20"/>
              </w:rPr>
              <w:t xml:space="preserve"> (2099)</w:t>
            </w:r>
          </w:p>
        </w:tc>
        <w:tc>
          <w:tcPr>
            <w:tcW w:w="1418" w:type="dxa"/>
            <w:vAlign w:val="center"/>
          </w:tcPr>
          <w:p w14:paraId="737FF29D" w14:textId="1BB8D65B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48.6</w:t>
            </w:r>
            <w:r w:rsidR="009457B5" w:rsidRPr="00163902">
              <w:rPr>
                <w:rFonts w:ascii="Times New Roman" w:hAnsi="Times New Roman"/>
                <w:sz w:val="20"/>
                <w:szCs w:val="20"/>
              </w:rPr>
              <w:t xml:space="preserve"> (1919)</w:t>
            </w:r>
          </w:p>
        </w:tc>
      </w:tr>
      <w:tr w:rsidR="00163902" w:rsidRPr="00163902" w14:paraId="62BC4BCD" w14:textId="77777777" w:rsidTr="00C67884">
        <w:tc>
          <w:tcPr>
            <w:tcW w:w="2411" w:type="dxa"/>
            <w:vAlign w:val="center"/>
          </w:tcPr>
          <w:p w14:paraId="04EB5D6E" w14:textId="77777777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SAM, % (N)</w:t>
            </w:r>
          </w:p>
        </w:tc>
        <w:tc>
          <w:tcPr>
            <w:tcW w:w="1276" w:type="dxa"/>
            <w:vAlign w:val="center"/>
          </w:tcPr>
          <w:p w14:paraId="546BF8BC" w14:textId="77777777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12.8 (567)</w:t>
            </w:r>
          </w:p>
        </w:tc>
        <w:tc>
          <w:tcPr>
            <w:tcW w:w="1275" w:type="dxa"/>
            <w:vAlign w:val="center"/>
          </w:tcPr>
          <w:p w14:paraId="4D3231D7" w14:textId="77777777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13.7 (321)</w:t>
            </w:r>
          </w:p>
        </w:tc>
        <w:tc>
          <w:tcPr>
            <w:tcW w:w="1357" w:type="dxa"/>
            <w:vAlign w:val="center"/>
          </w:tcPr>
          <w:p w14:paraId="19AEF460" w14:textId="7517866A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11.7 (246)</w:t>
            </w:r>
            <w:r w:rsidR="00EA62C4" w:rsidRPr="00163902">
              <w:rPr>
                <w:rFonts w:ascii="Times New Roman" w:hAnsi="Times New Roman"/>
                <w:sz w:val="24"/>
                <w:szCs w:val="24"/>
              </w:rPr>
              <w:t xml:space="preserve"> †</w:t>
            </w:r>
          </w:p>
        </w:tc>
        <w:tc>
          <w:tcPr>
            <w:tcW w:w="1478" w:type="dxa"/>
            <w:vAlign w:val="center"/>
          </w:tcPr>
          <w:p w14:paraId="67E1D699" w14:textId="07110888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 xml:space="preserve">20.7 (1698) </w:t>
            </w:r>
            <w:r w:rsidR="00EA62C4" w:rsidRPr="00163902">
              <w:rPr>
                <w:rFonts w:ascii="Times New Roman" w:hAnsi="Times New Roman"/>
                <w:sz w:val="24"/>
                <w:szCs w:val="24"/>
              </w:rPr>
              <w:t>‡</w:t>
            </w:r>
          </w:p>
        </w:tc>
        <w:tc>
          <w:tcPr>
            <w:tcW w:w="1276" w:type="dxa"/>
            <w:vAlign w:val="center"/>
          </w:tcPr>
          <w:p w14:paraId="5DF28F9C" w14:textId="77777777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21.7 (924)</w:t>
            </w:r>
          </w:p>
        </w:tc>
        <w:tc>
          <w:tcPr>
            <w:tcW w:w="1418" w:type="dxa"/>
            <w:vAlign w:val="center"/>
          </w:tcPr>
          <w:p w14:paraId="3D7C4052" w14:textId="7AB3D106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19.6 (774)</w:t>
            </w:r>
            <w:r w:rsidR="00EA62C4" w:rsidRPr="00163902">
              <w:rPr>
                <w:rFonts w:ascii="Times New Roman" w:hAnsi="Times New Roman"/>
                <w:sz w:val="24"/>
                <w:szCs w:val="24"/>
              </w:rPr>
              <w:t xml:space="preserve"> †</w:t>
            </w:r>
          </w:p>
        </w:tc>
      </w:tr>
      <w:tr w:rsidR="00163902" w:rsidRPr="00163902" w14:paraId="66A0E7C0" w14:textId="77777777" w:rsidTr="00C67884">
        <w:tc>
          <w:tcPr>
            <w:tcW w:w="2411" w:type="dxa"/>
            <w:vAlign w:val="center"/>
          </w:tcPr>
          <w:p w14:paraId="6CB4D249" w14:textId="77777777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MUAC-only % (N)</w:t>
            </w:r>
          </w:p>
        </w:tc>
        <w:tc>
          <w:tcPr>
            <w:tcW w:w="1276" w:type="dxa"/>
            <w:vAlign w:val="center"/>
          </w:tcPr>
          <w:p w14:paraId="6FF41A0D" w14:textId="77777777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12.4 (70/567)</w:t>
            </w:r>
          </w:p>
        </w:tc>
        <w:tc>
          <w:tcPr>
            <w:tcW w:w="1275" w:type="dxa"/>
            <w:vAlign w:val="center"/>
          </w:tcPr>
          <w:p w14:paraId="02985558" w14:textId="77777777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8.1 (26/321)</w:t>
            </w:r>
          </w:p>
        </w:tc>
        <w:tc>
          <w:tcPr>
            <w:tcW w:w="1357" w:type="dxa"/>
            <w:vAlign w:val="center"/>
          </w:tcPr>
          <w:p w14:paraId="290EC4BF" w14:textId="2F9044F9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17.9 (44/246)</w:t>
            </w:r>
            <w:r w:rsidR="00EA62C4" w:rsidRPr="00163902">
              <w:rPr>
                <w:rFonts w:ascii="Times New Roman" w:hAnsi="Times New Roman"/>
                <w:sz w:val="24"/>
                <w:szCs w:val="24"/>
              </w:rPr>
              <w:t>†</w:t>
            </w:r>
          </w:p>
        </w:tc>
        <w:tc>
          <w:tcPr>
            <w:tcW w:w="1478" w:type="dxa"/>
            <w:vAlign w:val="center"/>
          </w:tcPr>
          <w:p w14:paraId="369E9A92" w14:textId="0C62394C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 xml:space="preserve">16.7 (284/1698) </w:t>
            </w:r>
            <w:r w:rsidR="00EA62C4" w:rsidRPr="00163902">
              <w:rPr>
                <w:rFonts w:ascii="Times New Roman" w:hAnsi="Times New Roman"/>
                <w:sz w:val="24"/>
                <w:szCs w:val="24"/>
              </w:rPr>
              <w:t>‡</w:t>
            </w:r>
          </w:p>
        </w:tc>
        <w:tc>
          <w:tcPr>
            <w:tcW w:w="1276" w:type="dxa"/>
            <w:vAlign w:val="center"/>
          </w:tcPr>
          <w:p w14:paraId="7D9CB2F2" w14:textId="77777777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10.3 (95/924)</w:t>
            </w:r>
          </w:p>
        </w:tc>
        <w:tc>
          <w:tcPr>
            <w:tcW w:w="1418" w:type="dxa"/>
            <w:vAlign w:val="center"/>
          </w:tcPr>
          <w:p w14:paraId="7F89DAEE" w14:textId="66021630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24.4 (189/774)</w:t>
            </w:r>
            <w:r w:rsidR="00EA62C4" w:rsidRPr="00163902">
              <w:rPr>
                <w:rFonts w:ascii="Times New Roman" w:hAnsi="Times New Roman"/>
                <w:sz w:val="24"/>
                <w:szCs w:val="24"/>
              </w:rPr>
              <w:t>†</w:t>
            </w:r>
          </w:p>
        </w:tc>
      </w:tr>
      <w:tr w:rsidR="00163902" w:rsidRPr="00163902" w14:paraId="6143826A" w14:textId="77777777" w:rsidTr="00C67884">
        <w:tc>
          <w:tcPr>
            <w:tcW w:w="2411" w:type="dxa"/>
            <w:vAlign w:val="center"/>
          </w:tcPr>
          <w:p w14:paraId="45E7A45D" w14:textId="77777777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Both criteria % (N)</w:t>
            </w:r>
          </w:p>
        </w:tc>
        <w:tc>
          <w:tcPr>
            <w:tcW w:w="1276" w:type="dxa"/>
            <w:vAlign w:val="center"/>
          </w:tcPr>
          <w:p w14:paraId="6299680A" w14:textId="77777777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4.3 (25/567)</w:t>
            </w:r>
          </w:p>
        </w:tc>
        <w:tc>
          <w:tcPr>
            <w:tcW w:w="1275" w:type="dxa"/>
            <w:vAlign w:val="center"/>
          </w:tcPr>
          <w:p w14:paraId="323922D2" w14:textId="77777777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3.1 (10/321)</w:t>
            </w:r>
          </w:p>
        </w:tc>
        <w:tc>
          <w:tcPr>
            <w:tcW w:w="1357" w:type="dxa"/>
            <w:vAlign w:val="center"/>
          </w:tcPr>
          <w:p w14:paraId="54F9AE4D" w14:textId="77777777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6.1 (15/246)</w:t>
            </w:r>
          </w:p>
        </w:tc>
        <w:tc>
          <w:tcPr>
            <w:tcW w:w="1478" w:type="dxa"/>
            <w:vAlign w:val="center"/>
          </w:tcPr>
          <w:p w14:paraId="09A09BEA" w14:textId="62419634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 xml:space="preserve">19.2 (325/1698) </w:t>
            </w:r>
            <w:r w:rsidR="00EA62C4" w:rsidRPr="00163902">
              <w:rPr>
                <w:rFonts w:ascii="Times New Roman" w:hAnsi="Times New Roman"/>
                <w:sz w:val="24"/>
                <w:szCs w:val="24"/>
              </w:rPr>
              <w:t>‡</w:t>
            </w:r>
          </w:p>
        </w:tc>
        <w:tc>
          <w:tcPr>
            <w:tcW w:w="1276" w:type="dxa"/>
            <w:vAlign w:val="center"/>
          </w:tcPr>
          <w:p w14:paraId="718A0E9C" w14:textId="77777777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15.6 (144/924)</w:t>
            </w:r>
          </w:p>
        </w:tc>
        <w:tc>
          <w:tcPr>
            <w:tcW w:w="1418" w:type="dxa"/>
            <w:vAlign w:val="center"/>
          </w:tcPr>
          <w:p w14:paraId="585F7620" w14:textId="7F28731A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23.4 (181/774)</w:t>
            </w:r>
            <w:r w:rsidR="00EA62C4" w:rsidRPr="00163902">
              <w:rPr>
                <w:rFonts w:ascii="Times New Roman" w:hAnsi="Times New Roman"/>
                <w:sz w:val="24"/>
                <w:szCs w:val="24"/>
              </w:rPr>
              <w:t>†</w:t>
            </w:r>
          </w:p>
        </w:tc>
      </w:tr>
      <w:tr w:rsidR="00163902" w:rsidRPr="00163902" w14:paraId="27BE635F" w14:textId="77777777" w:rsidTr="00C67884">
        <w:tc>
          <w:tcPr>
            <w:tcW w:w="2411" w:type="dxa"/>
            <w:vAlign w:val="center"/>
          </w:tcPr>
          <w:p w14:paraId="75EEFFB6" w14:textId="77777777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WHZ-only % (N)</w:t>
            </w:r>
          </w:p>
        </w:tc>
        <w:tc>
          <w:tcPr>
            <w:tcW w:w="1276" w:type="dxa"/>
            <w:vAlign w:val="center"/>
          </w:tcPr>
          <w:p w14:paraId="6CD4D5D6" w14:textId="77777777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83.3 (472/567)</w:t>
            </w:r>
          </w:p>
        </w:tc>
        <w:tc>
          <w:tcPr>
            <w:tcW w:w="1275" w:type="dxa"/>
            <w:vAlign w:val="center"/>
          </w:tcPr>
          <w:p w14:paraId="3C1C6229" w14:textId="77777777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88.8 (285/321)</w:t>
            </w:r>
          </w:p>
        </w:tc>
        <w:tc>
          <w:tcPr>
            <w:tcW w:w="1357" w:type="dxa"/>
            <w:vAlign w:val="center"/>
          </w:tcPr>
          <w:p w14:paraId="27EE9CA2" w14:textId="5DCE0E85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76.0 (187/246)</w:t>
            </w:r>
            <w:r w:rsidR="00EA62C4" w:rsidRPr="00163902">
              <w:rPr>
                <w:rFonts w:ascii="Times New Roman" w:hAnsi="Times New Roman"/>
                <w:sz w:val="24"/>
                <w:szCs w:val="24"/>
              </w:rPr>
              <w:t xml:space="preserve"> †</w:t>
            </w:r>
          </w:p>
        </w:tc>
        <w:tc>
          <w:tcPr>
            <w:tcW w:w="1478" w:type="dxa"/>
            <w:vAlign w:val="center"/>
          </w:tcPr>
          <w:p w14:paraId="07FBAF3F" w14:textId="6A5AA0E6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 xml:space="preserve">64.1 (1089/1698) </w:t>
            </w:r>
            <w:r w:rsidR="00EA62C4" w:rsidRPr="00163902">
              <w:rPr>
                <w:rFonts w:ascii="Times New Roman" w:hAnsi="Times New Roman"/>
                <w:sz w:val="24"/>
                <w:szCs w:val="24"/>
              </w:rPr>
              <w:t>‡</w:t>
            </w:r>
          </w:p>
        </w:tc>
        <w:tc>
          <w:tcPr>
            <w:tcW w:w="1276" w:type="dxa"/>
            <w:vAlign w:val="center"/>
          </w:tcPr>
          <w:p w14:paraId="5D7EC6CC" w14:textId="77777777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74.1 (685/924)</w:t>
            </w:r>
          </w:p>
        </w:tc>
        <w:tc>
          <w:tcPr>
            <w:tcW w:w="1418" w:type="dxa"/>
            <w:vAlign w:val="center"/>
          </w:tcPr>
          <w:p w14:paraId="639D61D0" w14:textId="57395D99" w:rsidR="00BE340E" w:rsidRPr="00163902" w:rsidRDefault="00BE340E" w:rsidP="00565D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02">
              <w:rPr>
                <w:rFonts w:ascii="Times New Roman" w:hAnsi="Times New Roman"/>
                <w:sz w:val="20"/>
                <w:szCs w:val="20"/>
              </w:rPr>
              <w:t>52.2 (404/774)</w:t>
            </w:r>
            <w:r w:rsidR="00EA62C4" w:rsidRPr="00163902">
              <w:rPr>
                <w:rFonts w:ascii="Times New Roman" w:hAnsi="Times New Roman"/>
                <w:sz w:val="24"/>
                <w:szCs w:val="24"/>
              </w:rPr>
              <w:t>†</w:t>
            </w:r>
          </w:p>
        </w:tc>
      </w:tr>
    </w:tbl>
    <w:p w14:paraId="4DF70230" w14:textId="77777777" w:rsidR="00BE340E" w:rsidRPr="00163902" w:rsidRDefault="00BE340E" w:rsidP="00565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81BBAA4" w14:textId="09F4326C" w:rsidR="00BE340E" w:rsidRPr="00163902" w:rsidRDefault="00BE340E" w:rsidP="00565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63902">
        <w:rPr>
          <w:rFonts w:ascii="Times New Roman" w:hAnsi="Times New Roman"/>
          <w:sz w:val="24"/>
          <w:szCs w:val="24"/>
          <w:lang w:val="en-US"/>
        </w:rPr>
        <w:t>Legend: CHW for Community Health Workers; OTP for Ou</w:t>
      </w:r>
      <w:r w:rsidR="00FD2309" w:rsidRPr="00163902">
        <w:rPr>
          <w:rFonts w:ascii="Times New Roman" w:hAnsi="Times New Roman"/>
          <w:sz w:val="24"/>
          <w:szCs w:val="24"/>
          <w:lang w:val="en-US"/>
        </w:rPr>
        <w:t>tpatient Treatment Program; GAM</w:t>
      </w:r>
      <w:r w:rsidRPr="0016390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D2309" w:rsidRPr="00163902">
        <w:rPr>
          <w:rFonts w:ascii="Times New Roman" w:hAnsi="Times New Roman"/>
          <w:sz w:val="24"/>
          <w:szCs w:val="24"/>
          <w:lang w:val="en-US"/>
        </w:rPr>
        <w:t>and SAM for Global</w:t>
      </w:r>
      <w:r w:rsidRPr="00163902">
        <w:rPr>
          <w:rFonts w:ascii="Times New Roman" w:hAnsi="Times New Roman"/>
          <w:sz w:val="24"/>
          <w:szCs w:val="24"/>
          <w:lang w:val="en-US"/>
        </w:rPr>
        <w:t xml:space="preserve"> and Severe Acute Malnutrition, respectively; SAM was </w:t>
      </w:r>
      <w:r w:rsidR="00E955AE" w:rsidRPr="00163902">
        <w:rPr>
          <w:rFonts w:ascii="Times New Roman" w:hAnsi="Times New Roman"/>
          <w:sz w:val="24"/>
          <w:szCs w:val="24"/>
          <w:lang w:val="en-US"/>
        </w:rPr>
        <w:t>disaggregated</w:t>
      </w:r>
      <w:r w:rsidRPr="00163902">
        <w:rPr>
          <w:rFonts w:ascii="Times New Roman" w:hAnsi="Times New Roman"/>
          <w:sz w:val="24"/>
          <w:szCs w:val="24"/>
          <w:lang w:val="en-US"/>
        </w:rPr>
        <w:t xml:space="preserve"> as “MUAC-only” if MUAC&lt;115mm AND WHZ≥-3, as “WHZ-only” if MUAC≥115mm AND WHZ&lt;-3, and as “both criteria” if MUAC&lt;115mm AND WHZ&lt;-3; </w:t>
      </w:r>
      <w:r w:rsidR="00EA62C4" w:rsidRPr="00163902">
        <w:rPr>
          <w:rFonts w:ascii="Times New Roman" w:hAnsi="Times New Roman"/>
          <w:sz w:val="24"/>
          <w:szCs w:val="24"/>
          <w:lang w:val="en-US"/>
        </w:rPr>
        <w:t xml:space="preserve">* for CHW screening, information on sex was only available in December 2021; † </w:t>
      </w:r>
      <w:r w:rsidRPr="00163902">
        <w:rPr>
          <w:rFonts w:ascii="Times New Roman" w:hAnsi="Times New Roman"/>
          <w:sz w:val="24"/>
          <w:szCs w:val="24"/>
          <w:lang w:val="en-US"/>
        </w:rPr>
        <w:t>significantly different from the observation in boys, as per Chi2 test</w:t>
      </w:r>
      <w:r w:rsidR="00EA62C4" w:rsidRPr="00163902">
        <w:rPr>
          <w:lang w:val="en-GB"/>
        </w:rPr>
        <w:t xml:space="preserve"> </w:t>
      </w:r>
      <w:r w:rsidR="00EA62C4" w:rsidRPr="00163902">
        <w:rPr>
          <w:rFonts w:ascii="Times New Roman" w:hAnsi="Times New Roman"/>
          <w:sz w:val="24"/>
          <w:szCs w:val="24"/>
          <w:lang w:val="en-US"/>
        </w:rPr>
        <w:t>and based on post-hoc estimation of adjusted residuals</w:t>
      </w:r>
      <w:r w:rsidRPr="00163902">
        <w:rPr>
          <w:rFonts w:ascii="Times New Roman" w:hAnsi="Times New Roman"/>
          <w:sz w:val="24"/>
          <w:szCs w:val="24"/>
          <w:lang w:val="en-US"/>
        </w:rPr>
        <w:t xml:space="preserve">; </w:t>
      </w:r>
      <w:r w:rsidR="00EA62C4" w:rsidRPr="00163902">
        <w:rPr>
          <w:rFonts w:ascii="Times New Roman" w:hAnsi="Times New Roman"/>
          <w:sz w:val="24"/>
          <w:szCs w:val="24"/>
          <w:lang w:val="en-US"/>
        </w:rPr>
        <w:t>‡</w:t>
      </w:r>
      <w:r w:rsidRPr="00163902">
        <w:rPr>
          <w:rFonts w:ascii="Times New Roman" w:hAnsi="Times New Roman"/>
          <w:sz w:val="24"/>
          <w:szCs w:val="24"/>
          <w:lang w:val="en-US"/>
        </w:rPr>
        <w:t xml:space="preserve"> significantly different from the observation in children screened in </w:t>
      </w:r>
      <w:r w:rsidR="00565D3D" w:rsidRPr="00163902">
        <w:rPr>
          <w:rFonts w:ascii="Times New Roman" w:hAnsi="Times New Roman"/>
          <w:sz w:val="24"/>
          <w:szCs w:val="24"/>
          <w:lang w:val="en-US"/>
        </w:rPr>
        <w:t>the community, as per Chi2 tes</w:t>
      </w:r>
      <w:r w:rsidR="00EA62C4" w:rsidRPr="00163902">
        <w:rPr>
          <w:rFonts w:ascii="Times New Roman" w:hAnsi="Times New Roman"/>
          <w:sz w:val="24"/>
          <w:szCs w:val="24"/>
          <w:lang w:val="en-US"/>
        </w:rPr>
        <w:t>t</w:t>
      </w:r>
      <w:r w:rsidR="00EA62C4" w:rsidRPr="00163902">
        <w:rPr>
          <w:lang w:val="en-GB"/>
        </w:rPr>
        <w:t xml:space="preserve"> </w:t>
      </w:r>
      <w:r w:rsidR="00EA62C4" w:rsidRPr="00163902">
        <w:rPr>
          <w:rFonts w:ascii="Times New Roman" w:hAnsi="Times New Roman"/>
          <w:sz w:val="24"/>
          <w:szCs w:val="24"/>
          <w:lang w:val="en-US"/>
        </w:rPr>
        <w:t>and based on post-hoc estimation of adjusted residuals</w:t>
      </w:r>
      <w:r w:rsidR="00565D3D" w:rsidRPr="00163902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16390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AD3D8D3" w14:textId="77777777" w:rsidR="00A2076E" w:rsidRPr="00163902" w:rsidRDefault="00A2076E" w:rsidP="00565D3D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sectPr w:rsidR="00A2076E" w:rsidRPr="00163902" w:rsidSect="00565D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0E"/>
    <w:rsid w:val="00163902"/>
    <w:rsid w:val="00565D3D"/>
    <w:rsid w:val="007605AF"/>
    <w:rsid w:val="00867978"/>
    <w:rsid w:val="009457B5"/>
    <w:rsid w:val="00984CD8"/>
    <w:rsid w:val="00A2076E"/>
    <w:rsid w:val="00BE340E"/>
    <w:rsid w:val="00D71EBC"/>
    <w:rsid w:val="00E955AE"/>
    <w:rsid w:val="00EA62C4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CDB8"/>
  <w15:chartTrackingRefBased/>
  <w15:docId w15:val="{F5399F4C-B49A-42FA-9594-1942FFE5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4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34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672180-4a09-43ef-a4b8-c9d244ec56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BF47507332F48B7CECBAD4DA81479" ma:contentTypeVersion="17" ma:contentTypeDescription="Crée un document." ma:contentTypeScope="" ma:versionID="3abf98968be81d0bc91dff7cc0ba94e8">
  <xsd:schema xmlns:xsd="http://www.w3.org/2001/XMLSchema" xmlns:xs="http://www.w3.org/2001/XMLSchema" xmlns:p="http://schemas.microsoft.com/office/2006/metadata/properties" xmlns:ns3="ca672180-4a09-43ef-a4b8-c9d244ec5623" xmlns:ns4="52386556-e72f-4644-b3b1-6c7a952f4701" targetNamespace="http://schemas.microsoft.com/office/2006/metadata/properties" ma:root="true" ma:fieldsID="77ed4bbfeaf35bd732ba800d9a1719a2" ns3:_="" ns4:_="">
    <xsd:import namespace="ca672180-4a09-43ef-a4b8-c9d244ec5623"/>
    <xsd:import namespace="52386556-e72f-4644-b3b1-6c7a952f47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72180-4a09-43ef-a4b8-c9d244ec5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86556-e72f-4644-b3b1-6c7a952f47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DA1401-D0DA-493F-9233-EFA44F5F0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FAAE10-9AE1-46B6-94A2-6635E2942852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52386556-e72f-4644-b3b1-6c7a952f4701"/>
    <ds:schemaRef ds:uri="http://schemas.microsoft.com/office/infopath/2007/PartnerControls"/>
    <ds:schemaRef ds:uri="http://schemas.microsoft.com/office/2006/documentManagement/types"/>
    <ds:schemaRef ds:uri="ca672180-4a09-43ef-a4b8-c9d244ec562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E2A841-5995-40E3-ACCE-9978D570B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72180-4a09-43ef-a4b8-c9d244ec5623"/>
    <ds:schemaRef ds:uri="52386556-e72f-4644-b3b1-6c7a952f4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Action Contre la Faim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Guesdon</dc:creator>
  <cp:keywords/>
  <dc:description/>
  <cp:lastModifiedBy>Benjamin Guesdon</cp:lastModifiedBy>
  <cp:revision>2</cp:revision>
  <dcterms:created xsi:type="dcterms:W3CDTF">2024-01-05T10:03:00Z</dcterms:created>
  <dcterms:modified xsi:type="dcterms:W3CDTF">2024-01-05T10:03:00Z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0x0101003E0BF47507332F48B7CECBAD4DA81479</vt:lpwstr>
  </property>
</Properties>
</file>