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BB05" w14:textId="77ED7F1E" w:rsidR="0050760B" w:rsidRPr="00FE46BC" w:rsidRDefault="00354960">
      <w:pPr>
        <w:rPr>
          <w:b/>
          <w:lang w:val="en-US"/>
        </w:rPr>
      </w:pPr>
      <w:r>
        <w:rPr>
          <w:b/>
          <w:lang w:val="en-US"/>
        </w:rPr>
        <w:t xml:space="preserve">Additional file </w:t>
      </w:r>
      <w:r w:rsidR="002A4F7A">
        <w:rPr>
          <w:b/>
          <w:lang w:val="en-US"/>
        </w:rPr>
        <w:t>5</w:t>
      </w:r>
      <w:r w:rsidR="003B040F">
        <w:rPr>
          <w:b/>
          <w:lang w:val="en-US"/>
        </w:rPr>
        <w:t xml:space="preserve"> Supplementary r</w:t>
      </w:r>
      <w:r w:rsidR="004C75D2">
        <w:rPr>
          <w:b/>
          <w:lang w:val="en-US"/>
        </w:rPr>
        <w:t>esults from data analyse</w:t>
      </w:r>
      <w:r w:rsidR="00A2617E" w:rsidRPr="00FE46BC">
        <w:rPr>
          <w:b/>
          <w:lang w:val="en-US"/>
        </w:rPr>
        <w:t xml:space="preserve">s </w:t>
      </w:r>
      <w:r w:rsidR="004C75D2">
        <w:rPr>
          <w:b/>
          <w:lang w:val="en-US"/>
        </w:rPr>
        <w:t>that</w:t>
      </w:r>
      <w:r w:rsidR="003B040F">
        <w:rPr>
          <w:b/>
          <w:lang w:val="en-US"/>
        </w:rPr>
        <w:t xml:space="preserve"> are </w:t>
      </w:r>
      <w:r w:rsidR="00A2617E" w:rsidRPr="00FE46BC">
        <w:rPr>
          <w:b/>
          <w:lang w:val="en-US"/>
        </w:rPr>
        <w:t>not shown in the article</w:t>
      </w:r>
    </w:p>
    <w:p w14:paraId="35B07660" w14:textId="77777777" w:rsidR="00A2617E" w:rsidRPr="0067156B" w:rsidRDefault="00FE46BC">
      <w:pPr>
        <w:rPr>
          <w:i/>
          <w:sz w:val="24"/>
          <w:szCs w:val="24"/>
          <w:lang w:val="en-US"/>
        </w:rPr>
      </w:pPr>
      <w:r w:rsidRPr="0067156B">
        <w:rPr>
          <w:i/>
          <w:sz w:val="24"/>
          <w:szCs w:val="24"/>
          <w:lang w:val="en-US"/>
        </w:rPr>
        <w:t>School and sample characteristics</w:t>
      </w:r>
    </w:p>
    <w:p w14:paraId="4DBA1D43" w14:textId="77777777" w:rsidR="00FE46BC" w:rsidRDefault="00AA3E97" w:rsidP="0067156B">
      <w:pPr>
        <w:pStyle w:val="Listeavsnitt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Logistic regression was performed to assess whether s</w:t>
      </w:r>
      <w:r w:rsidR="00FE46BC" w:rsidRPr="00AA3E97">
        <w:rPr>
          <w:lang w:val="en-US"/>
        </w:rPr>
        <w:t>chool socioeconomic profile (SES) was a significant predictor of attrition.</w:t>
      </w:r>
      <w:r>
        <w:rPr>
          <w:lang w:val="en-US"/>
        </w:rPr>
        <w:t xml:space="preserve"> SES data were available for 60 of the 67 schools in the baseline sample.</w:t>
      </w:r>
      <w:r w:rsidR="003B040F">
        <w:rPr>
          <w:lang w:val="en-US"/>
        </w:rPr>
        <w:t xml:space="preserve"> For one of the schools that dropped out, SES data were not available.</w:t>
      </w:r>
    </w:p>
    <w:p w14:paraId="78016BC1" w14:textId="77777777" w:rsidR="00AA3E97" w:rsidRDefault="00AA3E97" w:rsidP="0067156B">
      <w:pPr>
        <w:pStyle w:val="Listeavsnitt"/>
        <w:ind w:left="360"/>
        <w:rPr>
          <w:lang w:val="en-US"/>
        </w:rPr>
      </w:pPr>
    </w:p>
    <w:p w14:paraId="698FB1D6" w14:textId="77777777" w:rsidR="00AA3E97" w:rsidRDefault="00AA3E97" w:rsidP="0067156B">
      <w:pPr>
        <w:pStyle w:val="Listeavsnitt"/>
        <w:ind w:left="360"/>
        <w:rPr>
          <w:lang w:val="en-US"/>
        </w:rPr>
      </w:pPr>
      <w:r>
        <w:rPr>
          <w:lang w:val="en-US"/>
        </w:rPr>
        <w:t>Dependent variable: drop-out</w:t>
      </w:r>
    </w:p>
    <w:p w14:paraId="48A66025" w14:textId="77777777" w:rsidR="00AA3E97" w:rsidRDefault="00AA3E97" w:rsidP="0067156B">
      <w:pPr>
        <w:pStyle w:val="Listeavsnitt"/>
        <w:ind w:left="360"/>
        <w:rPr>
          <w:lang w:val="en-US"/>
        </w:rPr>
      </w:pPr>
      <w:r>
        <w:rPr>
          <w:lang w:val="en-US"/>
        </w:rPr>
        <w:t>Independent variable: SES (</w:t>
      </w:r>
      <w:r w:rsidR="00DA5FBE">
        <w:rPr>
          <w:lang w:val="en-US"/>
        </w:rPr>
        <w:t xml:space="preserve">low vs. </w:t>
      </w:r>
      <w:r>
        <w:rPr>
          <w:lang w:val="en-US"/>
        </w:rPr>
        <w:t>high)</w:t>
      </w:r>
    </w:p>
    <w:p w14:paraId="31C33985" w14:textId="77777777" w:rsidR="00AA3E97" w:rsidRDefault="00AA3E97" w:rsidP="0067156B">
      <w:pPr>
        <w:pStyle w:val="Listeavsnitt"/>
        <w:ind w:left="360"/>
        <w:rPr>
          <w:lang w:val="en-US"/>
        </w:rPr>
      </w:pPr>
    </w:p>
    <w:p w14:paraId="29826122" w14:textId="77777777" w:rsidR="00AA3E97" w:rsidRDefault="00AA3E97" w:rsidP="0067156B">
      <w:pPr>
        <w:pStyle w:val="Listeavsnitt"/>
        <w:ind w:left="360"/>
        <w:rPr>
          <w:lang w:val="en-US"/>
        </w:rPr>
      </w:pPr>
      <w:r>
        <w:rPr>
          <w:lang w:val="en-US"/>
        </w:rPr>
        <w:t xml:space="preserve">SES did not predict drop-out in the sample, </w:t>
      </w:r>
      <w:r>
        <w:rPr>
          <w:lang w:val="en-US"/>
        </w:rPr>
        <w:sym w:font="Symbol" w:char="F063"/>
      </w:r>
      <w:r w:rsidRPr="00A65AB3">
        <w:rPr>
          <w:vertAlign w:val="superscript"/>
          <w:lang w:val="en-US"/>
        </w:rPr>
        <w:t>2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(1, </w:t>
      </w:r>
      <w:r w:rsidRPr="00AA3E97">
        <w:rPr>
          <w:i/>
          <w:lang w:val="en-US"/>
        </w:rPr>
        <w:t>N</w:t>
      </w:r>
      <w:r>
        <w:rPr>
          <w:lang w:val="en-US"/>
        </w:rPr>
        <w:t xml:space="preserve"> = 60) = 1.50, </w:t>
      </w:r>
      <w:r w:rsidRPr="00AA3E97">
        <w:rPr>
          <w:i/>
          <w:lang w:val="en-US"/>
        </w:rPr>
        <w:t>P</w:t>
      </w:r>
      <w:r>
        <w:rPr>
          <w:lang w:val="en-US"/>
        </w:rPr>
        <w:t xml:space="preserve"> = </w:t>
      </w:r>
      <w:r w:rsidR="00354960">
        <w:rPr>
          <w:lang w:val="en-US"/>
        </w:rPr>
        <w:t>0</w:t>
      </w:r>
      <w:r w:rsidR="00354960" w:rsidRPr="00354960">
        <w:rPr>
          <w:lang w:val="en-US"/>
        </w:rPr>
        <w:t>·</w:t>
      </w:r>
      <w:r w:rsidR="003B040F">
        <w:rPr>
          <w:lang w:val="en-US"/>
        </w:rPr>
        <w:t>22</w:t>
      </w:r>
      <w:r w:rsidR="006C1852">
        <w:rPr>
          <w:lang w:val="en-US"/>
        </w:rPr>
        <w:t>.</w:t>
      </w:r>
    </w:p>
    <w:p w14:paraId="09D52993" w14:textId="77777777" w:rsidR="003B040F" w:rsidRDefault="003B040F" w:rsidP="0067156B">
      <w:pPr>
        <w:pStyle w:val="Listeavsnitt"/>
        <w:ind w:left="360"/>
        <w:rPr>
          <w:lang w:val="en-US"/>
        </w:rPr>
      </w:pPr>
    </w:p>
    <w:p w14:paraId="51A8A62C" w14:textId="77777777" w:rsidR="009778F7" w:rsidRDefault="009778F7" w:rsidP="0067156B">
      <w:pPr>
        <w:pStyle w:val="Listeavsnitt"/>
        <w:numPr>
          <w:ilvl w:val="0"/>
          <w:numId w:val="1"/>
        </w:numPr>
        <w:ind w:left="348"/>
        <w:rPr>
          <w:lang w:val="en-US"/>
        </w:rPr>
      </w:pPr>
      <w:r w:rsidRPr="009778F7">
        <w:rPr>
          <w:lang w:val="en-US"/>
        </w:rPr>
        <w:t xml:space="preserve">The two-sample Student’s </w:t>
      </w:r>
      <w:r w:rsidRPr="009778F7">
        <w:rPr>
          <w:i/>
          <w:iCs/>
          <w:lang w:val="en-US"/>
        </w:rPr>
        <w:t>t</w:t>
      </w:r>
      <w:r w:rsidRPr="009778F7">
        <w:rPr>
          <w:lang w:val="en-US"/>
        </w:rPr>
        <w:t xml:space="preserve">-test was </w:t>
      </w:r>
      <w:r w:rsidR="006C1852" w:rsidRPr="009778F7">
        <w:rPr>
          <w:lang w:val="en-US"/>
        </w:rPr>
        <w:t>used to test whether there was a significant difference in adherence scores between the two study groups at baseline</w:t>
      </w:r>
      <w:r>
        <w:rPr>
          <w:lang w:val="en-US"/>
        </w:rPr>
        <w:t xml:space="preserve"> for the whole baseline sample (</w:t>
      </w:r>
      <w:r w:rsidRPr="009778F7">
        <w:rPr>
          <w:i/>
          <w:lang w:val="en-US"/>
        </w:rPr>
        <w:t>n</w:t>
      </w:r>
      <w:r>
        <w:rPr>
          <w:lang w:val="en-US"/>
        </w:rPr>
        <w:t xml:space="preserve"> = 67)</w:t>
      </w:r>
      <w:r w:rsidR="006C1852" w:rsidRPr="009778F7">
        <w:rPr>
          <w:lang w:val="en-US"/>
        </w:rPr>
        <w:t xml:space="preserve">. </w:t>
      </w:r>
    </w:p>
    <w:p w14:paraId="4DFBC18C" w14:textId="77777777" w:rsidR="009778F7" w:rsidRDefault="009778F7" w:rsidP="0067156B">
      <w:pPr>
        <w:pStyle w:val="Listeavsnitt"/>
        <w:ind w:left="348"/>
        <w:rPr>
          <w:lang w:val="en-US"/>
        </w:rPr>
      </w:pPr>
    </w:p>
    <w:p w14:paraId="4E3CF059" w14:textId="77777777" w:rsidR="00294624" w:rsidRDefault="009778F7" w:rsidP="0067156B">
      <w:pPr>
        <w:pStyle w:val="Listeavsnitt"/>
        <w:ind w:left="348"/>
        <w:rPr>
          <w:lang w:val="en-US"/>
        </w:rPr>
      </w:pPr>
      <w:r>
        <w:rPr>
          <w:lang w:val="en-US"/>
        </w:rPr>
        <w:t xml:space="preserve">Results showed that there </w:t>
      </w:r>
      <w:r w:rsidRPr="009778F7">
        <w:rPr>
          <w:lang w:val="en-US"/>
        </w:rPr>
        <w:t>was no significant difference in baseline adherence scores between the intervention (</w:t>
      </w:r>
      <w:r w:rsidRPr="009778F7">
        <w:rPr>
          <w:iCs/>
          <w:lang w:val="en-US"/>
        </w:rPr>
        <w:t>mean</w:t>
      </w:r>
      <w:r w:rsidRPr="009778F7">
        <w:rPr>
          <w:lang w:val="en-US"/>
        </w:rPr>
        <w:t xml:space="preserve"> = 0.66, </w:t>
      </w:r>
      <w:proofErr w:type="spellStart"/>
      <w:r w:rsidRPr="009778F7">
        <w:rPr>
          <w:iCs/>
          <w:lang w:val="en-US"/>
        </w:rPr>
        <w:t>s.d.</w:t>
      </w:r>
      <w:proofErr w:type="spellEnd"/>
      <w:r w:rsidRPr="009778F7">
        <w:rPr>
          <w:lang w:val="en-US"/>
        </w:rPr>
        <w:t xml:space="preserve"> </w:t>
      </w:r>
      <w:r>
        <w:rPr>
          <w:lang w:val="en-US"/>
        </w:rPr>
        <w:t>= 0.08</w:t>
      </w:r>
      <w:r w:rsidRPr="009778F7">
        <w:rPr>
          <w:lang w:val="en-US"/>
        </w:rPr>
        <w:t>) and comparison group (</w:t>
      </w:r>
      <w:r w:rsidRPr="009778F7">
        <w:rPr>
          <w:iCs/>
          <w:lang w:val="en-US"/>
        </w:rPr>
        <w:t>mean</w:t>
      </w:r>
      <w:r w:rsidRPr="009778F7">
        <w:rPr>
          <w:lang w:val="en-US"/>
        </w:rPr>
        <w:t xml:space="preserve"> = 0.68, </w:t>
      </w:r>
      <w:proofErr w:type="spellStart"/>
      <w:r w:rsidRPr="009778F7">
        <w:rPr>
          <w:iCs/>
          <w:lang w:val="en-US"/>
        </w:rPr>
        <w:t>s.d.</w:t>
      </w:r>
      <w:proofErr w:type="spellEnd"/>
      <w:r w:rsidRPr="009778F7">
        <w:rPr>
          <w:lang w:val="en-US"/>
        </w:rPr>
        <w:t xml:space="preserve"> = 0.08),</w:t>
      </w:r>
      <w:r w:rsidRPr="009778F7">
        <w:rPr>
          <w:i/>
          <w:lang w:val="en-US"/>
        </w:rPr>
        <w:t xml:space="preserve"> t</w:t>
      </w:r>
      <w:r>
        <w:rPr>
          <w:lang w:val="en-US"/>
        </w:rPr>
        <w:t xml:space="preserve"> (65</w:t>
      </w:r>
      <w:r w:rsidRPr="009778F7">
        <w:rPr>
          <w:lang w:val="en-US"/>
        </w:rPr>
        <w:t xml:space="preserve">) = </w:t>
      </w:r>
      <w:r>
        <w:rPr>
          <w:lang w:val="en-US"/>
        </w:rPr>
        <w:sym w:font="Symbol" w:char="F02D"/>
      </w:r>
      <w:r>
        <w:rPr>
          <w:lang w:val="en-US"/>
        </w:rPr>
        <w:t>1.08</w:t>
      </w:r>
      <w:r w:rsidRPr="009778F7">
        <w:rPr>
          <w:lang w:val="en-US"/>
        </w:rPr>
        <w:t xml:space="preserve">, </w:t>
      </w:r>
      <w:r w:rsidRPr="009778F7">
        <w:rPr>
          <w:i/>
          <w:lang w:val="en-US"/>
        </w:rPr>
        <w:t>P</w:t>
      </w:r>
      <w:r w:rsidRPr="009778F7">
        <w:rPr>
          <w:lang w:val="en-US"/>
        </w:rPr>
        <w:t xml:space="preserve"> </w:t>
      </w:r>
      <w:r w:rsidR="00354960">
        <w:rPr>
          <w:lang w:val="en-US"/>
        </w:rPr>
        <w:t>= 0</w:t>
      </w:r>
      <w:r w:rsidR="00354960" w:rsidRPr="00354960">
        <w:rPr>
          <w:lang w:val="en-US"/>
        </w:rPr>
        <w:t>·</w:t>
      </w:r>
      <w:r>
        <w:rPr>
          <w:lang w:val="en-US"/>
        </w:rPr>
        <w:t>28</w:t>
      </w:r>
      <w:r w:rsidRPr="009778F7">
        <w:rPr>
          <w:lang w:val="en-US"/>
        </w:rPr>
        <w:t xml:space="preserve"> in the </w:t>
      </w:r>
      <w:r w:rsidR="00294624">
        <w:rPr>
          <w:lang w:val="en-US"/>
        </w:rPr>
        <w:t>whole baseline sample.</w:t>
      </w:r>
    </w:p>
    <w:p w14:paraId="12DD7408" w14:textId="77777777" w:rsidR="00294624" w:rsidRDefault="00294624" w:rsidP="0067156B">
      <w:pPr>
        <w:pStyle w:val="Listeavsnitt"/>
        <w:ind w:left="348"/>
        <w:rPr>
          <w:lang w:val="en-US"/>
        </w:rPr>
      </w:pPr>
    </w:p>
    <w:p w14:paraId="54B90762" w14:textId="77777777" w:rsidR="00294624" w:rsidRDefault="0044731A" w:rsidP="0067156B">
      <w:pPr>
        <w:pStyle w:val="Listeavsnitt"/>
        <w:numPr>
          <w:ilvl w:val="0"/>
          <w:numId w:val="1"/>
        </w:numPr>
        <w:ind w:left="360"/>
        <w:rPr>
          <w:lang w:val="en-US"/>
        </w:rPr>
      </w:pPr>
      <w:r w:rsidRPr="006A05C7">
        <w:rPr>
          <w:lang w:val="en-US"/>
        </w:rPr>
        <w:t>Spearman</w:t>
      </w:r>
      <w:r>
        <w:rPr>
          <w:lang w:val="en-US"/>
        </w:rPr>
        <w:t>’s</w:t>
      </w:r>
      <w:r w:rsidRPr="006A05C7">
        <w:rPr>
          <w:lang w:val="en-US"/>
        </w:rPr>
        <w:t xml:space="preserve"> rank</w:t>
      </w:r>
      <w:r>
        <w:rPr>
          <w:lang w:val="en-US"/>
        </w:rPr>
        <w:t>-</w:t>
      </w:r>
      <w:r w:rsidRPr="006A05C7">
        <w:rPr>
          <w:lang w:val="en-US"/>
        </w:rPr>
        <w:t xml:space="preserve">order </w:t>
      </w:r>
      <w:r w:rsidR="0092483D" w:rsidRPr="006A05C7">
        <w:rPr>
          <w:lang w:val="en-US"/>
        </w:rPr>
        <w:t>correlation analysis</w:t>
      </w:r>
      <w:r w:rsidR="0092483D">
        <w:rPr>
          <w:lang w:val="en-US"/>
        </w:rPr>
        <w:t xml:space="preserve"> was used to test whether </w:t>
      </w:r>
      <w:r w:rsidR="00294624">
        <w:rPr>
          <w:lang w:val="en-US"/>
        </w:rPr>
        <w:t>SES was</w:t>
      </w:r>
      <w:r w:rsidR="00294624" w:rsidRPr="006A05C7">
        <w:rPr>
          <w:lang w:val="en-US"/>
        </w:rPr>
        <w:t xml:space="preserve"> correlated with baseline adherence</w:t>
      </w:r>
      <w:r w:rsidR="00E10B19">
        <w:rPr>
          <w:lang w:val="en-US"/>
        </w:rPr>
        <w:t xml:space="preserve">, in both </w:t>
      </w:r>
      <w:r w:rsidR="00D82726">
        <w:rPr>
          <w:lang w:val="en-US"/>
        </w:rPr>
        <w:t xml:space="preserve">the whole baseline sample and for the </w:t>
      </w:r>
      <w:r w:rsidR="00E10B19">
        <w:rPr>
          <w:lang w:val="en-US"/>
        </w:rPr>
        <w:t>complete case</w:t>
      </w:r>
      <w:r w:rsidR="00D82726">
        <w:rPr>
          <w:lang w:val="en-US"/>
        </w:rPr>
        <w:t>s.</w:t>
      </w:r>
    </w:p>
    <w:p w14:paraId="595D2872" w14:textId="77777777" w:rsidR="00E10B19" w:rsidRDefault="00E10B19" w:rsidP="0067156B">
      <w:pPr>
        <w:pStyle w:val="Listeavsnitt"/>
        <w:ind w:left="360"/>
        <w:rPr>
          <w:lang w:val="en-US"/>
        </w:rPr>
      </w:pPr>
    </w:p>
    <w:p w14:paraId="65E58231" w14:textId="77777777" w:rsidR="000C313F" w:rsidRDefault="000C313F" w:rsidP="0067156B">
      <w:pPr>
        <w:pStyle w:val="Listeavsnitt"/>
        <w:ind w:left="348"/>
        <w:rPr>
          <w:lang w:val="en-US"/>
        </w:rPr>
      </w:pPr>
      <w:r>
        <w:rPr>
          <w:lang w:val="en-US"/>
        </w:rPr>
        <w:t>In the whole baseline sample (</w:t>
      </w:r>
      <w:r w:rsidRPr="000C313F">
        <w:rPr>
          <w:i/>
          <w:lang w:val="en-US"/>
        </w:rPr>
        <w:t>n</w:t>
      </w:r>
      <w:r>
        <w:rPr>
          <w:lang w:val="en-US"/>
        </w:rPr>
        <w:t xml:space="preserve"> = 67) SES data were not </w:t>
      </w:r>
      <w:r w:rsidRPr="00E10B19">
        <w:rPr>
          <w:lang w:val="en-US"/>
        </w:rPr>
        <w:t>available for three intervention and four comparison schools due to small sch</w:t>
      </w:r>
      <w:r>
        <w:rPr>
          <w:lang w:val="en-US"/>
        </w:rPr>
        <w:t xml:space="preserve">ool size. Thus, </w:t>
      </w:r>
      <w:r w:rsidRPr="000C313F">
        <w:rPr>
          <w:i/>
          <w:lang w:val="en-US"/>
        </w:rPr>
        <w:t>n</w:t>
      </w:r>
      <w:r>
        <w:rPr>
          <w:lang w:val="en-US"/>
        </w:rPr>
        <w:t xml:space="preserve"> = 60 for this analysi</w:t>
      </w:r>
      <w:r w:rsidRPr="00E10B19">
        <w:rPr>
          <w:lang w:val="en-US"/>
        </w:rPr>
        <w:t xml:space="preserve">s, with </w:t>
      </w:r>
      <w:r w:rsidRPr="00E10B19">
        <w:rPr>
          <w:i/>
          <w:lang w:val="en-US"/>
        </w:rPr>
        <w:t>n</w:t>
      </w:r>
      <w:r w:rsidRPr="00E10B19">
        <w:rPr>
          <w:lang w:val="en-US"/>
        </w:rPr>
        <w:t xml:space="preserve"> = 30 in each group.</w:t>
      </w:r>
      <w:r>
        <w:rPr>
          <w:lang w:val="en-US"/>
        </w:rPr>
        <w:t xml:space="preserve"> The results showed that there was no correlation between SES and</w:t>
      </w:r>
      <w:r w:rsidRPr="006A05C7">
        <w:rPr>
          <w:lang w:val="en-US"/>
        </w:rPr>
        <w:t xml:space="preserve"> baseline adherence </w:t>
      </w:r>
      <w:r>
        <w:rPr>
          <w:lang w:val="en-US"/>
        </w:rPr>
        <w:t>(</w:t>
      </w:r>
      <w:proofErr w:type="spellStart"/>
      <w:r w:rsidRPr="006A05C7">
        <w:rPr>
          <w:i/>
          <w:lang w:val="en-US"/>
        </w:rPr>
        <w:t>r</w:t>
      </w:r>
      <w:r w:rsidRPr="006A05C7">
        <w:rPr>
          <w:i/>
          <w:vertAlign w:val="subscript"/>
          <w:lang w:val="en-US"/>
        </w:rPr>
        <w:t>s</w:t>
      </w:r>
      <w:proofErr w:type="spellEnd"/>
      <w:r w:rsidRPr="006A05C7">
        <w:rPr>
          <w:lang w:val="en-US"/>
        </w:rPr>
        <w:t xml:space="preserve"> = </w:t>
      </w:r>
      <w:r>
        <w:rPr>
          <w:lang w:val="en-US"/>
        </w:rPr>
        <w:sym w:font="Symbol" w:char="F02D"/>
      </w:r>
      <w:r w:rsidRPr="006A05C7">
        <w:rPr>
          <w:lang w:val="en-US"/>
        </w:rPr>
        <w:t>.</w:t>
      </w:r>
      <w:r>
        <w:rPr>
          <w:lang w:val="en-US"/>
        </w:rPr>
        <w:t>04)</w:t>
      </w:r>
      <w:r w:rsidR="000F1C94">
        <w:rPr>
          <w:lang w:val="en-US"/>
        </w:rPr>
        <w:t xml:space="preserve"> in the whole sample</w:t>
      </w:r>
      <w:r>
        <w:rPr>
          <w:lang w:val="en-US"/>
        </w:rPr>
        <w:t>.</w:t>
      </w:r>
    </w:p>
    <w:p w14:paraId="30C07768" w14:textId="77777777" w:rsidR="000C313F" w:rsidRDefault="000C313F" w:rsidP="0067156B">
      <w:pPr>
        <w:pStyle w:val="Listeavsnitt"/>
        <w:ind w:left="348"/>
        <w:rPr>
          <w:lang w:val="en-US"/>
        </w:rPr>
      </w:pPr>
    </w:p>
    <w:p w14:paraId="62B18FF2" w14:textId="77777777" w:rsidR="004F22F9" w:rsidRDefault="00E10B19" w:rsidP="0067156B">
      <w:pPr>
        <w:pStyle w:val="Listeavsnitt"/>
        <w:ind w:left="360"/>
        <w:rPr>
          <w:lang w:val="en-US"/>
        </w:rPr>
      </w:pPr>
      <w:r>
        <w:rPr>
          <w:lang w:val="en-US"/>
        </w:rPr>
        <w:t>In the complete case sample (</w:t>
      </w:r>
      <w:r w:rsidRPr="00202788">
        <w:rPr>
          <w:i/>
          <w:lang w:val="en-US"/>
        </w:rPr>
        <w:t>n</w:t>
      </w:r>
      <w:r>
        <w:rPr>
          <w:lang w:val="en-US"/>
        </w:rPr>
        <w:t xml:space="preserve"> = 59) SES data were</w:t>
      </w:r>
      <w:r w:rsidR="000C313F">
        <w:rPr>
          <w:lang w:val="en-US"/>
        </w:rPr>
        <w:t xml:space="preserve"> not</w:t>
      </w:r>
      <w:r>
        <w:rPr>
          <w:lang w:val="en-US"/>
        </w:rPr>
        <w:t xml:space="preserve"> available for </w:t>
      </w:r>
      <w:r w:rsidR="000C313F">
        <w:rPr>
          <w:lang w:val="en-US"/>
        </w:rPr>
        <w:t>three intervention and three</w:t>
      </w:r>
      <w:r w:rsidR="000C313F" w:rsidRPr="00E10B19">
        <w:rPr>
          <w:lang w:val="en-US"/>
        </w:rPr>
        <w:t xml:space="preserve"> comparison schools due to small sch</w:t>
      </w:r>
      <w:r w:rsidR="000C313F">
        <w:rPr>
          <w:lang w:val="en-US"/>
        </w:rPr>
        <w:t xml:space="preserve">ool size. Thus, </w:t>
      </w:r>
      <w:r w:rsidR="000C313F" w:rsidRPr="00202788">
        <w:rPr>
          <w:i/>
          <w:lang w:val="en-US"/>
        </w:rPr>
        <w:t>n</w:t>
      </w:r>
      <w:r w:rsidR="000C313F">
        <w:rPr>
          <w:lang w:val="en-US"/>
        </w:rPr>
        <w:t xml:space="preserve"> = 53 for this analysis, with </w:t>
      </w:r>
      <w:r w:rsidR="000C313F" w:rsidRPr="00202788">
        <w:rPr>
          <w:i/>
          <w:lang w:val="en-US"/>
        </w:rPr>
        <w:t>n</w:t>
      </w:r>
      <w:r w:rsidR="000C313F">
        <w:rPr>
          <w:lang w:val="en-US"/>
        </w:rPr>
        <w:t xml:space="preserve"> = 28 in the intervention </w:t>
      </w:r>
      <w:r w:rsidR="00202788">
        <w:rPr>
          <w:lang w:val="en-US"/>
        </w:rPr>
        <w:t xml:space="preserve">group and </w:t>
      </w:r>
      <w:r w:rsidR="00202788" w:rsidRPr="00202788">
        <w:rPr>
          <w:i/>
          <w:lang w:val="en-US"/>
        </w:rPr>
        <w:t>n</w:t>
      </w:r>
      <w:r w:rsidR="00202788">
        <w:rPr>
          <w:lang w:val="en-US"/>
        </w:rPr>
        <w:t xml:space="preserve"> = 25 in the comparison group.</w:t>
      </w:r>
      <w:r w:rsidR="000F1C94">
        <w:rPr>
          <w:lang w:val="en-US"/>
        </w:rPr>
        <w:t xml:space="preserve"> The results showed that there was no correlation between SES and</w:t>
      </w:r>
      <w:r w:rsidR="000F1C94" w:rsidRPr="006A05C7">
        <w:rPr>
          <w:lang w:val="en-US"/>
        </w:rPr>
        <w:t xml:space="preserve"> baseline adherence </w:t>
      </w:r>
      <w:r w:rsidR="000F1C94">
        <w:rPr>
          <w:lang w:val="en-US"/>
        </w:rPr>
        <w:t>(</w:t>
      </w:r>
      <w:proofErr w:type="spellStart"/>
      <w:r w:rsidR="000F1C94" w:rsidRPr="006A05C7">
        <w:rPr>
          <w:i/>
          <w:lang w:val="en-US"/>
        </w:rPr>
        <w:t>r</w:t>
      </w:r>
      <w:r w:rsidR="000F1C94" w:rsidRPr="006A05C7">
        <w:rPr>
          <w:i/>
          <w:vertAlign w:val="subscript"/>
          <w:lang w:val="en-US"/>
        </w:rPr>
        <w:t>s</w:t>
      </w:r>
      <w:proofErr w:type="spellEnd"/>
      <w:r w:rsidR="000F1C94" w:rsidRPr="006A05C7">
        <w:rPr>
          <w:lang w:val="en-US"/>
        </w:rPr>
        <w:t xml:space="preserve"> = </w:t>
      </w:r>
      <w:r w:rsidR="000F1C94">
        <w:rPr>
          <w:lang w:val="en-US"/>
        </w:rPr>
        <w:sym w:font="Symbol" w:char="F02D"/>
      </w:r>
      <w:r w:rsidR="000F1C94" w:rsidRPr="006A05C7">
        <w:rPr>
          <w:lang w:val="en-US"/>
        </w:rPr>
        <w:t>.</w:t>
      </w:r>
      <w:r w:rsidR="000F1C94">
        <w:rPr>
          <w:lang w:val="en-US"/>
        </w:rPr>
        <w:t>12) in the complete case sample.</w:t>
      </w:r>
    </w:p>
    <w:p w14:paraId="50EC1579" w14:textId="77777777" w:rsidR="0053582E" w:rsidRDefault="0053582E" w:rsidP="00B761E6">
      <w:pPr>
        <w:spacing w:line="240" w:lineRule="auto"/>
        <w:rPr>
          <w:lang w:val="en-US"/>
        </w:rPr>
      </w:pPr>
    </w:p>
    <w:p w14:paraId="0C00A5A4" w14:textId="77777777" w:rsidR="0053582E" w:rsidRPr="0053582E" w:rsidRDefault="0053582E" w:rsidP="00B761E6">
      <w:pPr>
        <w:spacing w:line="240" w:lineRule="auto"/>
        <w:rPr>
          <w:i/>
          <w:sz w:val="24"/>
          <w:szCs w:val="24"/>
          <w:lang w:val="en-US"/>
        </w:rPr>
      </w:pPr>
      <w:r w:rsidRPr="0053582E">
        <w:rPr>
          <w:i/>
          <w:sz w:val="24"/>
          <w:szCs w:val="24"/>
          <w:lang w:val="en-US"/>
        </w:rPr>
        <w:t>Intervention effectiveness</w:t>
      </w:r>
    </w:p>
    <w:p w14:paraId="0FDF4086" w14:textId="77777777" w:rsidR="001826F9" w:rsidRDefault="001826F9" w:rsidP="00B761E6">
      <w:pPr>
        <w:spacing w:line="240" w:lineRule="auto"/>
        <w:rPr>
          <w:lang w:val="en-US"/>
        </w:rPr>
      </w:pPr>
      <w:r>
        <w:rPr>
          <w:lang w:val="en-US"/>
        </w:rPr>
        <w:t>Sensitivity analysis</w:t>
      </w:r>
    </w:p>
    <w:p w14:paraId="02BB1426" w14:textId="77777777" w:rsidR="00B761E6" w:rsidRDefault="00B761E6" w:rsidP="00B761E6">
      <w:pPr>
        <w:spacing w:line="240" w:lineRule="auto"/>
        <w:rPr>
          <w:lang w:val="en-US"/>
        </w:rPr>
      </w:pPr>
      <w:r w:rsidRPr="006A05C7">
        <w:rPr>
          <w:lang w:val="en-US"/>
        </w:rPr>
        <w:t>To assess the potential impact of selection bias linked with loss to follow-up, we conducted a sensitivity analysis whereby baseline adherence scores were imputed for follow-up scores amo</w:t>
      </w:r>
      <w:r>
        <w:rPr>
          <w:lang w:val="en-US"/>
        </w:rPr>
        <w:t xml:space="preserve">ng the schools that dropped out, thus </w:t>
      </w:r>
      <w:r w:rsidRPr="00B761E6">
        <w:rPr>
          <w:i/>
          <w:lang w:val="en-US"/>
        </w:rPr>
        <w:t>n</w:t>
      </w:r>
      <w:r>
        <w:rPr>
          <w:lang w:val="en-US"/>
        </w:rPr>
        <w:t xml:space="preserve"> = 67.</w:t>
      </w:r>
    </w:p>
    <w:p w14:paraId="5E00A382" w14:textId="77777777" w:rsidR="00B761E6" w:rsidRDefault="00B761E6" w:rsidP="00B761E6">
      <w:pPr>
        <w:spacing w:line="240" w:lineRule="auto"/>
        <w:rPr>
          <w:lang w:val="en-US"/>
        </w:rPr>
      </w:pPr>
      <w:r>
        <w:rPr>
          <w:lang w:val="en-US"/>
        </w:rPr>
        <w:t>Dependent variable: follow-up adherence score</w:t>
      </w:r>
    </w:p>
    <w:p w14:paraId="598DAACA" w14:textId="77777777" w:rsidR="00B761E6" w:rsidRDefault="00B761E6" w:rsidP="00B761E6">
      <w:pPr>
        <w:spacing w:line="240" w:lineRule="auto"/>
        <w:rPr>
          <w:lang w:val="en-US"/>
        </w:rPr>
      </w:pPr>
      <w:r>
        <w:rPr>
          <w:lang w:val="en-US"/>
        </w:rPr>
        <w:t>Independent variables: baseline adherence, study group, interaction term (based on centered variables</w:t>
      </w:r>
      <w:r w:rsidR="002F4B1D">
        <w:rPr>
          <w:lang w:val="en-US"/>
        </w:rPr>
        <w:t xml:space="preserve"> of baseline adherence and study group</w:t>
      </w:r>
      <w:r>
        <w:rPr>
          <w:lang w:val="en-US"/>
        </w:rPr>
        <w:t>)</w:t>
      </w:r>
    </w:p>
    <w:p w14:paraId="2ADDDBD4" w14:textId="77777777" w:rsidR="0067156B" w:rsidRDefault="00B761E6">
      <w:pPr>
        <w:rPr>
          <w:lang w:val="en-US"/>
        </w:rPr>
      </w:pPr>
      <w:r>
        <w:rPr>
          <w:lang w:val="en-US"/>
        </w:rPr>
        <w:t>The results showed the same difference of</w:t>
      </w:r>
      <w:r w:rsidRPr="006A05C7">
        <w:rPr>
          <w:lang w:val="en-US"/>
        </w:rPr>
        <w:t xml:space="preserve"> 4% between the groups (</w:t>
      </w:r>
      <w:r w:rsidRPr="006A05C7">
        <w:rPr>
          <w:i/>
          <w:lang w:val="en-US"/>
        </w:rPr>
        <w:t>B</w:t>
      </w:r>
      <w:r>
        <w:rPr>
          <w:lang w:val="en-US"/>
        </w:rPr>
        <w:t xml:space="preserve"> = 0.04</w:t>
      </w:r>
      <w:r w:rsidRPr="006A05C7">
        <w:rPr>
          <w:lang w:val="en-US"/>
        </w:rPr>
        <w:t xml:space="preserve">, </w:t>
      </w:r>
      <w:proofErr w:type="spellStart"/>
      <w:r>
        <w:rPr>
          <w:iCs/>
          <w:lang w:val="en-US"/>
        </w:rPr>
        <w:t>s.e.</w:t>
      </w:r>
      <w:proofErr w:type="spellEnd"/>
      <w:r w:rsidRPr="006A05C7">
        <w:rPr>
          <w:i/>
          <w:lang w:val="en-US"/>
        </w:rPr>
        <w:t xml:space="preserve"> B</w:t>
      </w:r>
      <w:r>
        <w:rPr>
          <w:lang w:val="en-US"/>
        </w:rPr>
        <w:t xml:space="preserve"> = 0.01</w:t>
      </w:r>
      <w:r w:rsidRPr="006A05C7">
        <w:rPr>
          <w:lang w:val="en-US"/>
        </w:rPr>
        <w:t xml:space="preserve">, </w:t>
      </w:r>
      <w:r w:rsidRPr="006A05C7">
        <w:rPr>
          <w:i/>
          <w:lang w:val="en-US"/>
        </w:rPr>
        <w:t>t</w:t>
      </w:r>
      <w:r w:rsidR="00C5318B">
        <w:rPr>
          <w:lang w:val="en-US"/>
        </w:rPr>
        <w:t xml:space="preserve"> = 3.5</w:t>
      </w:r>
      <w:r>
        <w:rPr>
          <w:lang w:val="en-US"/>
        </w:rPr>
        <w:t>,</w:t>
      </w:r>
      <w:r w:rsidRPr="006A05C7">
        <w:rPr>
          <w:lang w:val="en-US"/>
        </w:rPr>
        <w:t xml:space="preserve"> </w:t>
      </w:r>
      <w:r>
        <w:rPr>
          <w:i/>
          <w:lang w:val="en-US"/>
        </w:rPr>
        <w:t>P</w:t>
      </w:r>
      <w:r>
        <w:rPr>
          <w:lang w:val="en-US"/>
        </w:rPr>
        <w:t xml:space="preserve"> </w:t>
      </w:r>
      <w:r w:rsidR="00354960">
        <w:rPr>
          <w:lang w:val="en-US"/>
        </w:rPr>
        <w:t>= 0</w:t>
      </w:r>
      <w:r w:rsidR="00354960" w:rsidRPr="00354960">
        <w:rPr>
          <w:lang w:val="en-US"/>
        </w:rPr>
        <w:t>·</w:t>
      </w:r>
      <w:r w:rsidR="00C5318B">
        <w:rPr>
          <w:lang w:val="en-US"/>
        </w:rPr>
        <w:t>001</w:t>
      </w:r>
      <w:r>
        <w:rPr>
          <w:lang w:val="en-US"/>
        </w:rPr>
        <w:t xml:space="preserve">), with </w:t>
      </w:r>
      <w:proofErr w:type="gramStart"/>
      <w:r w:rsidRPr="00F35A19">
        <w:rPr>
          <w:i/>
          <w:iCs/>
          <w:lang w:val="en-US"/>
        </w:rPr>
        <w:t>F</w:t>
      </w:r>
      <w:r>
        <w:rPr>
          <w:lang w:val="en-US"/>
        </w:rPr>
        <w:t>[</w:t>
      </w:r>
      <w:proofErr w:type="gramEnd"/>
      <w:r w:rsidR="00C5318B">
        <w:rPr>
          <w:lang w:val="en-US"/>
        </w:rPr>
        <w:t>3,63</w:t>
      </w:r>
      <w:r>
        <w:rPr>
          <w:lang w:val="en-US"/>
        </w:rPr>
        <w:t xml:space="preserve">] </w:t>
      </w:r>
      <w:r w:rsidR="00C5318B">
        <w:rPr>
          <w:lang w:val="en-US"/>
        </w:rPr>
        <w:t>= 21.03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P</w:t>
      </w:r>
      <w:r w:rsidR="00354960">
        <w:rPr>
          <w:lang w:val="en-US"/>
        </w:rPr>
        <w:t xml:space="preserve"> &lt;0</w:t>
      </w:r>
      <w:r w:rsidR="00354960" w:rsidRPr="00354960">
        <w:rPr>
          <w:lang w:val="en-US"/>
        </w:rPr>
        <w:t>·</w:t>
      </w:r>
      <w:r>
        <w:rPr>
          <w:lang w:val="en-US"/>
        </w:rPr>
        <w:t>001.</w:t>
      </w:r>
      <w:r w:rsidR="0067156B">
        <w:rPr>
          <w:lang w:val="en-US"/>
        </w:rPr>
        <w:br w:type="page"/>
      </w:r>
    </w:p>
    <w:p w14:paraId="1C4722B1" w14:textId="77777777" w:rsidR="0067156B" w:rsidRPr="0067156B" w:rsidRDefault="0067156B" w:rsidP="0067156B">
      <w:pPr>
        <w:pStyle w:val="Listeavsnitt"/>
        <w:ind w:left="360"/>
        <w:rPr>
          <w:lang w:val="en-US"/>
        </w:rPr>
      </w:pPr>
    </w:p>
    <w:p w14:paraId="700AAF7F" w14:textId="77777777" w:rsidR="0067156B" w:rsidRPr="0067156B" w:rsidRDefault="0067156B" w:rsidP="0067156B">
      <w:pPr>
        <w:rPr>
          <w:i/>
          <w:sz w:val="24"/>
          <w:lang w:val="en-US"/>
        </w:rPr>
      </w:pPr>
      <w:r w:rsidRPr="0067156B">
        <w:rPr>
          <w:i/>
          <w:sz w:val="24"/>
          <w:lang w:val="en-US"/>
        </w:rPr>
        <w:t>Implementation outcomes</w:t>
      </w:r>
    </w:p>
    <w:p w14:paraId="64FB9B1D" w14:textId="77777777" w:rsidR="0067156B" w:rsidRDefault="00DF787B" w:rsidP="00DF787B">
      <w:pPr>
        <w:pStyle w:val="Listeavsnitt"/>
        <w:ind w:left="0"/>
        <w:rPr>
          <w:lang w:val="en-US"/>
        </w:rPr>
      </w:pPr>
      <w:r>
        <w:rPr>
          <w:lang w:val="en-US"/>
        </w:rPr>
        <w:t>Table s1: Bivariate</w:t>
      </w:r>
      <w:r w:rsidRPr="00814857">
        <w:rPr>
          <w:lang w:val="en-US"/>
        </w:rPr>
        <w:t xml:space="preserve"> </w:t>
      </w:r>
      <w:proofErr w:type="spellStart"/>
      <w:r w:rsidRPr="00814857">
        <w:rPr>
          <w:lang w:val="en-US"/>
        </w:rPr>
        <w:t>Correlations</w:t>
      </w:r>
      <w:r w:rsidR="00BE1CDB" w:rsidRPr="00BE1CDB">
        <w:rPr>
          <w:vertAlign w:val="superscript"/>
          <w:lang w:val="en-US"/>
        </w:rPr>
        <w:t>a</w:t>
      </w:r>
      <w:proofErr w:type="spellEnd"/>
      <w:r w:rsidRPr="00814857">
        <w:rPr>
          <w:lang w:val="en-US"/>
        </w:rPr>
        <w:t xml:space="preserve"> Between </w:t>
      </w:r>
      <w:r>
        <w:rPr>
          <w:lang w:val="en-US"/>
        </w:rPr>
        <w:t xml:space="preserve">Six </w:t>
      </w:r>
      <w:r w:rsidRPr="00814857">
        <w:rPr>
          <w:lang w:val="en-US"/>
        </w:rPr>
        <w:t>Implementation</w:t>
      </w:r>
      <w:r>
        <w:rPr>
          <w:lang w:val="en-US"/>
        </w:rPr>
        <w:t xml:space="preserve"> Aspects</w:t>
      </w:r>
      <w:r w:rsidRPr="00814857">
        <w:rPr>
          <w:lang w:val="en-US"/>
        </w:rPr>
        <w:t xml:space="preserve"> and </w:t>
      </w:r>
      <w:r>
        <w:rPr>
          <w:lang w:val="en-US"/>
        </w:rPr>
        <w:t>Change Score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1011"/>
        <w:gridCol w:w="1012"/>
        <w:gridCol w:w="1012"/>
        <w:gridCol w:w="1011"/>
        <w:gridCol w:w="1012"/>
        <w:gridCol w:w="1012"/>
        <w:gridCol w:w="1012"/>
      </w:tblGrid>
      <w:tr w:rsidR="00515F50" w:rsidRPr="00BE1CDB" w14:paraId="74312AD2" w14:textId="77777777" w:rsidTr="00515F50">
        <w:tc>
          <w:tcPr>
            <w:tcW w:w="1980" w:type="dxa"/>
          </w:tcPr>
          <w:p w14:paraId="237A8AAB" w14:textId="77777777" w:rsidR="0067156B" w:rsidRPr="00BE1CDB" w:rsidRDefault="00515F50" w:rsidP="00515F50">
            <w:pPr>
              <w:rPr>
                <w:b/>
                <w:sz w:val="20"/>
                <w:szCs w:val="20"/>
                <w:lang w:val="en-US"/>
              </w:rPr>
            </w:pPr>
            <w:r w:rsidRPr="00BE1CDB">
              <w:rPr>
                <w:b/>
                <w:sz w:val="20"/>
                <w:szCs w:val="20"/>
                <w:lang w:val="en-US"/>
              </w:rPr>
              <w:t xml:space="preserve">Change score and </w:t>
            </w:r>
            <w:proofErr w:type="spellStart"/>
            <w:r w:rsidRPr="00BE1CDB">
              <w:rPr>
                <w:b/>
                <w:sz w:val="20"/>
                <w:szCs w:val="20"/>
                <w:lang w:val="en-US"/>
              </w:rPr>
              <w:t>i</w:t>
            </w:r>
            <w:r w:rsidR="0067156B" w:rsidRPr="00BE1CDB">
              <w:rPr>
                <w:b/>
                <w:sz w:val="20"/>
                <w:szCs w:val="20"/>
                <w:lang w:val="en-US"/>
              </w:rPr>
              <w:t>mplemementation</w:t>
            </w:r>
            <w:proofErr w:type="spellEnd"/>
            <w:r w:rsidR="0067156B" w:rsidRPr="00BE1CD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E1CDB">
              <w:rPr>
                <w:b/>
                <w:sz w:val="20"/>
                <w:szCs w:val="20"/>
                <w:lang w:val="en-US"/>
              </w:rPr>
              <w:t>dimensions/</w:t>
            </w:r>
            <w:r w:rsidR="0067156B" w:rsidRPr="00BE1CDB">
              <w:rPr>
                <w:b/>
                <w:sz w:val="20"/>
                <w:szCs w:val="20"/>
                <w:lang w:val="en-US"/>
              </w:rPr>
              <w:t>aspects</w:t>
            </w:r>
            <w:r w:rsidRPr="00BE1CD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11" w:type="dxa"/>
          </w:tcPr>
          <w:p w14:paraId="2F268183" w14:textId="77777777" w:rsidR="0067156B" w:rsidRPr="00BE1CDB" w:rsidRDefault="0067156B" w:rsidP="00515F50">
            <w:pPr>
              <w:jc w:val="center"/>
              <w:rPr>
                <w:b/>
                <w:sz w:val="20"/>
                <w:szCs w:val="20"/>
              </w:rPr>
            </w:pPr>
            <w:r w:rsidRPr="00BE1C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14:paraId="73434BB0" w14:textId="77777777" w:rsidR="0067156B" w:rsidRPr="00BE1CDB" w:rsidRDefault="0067156B" w:rsidP="00515F50">
            <w:pPr>
              <w:jc w:val="center"/>
              <w:rPr>
                <w:b/>
                <w:sz w:val="20"/>
                <w:szCs w:val="20"/>
              </w:rPr>
            </w:pPr>
            <w:r w:rsidRPr="00BE1C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14:paraId="77BB9B9D" w14:textId="77777777" w:rsidR="0067156B" w:rsidRPr="00BE1CDB" w:rsidRDefault="0067156B" w:rsidP="00515F50">
            <w:pPr>
              <w:jc w:val="center"/>
              <w:rPr>
                <w:b/>
                <w:sz w:val="20"/>
                <w:szCs w:val="20"/>
              </w:rPr>
            </w:pPr>
            <w:r w:rsidRPr="00BE1C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34DDFD3" w14:textId="77777777" w:rsidR="0067156B" w:rsidRPr="00BE1CDB" w:rsidRDefault="0067156B" w:rsidP="00515F50">
            <w:pPr>
              <w:jc w:val="center"/>
              <w:rPr>
                <w:b/>
                <w:sz w:val="20"/>
                <w:szCs w:val="20"/>
              </w:rPr>
            </w:pPr>
            <w:r w:rsidRPr="00BE1C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2" w:type="dxa"/>
          </w:tcPr>
          <w:p w14:paraId="0D90A35B" w14:textId="77777777" w:rsidR="0067156B" w:rsidRPr="00BE1CDB" w:rsidRDefault="0067156B" w:rsidP="00515F50">
            <w:pPr>
              <w:jc w:val="center"/>
              <w:rPr>
                <w:b/>
                <w:sz w:val="20"/>
                <w:szCs w:val="20"/>
              </w:rPr>
            </w:pPr>
            <w:r w:rsidRPr="00BE1C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2" w:type="dxa"/>
          </w:tcPr>
          <w:p w14:paraId="00D79DB9" w14:textId="77777777" w:rsidR="0067156B" w:rsidRPr="00BE1CDB" w:rsidRDefault="0067156B" w:rsidP="00515F50">
            <w:pPr>
              <w:jc w:val="center"/>
              <w:rPr>
                <w:b/>
                <w:sz w:val="20"/>
                <w:szCs w:val="20"/>
              </w:rPr>
            </w:pPr>
            <w:r w:rsidRPr="00BE1C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12" w:type="dxa"/>
          </w:tcPr>
          <w:p w14:paraId="6ACA7681" w14:textId="77777777" w:rsidR="0067156B" w:rsidRPr="00BE1CDB" w:rsidRDefault="0067156B" w:rsidP="00515F50">
            <w:pPr>
              <w:jc w:val="center"/>
              <w:rPr>
                <w:b/>
                <w:sz w:val="20"/>
                <w:szCs w:val="20"/>
              </w:rPr>
            </w:pPr>
            <w:r w:rsidRPr="00BE1CDB">
              <w:rPr>
                <w:b/>
                <w:sz w:val="20"/>
                <w:szCs w:val="20"/>
              </w:rPr>
              <w:t>7</w:t>
            </w:r>
          </w:p>
        </w:tc>
      </w:tr>
      <w:tr w:rsidR="00515F50" w:rsidRPr="00BE1CDB" w14:paraId="5C5E515C" w14:textId="77777777" w:rsidTr="00515F50">
        <w:tc>
          <w:tcPr>
            <w:tcW w:w="1980" w:type="dxa"/>
          </w:tcPr>
          <w:p w14:paraId="1D44BEB1" w14:textId="77777777" w:rsidR="0067156B" w:rsidRPr="00BE1CDB" w:rsidRDefault="0067156B" w:rsidP="00AE7545">
            <w:pPr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 xml:space="preserve">1. </w:t>
            </w:r>
            <w:proofErr w:type="spellStart"/>
            <w:r w:rsidRPr="00BE1CDB">
              <w:rPr>
                <w:sz w:val="20"/>
                <w:szCs w:val="20"/>
              </w:rPr>
              <w:t>Change</w:t>
            </w:r>
            <w:proofErr w:type="spellEnd"/>
            <w:r w:rsidRPr="00BE1CDB">
              <w:rPr>
                <w:sz w:val="20"/>
                <w:szCs w:val="20"/>
              </w:rPr>
              <w:t xml:space="preserve"> score</w:t>
            </w:r>
          </w:p>
          <w:p w14:paraId="71543E46" w14:textId="77777777" w:rsidR="0067156B" w:rsidRPr="00BE1CDB" w:rsidRDefault="0067156B" w:rsidP="00AE7545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7E6098D" w14:textId="77777777" w:rsidR="0067156B" w:rsidRPr="00BE1CDB" w:rsidRDefault="00515F50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  <w:lang w:val="en-US"/>
              </w:rPr>
              <w:sym w:font="Symbol" w:char="F02D"/>
            </w:r>
          </w:p>
        </w:tc>
        <w:tc>
          <w:tcPr>
            <w:tcW w:w="1012" w:type="dxa"/>
          </w:tcPr>
          <w:p w14:paraId="5F094574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01BA6E2D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8217190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660E8A83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56E4B554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1F0D4D61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</w:p>
        </w:tc>
      </w:tr>
      <w:tr w:rsidR="00515F50" w:rsidRPr="00BE1CDB" w14:paraId="3EF1F275" w14:textId="77777777" w:rsidTr="00515F50">
        <w:tc>
          <w:tcPr>
            <w:tcW w:w="1980" w:type="dxa"/>
          </w:tcPr>
          <w:p w14:paraId="29642F6F" w14:textId="77777777" w:rsidR="0067156B" w:rsidRPr="00BE1CDB" w:rsidRDefault="0067156B" w:rsidP="00AE7545">
            <w:pPr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 xml:space="preserve">2. </w:t>
            </w:r>
            <w:proofErr w:type="spellStart"/>
            <w:r w:rsidRPr="00BE1CDB">
              <w:rPr>
                <w:sz w:val="20"/>
                <w:szCs w:val="20"/>
              </w:rPr>
              <w:t>Quality</w:t>
            </w:r>
            <w:proofErr w:type="spellEnd"/>
            <w:r w:rsidRPr="00BE1CDB">
              <w:rPr>
                <w:sz w:val="20"/>
                <w:szCs w:val="20"/>
              </w:rPr>
              <w:t xml:space="preserve"> </w:t>
            </w:r>
            <w:proofErr w:type="spellStart"/>
            <w:r w:rsidRPr="00BE1CDB">
              <w:rPr>
                <w:sz w:val="20"/>
                <w:szCs w:val="20"/>
              </w:rPr>
              <w:t>of</w:t>
            </w:r>
            <w:proofErr w:type="spellEnd"/>
            <w:r w:rsidRPr="00BE1CDB">
              <w:rPr>
                <w:sz w:val="20"/>
                <w:szCs w:val="20"/>
              </w:rPr>
              <w:t xml:space="preserve"> Delivery</w:t>
            </w:r>
          </w:p>
        </w:tc>
        <w:tc>
          <w:tcPr>
            <w:tcW w:w="1011" w:type="dxa"/>
          </w:tcPr>
          <w:p w14:paraId="037C7637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>.20</w:t>
            </w:r>
          </w:p>
        </w:tc>
        <w:tc>
          <w:tcPr>
            <w:tcW w:w="1012" w:type="dxa"/>
          </w:tcPr>
          <w:p w14:paraId="58CFDAFE" w14:textId="77777777" w:rsidR="0067156B" w:rsidRPr="00BE1CDB" w:rsidRDefault="00515F50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  <w:lang w:val="en-US"/>
              </w:rPr>
              <w:sym w:font="Symbol" w:char="F02D"/>
            </w:r>
          </w:p>
        </w:tc>
        <w:tc>
          <w:tcPr>
            <w:tcW w:w="1012" w:type="dxa"/>
          </w:tcPr>
          <w:p w14:paraId="39113943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4CE83E6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61A6F01C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5C564F0B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76232FE9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</w:p>
        </w:tc>
      </w:tr>
      <w:tr w:rsidR="00515F50" w:rsidRPr="00BE1CDB" w14:paraId="0640AD1E" w14:textId="77777777" w:rsidTr="00515F50">
        <w:tc>
          <w:tcPr>
            <w:tcW w:w="1980" w:type="dxa"/>
          </w:tcPr>
          <w:p w14:paraId="62EF533C" w14:textId="77777777" w:rsidR="0067156B" w:rsidRPr="00BE1CDB" w:rsidRDefault="0067156B" w:rsidP="00AE7545">
            <w:pPr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 xml:space="preserve">3. </w:t>
            </w:r>
            <w:proofErr w:type="spellStart"/>
            <w:r w:rsidR="00515F50" w:rsidRPr="00BE1CDB">
              <w:rPr>
                <w:sz w:val="20"/>
                <w:szCs w:val="20"/>
              </w:rPr>
              <w:t>Participation</w:t>
            </w:r>
            <w:proofErr w:type="spellEnd"/>
            <w:r w:rsidR="00515F50" w:rsidRPr="00BE1CDB">
              <w:rPr>
                <w:sz w:val="20"/>
                <w:szCs w:val="20"/>
              </w:rPr>
              <w:t xml:space="preserve"> and</w:t>
            </w:r>
            <w:r w:rsidR="00EF4AA6" w:rsidRPr="00BE1CDB">
              <w:rPr>
                <w:sz w:val="20"/>
                <w:szCs w:val="20"/>
              </w:rPr>
              <w:t xml:space="preserve"> </w:t>
            </w:r>
            <w:proofErr w:type="spellStart"/>
            <w:r w:rsidR="00EF4AA6" w:rsidRPr="00BE1CDB">
              <w:rPr>
                <w:sz w:val="20"/>
                <w:szCs w:val="20"/>
              </w:rPr>
              <w:t>involvement</w:t>
            </w:r>
            <w:proofErr w:type="spellEnd"/>
          </w:p>
        </w:tc>
        <w:tc>
          <w:tcPr>
            <w:tcW w:w="1011" w:type="dxa"/>
          </w:tcPr>
          <w:p w14:paraId="125911BF" w14:textId="77777777" w:rsidR="0067156B" w:rsidRPr="00BE1CDB" w:rsidRDefault="00515F50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>.25</w:t>
            </w:r>
          </w:p>
        </w:tc>
        <w:tc>
          <w:tcPr>
            <w:tcW w:w="1012" w:type="dxa"/>
          </w:tcPr>
          <w:p w14:paraId="7E0A83E8" w14:textId="77777777" w:rsidR="0067156B" w:rsidRPr="00BE1CDB" w:rsidRDefault="00EF4AA6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>.21</w:t>
            </w:r>
          </w:p>
        </w:tc>
        <w:tc>
          <w:tcPr>
            <w:tcW w:w="1012" w:type="dxa"/>
          </w:tcPr>
          <w:p w14:paraId="74734BF8" w14:textId="77777777" w:rsidR="0067156B" w:rsidRPr="00BE1CDB" w:rsidRDefault="00515F50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  <w:lang w:val="en-US"/>
              </w:rPr>
              <w:sym w:font="Symbol" w:char="F02D"/>
            </w:r>
          </w:p>
        </w:tc>
        <w:tc>
          <w:tcPr>
            <w:tcW w:w="1011" w:type="dxa"/>
          </w:tcPr>
          <w:p w14:paraId="0636707E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71864DF0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4868EAEB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7C092796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</w:p>
        </w:tc>
      </w:tr>
      <w:tr w:rsidR="00515F50" w:rsidRPr="00BE1CDB" w14:paraId="5F17FF23" w14:textId="77777777" w:rsidTr="00515F50">
        <w:tc>
          <w:tcPr>
            <w:tcW w:w="1980" w:type="dxa"/>
          </w:tcPr>
          <w:p w14:paraId="7A3E02AE" w14:textId="77777777" w:rsidR="0067156B" w:rsidRPr="00BE1CDB" w:rsidRDefault="0067156B" w:rsidP="00AE7545">
            <w:pPr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 xml:space="preserve">4. </w:t>
            </w:r>
            <w:proofErr w:type="spellStart"/>
            <w:r w:rsidRPr="00BE1CDB">
              <w:rPr>
                <w:sz w:val="20"/>
                <w:szCs w:val="20"/>
              </w:rPr>
              <w:t>Engagement</w:t>
            </w:r>
            <w:proofErr w:type="spellEnd"/>
          </w:p>
          <w:p w14:paraId="37F9C28D" w14:textId="77777777" w:rsidR="0067156B" w:rsidRPr="00BE1CDB" w:rsidRDefault="0067156B" w:rsidP="00AE7545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3A96016" w14:textId="77777777" w:rsidR="0067156B" w:rsidRPr="00BE1CDB" w:rsidRDefault="00515F50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  <w:lang w:val="en-US"/>
              </w:rPr>
              <w:sym w:font="Symbol" w:char="F02D"/>
            </w:r>
            <w:r w:rsidRPr="00BE1CDB">
              <w:rPr>
                <w:sz w:val="20"/>
                <w:szCs w:val="20"/>
              </w:rPr>
              <w:t>.07</w:t>
            </w:r>
          </w:p>
        </w:tc>
        <w:tc>
          <w:tcPr>
            <w:tcW w:w="1012" w:type="dxa"/>
          </w:tcPr>
          <w:p w14:paraId="13D7DCB3" w14:textId="77777777" w:rsidR="0067156B" w:rsidRPr="00BE1CDB" w:rsidRDefault="00515F50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>.35</w:t>
            </w:r>
          </w:p>
        </w:tc>
        <w:tc>
          <w:tcPr>
            <w:tcW w:w="1012" w:type="dxa"/>
          </w:tcPr>
          <w:p w14:paraId="5B3A750D" w14:textId="77777777" w:rsidR="0067156B" w:rsidRPr="00BE1CDB" w:rsidRDefault="00EF4AA6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>.17</w:t>
            </w:r>
          </w:p>
        </w:tc>
        <w:tc>
          <w:tcPr>
            <w:tcW w:w="1011" w:type="dxa"/>
          </w:tcPr>
          <w:p w14:paraId="6CA94C23" w14:textId="77777777" w:rsidR="0067156B" w:rsidRPr="00BE1CDB" w:rsidRDefault="00515F50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  <w:lang w:val="en-US"/>
              </w:rPr>
              <w:sym w:font="Symbol" w:char="F02D"/>
            </w:r>
          </w:p>
        </w:tc>
        <w:tc>
          <w:tcPr>
            <w:tcW w:w="1012" w:type="dxa"/>
          </w:tcPr>
          <w:p w14:paraId="35DAC171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43BE717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91D2B6F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</w:p>
        </w:tc>
      </w:tr>
      <w:tr w:rsidR="00515F50" w:rsidRPr="00BE1CDB" w14:paraId="248794F9" w14:textId="77777777" w:rsidTr="00515F50">
        <w:tc>
          <w:tcPr>
            <w:tcW w:w="1980" w:type="dxa"/>
          </w:tcPr>
          <w:p w14:paraId="36A3DC4C" w14:textId="77777777" w:rsidR="0067156B" w:rsidRPr="00BE1CDB" w:rsidRDefault="0067156B" w:rsidP="00AE7545">
            <w:pPr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 xml:space="preserve">5. </w:t>
            </w:r>
            <w:proofErr w:type="spellStart"/>
            <w:r w:rsidRPr="00BE1CDB">
              <w:rPr>
                <w:sz w:val="20"/>
                <w:szCs w:val="20"/>
              </w:rPr>
              <w:t>Dosage</w:t>
            </w:r>
            <w:proofErr w:type="spellEnd"/>
          </w:p>
          <w:p w14:paraId="47472FBE" w14:textId="77777777" w:rsidR="0067156B" w:rsidRPr="00BE1CDB" w:rsidRDefault="0067156B" w:rsidP="00AE7545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10FF6797" w14:textId="77777777" w:rsidR="0067156B" w:rsidRPr="00BE1CDB" w:rsidRDefault="00515F50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  <w:lang w:val="en-US"/>
              </w:rPr>
              <w:sym w:font="Symbol" w:char="F02D"/>
            </w:r>
            <w:r w:rsidRPr="00BE1CDB">
              <w:rPr>
                <w:sz w:val="20"/>
                <w:szCs w:val="20"/>
              </w:rPr>
              <w:t>.24</w:t>
            </w:r>
          </w:p>
        </w:tc>
        <w:tc>
          <w:tcPr>
            <w:tcW w:w="1012" w:type="dxa"/>
          </w:tcPr>
          <w:p w14:paraId="3135BDFC" w14:textId="77777777" w:rsidR="0067156B" w:rsidRPr="00BE1CDB" w:rsidRDefault="00515F50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>.06</w:t>
            </w:r>
          </w:p>
        </w:tc>
        <w:tc>
          <w:tcPr>
            <w:tcW w:w="1012" w:type="dxa"/>
          </w:tcPr>
          <w:p w14:paraId="75C633E0" w14:textId="77777777" w:rsidR="0067156B" w:rsidRPr="00BE1CDB" w:rsidRDefault="00EF4AA6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>.09</w:t>
            </w:r>
          </w:p>
        </w:tc>
        <w:tc>
          <w:tcPr>
            <w:tcW w:w="1011" w:type="dxa"/>
          </w:tcPr>
          <w:p w14:paraId="4FC11594" w14:textId="77777777" w:rsidR="0067156B" w:rsidRPr="00BE1CDB" w:rsidRDefault="00515F50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  <w:lang w:val="en-US"/>
              </w:rPr>
              <w:sym w:font="Symbol" w:char="F02D"/>
            </w:r>
            <w:r w:rsidRPr="00BE1CDB">
              <w:rPr>
                <w:sz w:val="20"/>
                <w:szCs w:val="20"/>
              </w:rPr>
              <w:t>.01</w:t>
            </w:r>
          </w:p>
        </w:tc>
        <w:tc>
          <w:tcPr>
            <w:tcW w:w="1012" w:type="dxa"/>
          </w:tcPr>
          <w:p w14:paraId="3D65BCB0" w14:textId="77777777" w:rsidR="0067156B" w:rsidRPr="00BE1CDB" w:rsidRDefault="00515F50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  <w:lang w:val="en-US"/>
              </w:rPr>
              <w:sym w:font="Symbol" w:char="F02D"/>
            </w:r>
          </w:p>
        </w:tc>
        <w:tc>
          <w:tcPr>
            <w:tcW w:w="1012" w:type="dxa"/>
          </w:tcPr>
          <w:p w14:paraId="03047153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5C7C3845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</w:p>
        </w:tc>
      </w:tr>
      <w:tr w:rsidR="00515F50" w:rsidRPr="00BE1CDB" w14:paraId="70BFCBE6" w14:textId="77777777" w:rsidTr="00515F50">
        <w:tc>
          <w:tcPr>
            <w:tcW w:w="1980" w:type="dxa"/>
          </w:tcPr>
          <w:p w14:paraId="006AE024" w14:textId="77777777" w:rsidR="0067156B" w:rsidRPr="00BE1CDB" w:rsidRDefault="0067156B" w:rsidP="00AE7545">
            <w:pPr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>6. School-</w:t>
            </w:r>
            <w:proofErr w:type="spellStart"/>
            <w:r w:rsidRPr="00BE1CDB">
              <w:rPr>
                <w:sz w:val="20"/>
                <w:szCs w:val="20"/>
              </w:rPr>
              <w:t>level</w:t>
            </w:r>
            <w:proofErr w:type="spellEnd"/>
            <w:r w:rsidRPr="00BE1CDB">
              <w:rPr>
                <w:sz w:val="20"/>
                <w:szCs w:val="20"/>
              </w:rPr>
              <w:t xml:space="preserve"> </w:t>
            </w:r>
            <w:proofErr w:type="spellStart"/>
            <w:r w:rsidRPr="00BE1CDB">
              <w:rPr>
                <w:sz w:val="20"/>
                <w:szCs w:val="20"/>
              </w:rPr>
              <w:t>fidelity</w:t>
            </w:r>
            <w:proofErr w:type="spellEnd"/>
          </w:p>
        </w:tc>
        <w:tc>
          <w:tcPr>
            <w:tcW w:w="1011" w:type="dxa"/>
          </w:tcPr>
          <w:p w14:paraId="1F2563BA" w14:textId="77777777" w:rsidR="0067156B" w:rsidRPr="00BE1CDB" w:rsidRDefault="00EF4AA6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>.48</w:t>
            </w:r>
            <w:r w:rsidR="0067156B" w:rsidRPr="00BE1CDB">
              <w:rPr>
                <w:sz w:val="20"/>
                <w:szCs w:val="20"/>
              </w:rPr>
              <w:t>**</w:t>
            </w:r>
          </w:p>
        </w:tc>
        <w:tc>
          <w:tcPr>
            <w:tcW w:w="1012" w:type="dxa"/>
          </w:tcPr>
          <w:p w14:paraId="786F9535" w14:textId="77777777" w:rsidR="0067156B" w:rsidRPr="00BE1CDB" w:rsidRDefault="00EF4AA6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>.22</w:t>
            </w:r>
          </w:p>
        </w:tc>
        <w:tc>
          <w:tcPr>
            <w:tcW w:w="1012" w:type="dxa"/>
          </w:tcPr>
          <w:p w14:paraId="6BBC1843" w14:textId="77777777" w:rsidR="0067156B" w:rsidRPr="00BE1CDB" w:rsidRDefault="00EF4AA6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>.53</w:t>
            </w:r>
            <w:r w:rsidR="0067156B" w:rsidRPr="00BE1CDB">
              <w:rPr>
                <w:sz w:val="20"/>
                <w:szCs w:val="20"/>
              </w:rPr>
              <w:t>**</w:t>
            </w:r>
          </w:p>
        </w:tc>
        <w:tc>
          <w:tcPr>
            <w:tcW w:w="1011" w:type="dxa"/>
          </w:tcPr>
          <w:p w14:paraId="29FBAA44" w14:textId="77777777" w:rsidR="0067156B" w:rsidRPr="00BE1CDB" w:rsidRDefault="00EF4AA6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  <w:lang w:val="en-US"/>
              </w:rPr>
              <w:sym w:font="Symbol" w:char="F02D"/>
            </w:r>
            <w:r w:rsidRPr="00BE1CDB">
              <w:rPr>
                <w:sz w:val="20"/>
                <w:szCs w:val="20"/>
              </w:rPr>
              <w:t>.03</w:t>
            </w:r>
          </w:p>
        </w:tc>
        <w:tc>
          <w:tcPr>
            <w:tcW w:w="1012" w:type="dxa"/>
          </w:tcPr>
          <w:p w14:paraId="36BFCA25" w14:textId="77777777" w:rsidR="0067156B" w:rsidRPr="00BE1CDB" w:rsidRDefault="00EF4AA6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>.07</w:t>
            </w:r>
          </w:p>
        </w:tc>
        <w:tc>
          <w:tcPr>
            <w:tcW w:w="1012" w:type="dxa"/>
          </w:tcPr>
          <w:p w14:paraId="76BAC64E" w14:textId="77777777" w:rsidR="0067156B" w:rsidRPr="00BE1CDB" w:rsidRDefault="00515F50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  <w:lang w:val="en-US"/>
              </w:rPr>
              <w:sym w:font="Symbol" w:char="F02D"/>
            </w:r>
          </w:p>
        </w:tc>
        <w:tc>
          <w:tcPr>
            <w:tcW w:w="1012" w:type="dxa"/>
          </w:tcPr>
          <w:p w14:paraId="76568882" w14:textId="77777777" w:rsidR="0067156B" w:rsidRPr="00BE1CDB" w:rsidRDefault="0067156B" w:rsidP="00515F50">
            <w:pPr>
              <w:jc w:val="center"/>
              <w:rPr>
                <w:sz w:val="20"/>
                <w:szCs w:val="20"/>
              </w:rPr>
            </w:pPr>
          </w:p>
        </w:tc>
      </w:tr>
      <w:tr w:rsidR="00515F50" w:rsidRPr="00BE1CDB" w14:paraId="6F884E32" w14:textId="77777777" w:rsidTr="00515F50">
        <w:tc>
          <w:tcPr>
            <w:tcW w:w="1980" w:type="dxa"/>
          </w:tcPr>
          <w:p w14:paraId="08FE2D52" w14:textId="77777777" w:rsidR="0067156B" w:rsidRPr="00BE1CDB" w:rsidRDefault="0067156B" w:rsidP="00AE7545">
            <w:pPr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 xml:space="preserve">7. </w:t>
            </w:r>
            <w:proofErr w:type="spellStart"/>
            <w:r w:rsidRPr="00BE1CDB">
              <w:rPr>
                <w:sz w:val="20"/>
                <w:szCs w:val="20"/>
              </w:rPr>
              <w:t>Ambassador</w:t>
            </w:r>
            <w:proofErr w:type="spellEnd"/>
            <w:r w:rsidRPr="00BE1CDB">
              <w:rPr>
                <w:sz w:val="20"/>
                <w:szCs w:val="20"/>
              </w:rPr>
              <w:t xml:space="preserve"> </w:t>
            </w:r>
            <w:proofErr w:type="spellStart"/>
            <w:r w:rsidRPr="00BE1CDB">
              <w:rPr>
                <w:sz w:val="20"/>
                <w:szCs w:val="20"/>
              </w:rPr>
              <w:t>fidelity</w:t>
            </w:r>
            <w:proofErr w:type="spellEnd"/>
          </w:p>
        </w:tc>
        <w:tc>
          <w:tcPr>
            <w:tcW w:w="1011" w:type="dxa"/>
          </w:tcPr>
          <w:p w14:paraId="1A1D5285" w14:textId="77777777" w:rsidR="0067156B" w:rsidRPr="00BE1CDB" w:rsidRDefault="00515F50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>.21</w:t>
            </w:r>
          </w:p>
        </w:tc>
        <w:tc>
          <w:tcPr>
            <w:tcW w:w="1012" w:type="dxa"/>
          </w:tcPr>
          <w:p w14:paraId="71F386D7" w14:textId="77777777" w:rsidR="0067156B" w:rsidRPr="00BE1CDB" w:rsidRDefault="00515F50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>.35</w:t>
            </w:r>
          </w:p>
        </w:tc>
        <w:tc>
          <w:tcPr>
            <w:tcW w:w="1012" w:type="dxa"/>
          </w:tcPr>
          <w:p w14:paraId="2688CDBC" w14:textId="77777777" w:rsidR="0067156B" w:rsidRPr="00BE1CDB" w:rsidRDefault="00EF4AA6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>.26</w:t>
            </w:r>
          </w:p>
        </w:tc>
        <w:tc>
          <w:tcPr>
            <w:tcW w:w="1011" w:type="dxa"/>
          </w:tcPr>
          <w:p w14:paraId="694960DD" w14:textId="77777777" w:rsidR="0067156B" w:rsidRPr="00BE1CDB" w:rsidRDefault="00515F50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>.40</w:t>
            </w:r>
            <w:r w:rsidR="0067156B" w:rsidRPr="00BE1CDB">
              <w:rPr>
                <w:sz w:val="20"/>
                <w:szCs w:val="20"/>
              </w:rPr>
              <w:t>*</w:t>
            </w:r>
          </w:p>
        </w:tc>
        <w:tc>
          <w:tcPr>
            <w:tcW w:w="1012" w:type="dxa"/>
          </w:tcPr>
          <w:p w14:paraId="3F15E7A2" w14:textId="77777777" w:rsidR="0067156B" w:rsidRPr="00BE1CDB" w:rsidRDefault="00515F50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  <w:lang w:val="en-US"/>
              </w:rPr>
              <w:sym w:font="Symbol" w:char="F02D"/>
            </w:r>
            <w:r w:rsidRPr="00BE1CDB">
              <w:rPr>
                <w:sz w:val="20"/>
                <w:szCs w:val="20"/>
              </w:rPr>
              <w:t>.16</w:t>
            </w:r>
          </w:p>
        </w:tc>
        <w:tc>
          <w:tcPr>
            <w:tcW w:w="1012" w:type="dxa"/>
          </w:tcPr>
          <w:p w14:paraId="46641A87" w14:textId="77777777" w:rsidR="0067156B" w:rsidRPr="00BE1CDB" w:rsidRDefault="00EF4AA6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</w:rPr>
              <w:t>.31</w:t>
            </w:r>
          </w:p>
        </w:tc>
        <w:tc>
          <w:tcPr>
            <w:tcW w:w="1012" w:type="dxa"/>
          </w:tcPr>
          <w:p w14:paraId="095A7D5F" w14:textId="77777777" w:rsidR="0067156B" w:rsidRPr="00BE1CDB" w:rsidRDefault="00515F50" w:rsidP="00515F50">
            <w:pPr>
              <w:jc w:val="center"/>
              <w:rPr>
                <w:sz w:val="20"/>
                <w:szCs w:val="20"/>
              </w:rPr>
            </w:pPr>
            <w:r w:rsidRPr="00BE1CDB">
              <w:rPr>
                <w:sz w:val="20"/>
                <w:szCs w:val="20"/>
                <w:lang w:val="en-US"/>
              </w:rPr>
              <w:sym w:font="Symbol" w:char="F02D"/>
            </w:r>
          </w:p>
        </w:tc>
      </w:tr>
    </w:tbl>
    <w:p w14:paraId="5B2CC634" w14:textId="77777777" w:rsidR="004F22F9" w:rsidRDefault="00BE1CDB" w:rsidP="00BD24D3">
      <w:pPr>
        <w:pStyle w:val="Listeavsnitt"/>
        <w:spacing w:line="480" w:lineRule="auto"/>
        <w:ind w:left="0"/>
        <w:rPr>
          <w:sz w:val="18"/>
          <w:szCs w:val="18"/>
          <w:lang w:val="en-US"/>
        </w:rPr>
      </w:pPr>
      <w:proofErr w:type="spellStart"/>
      <w:r w:rsidRPr="00BE1CDB">
        <w:rPr>
          <w:sz w:val="18"/>
          <w:szCs w:val="18"/>
          <w:vertAlign w:val="superscript"/>
          <w:lang w:val="en-US"/>
        </w:rPr>
        <w:t>a</w:t>
      </w:r>
      <w:r w:rsidRPr="00BE1CDB">
        <w:rPr>
          <w:sz w:val="18"/>
          <w:szCs w:val="18"/>
          <w:lang w:val="en-US"/>
        </w:rPr>
        <w:t>Pearson’s</w:t>
      </w:r>
      <w:proofErr w:type="spellEnd"/>
      <w:r w:rsidRPr="00BE1CDB">
        <w:rPr>
          <w:sz w:val="18"/>
          <w:szCs w:val="18"/>
          <w:lang w:val="en-US"/>
        </w:rPr>
        <w:t xml:space="preserve"> bivariate correlation is reported for correlations between two variables with normally distributed variables and Spearman’s rank-order correlation is reported for correlations in which at least one variable in non-normally distributed.</w:t>
      </w:r>
    </w:p>
    <w:p w14:paraId="5FBCA469" w14:textId="77777777" w:rsidR="00BD24D3" w:rsidRPr="00BD24D3" w:rsidRDefault="00BD24D3" w:rsidP="00BD24D3">
      <w:pPr>
        <w:spacing w:line="480" w:lineRule="auto"/>
        <w:rPr>
          <w:sz w:val="18"/>
          <w:szCs w:val="18"/>
          <w:lang w:val="en-US"/>
        </w:rPr>
      </w:pPr>
      <w:r w:rsidRPr="00BD24D3">
        <w:rPr>
          <w:sz w:val="18"/>
          <w:szCs w:val="18"/>
          <w:lang w:val="en-US"/>
        </w:rPr>
        <w:t xml:space="preserve">** Correlation is </w:t>
      </w:r>
      <w:r>
        <w:rPr>
          <w:sz w:val="18"/>
          <w:szCs w:val="18"/>
          <w:lang w:val="en-US"/>
        </w:rPr>
        <w:t>s</w:t>
      </w:r>
      <w:r w:rsidR="00354960">
        <w:rPr>
          <w:sz w:val="18"/>
          <w:szCs w:val="18"/>
          <w:lang w:val="en-US"/>
        </w:rPr>
        <w:t>ignificant at the 0</w:t>
      </w:r>
      <w:r w:rsidR="00354960" w:rsidRPr="00354960">
        <w:rPr>
          <w:lang w:val="en-US"/>
        </w:rPr>
        <w:t>·</w:t>
      </w:r>
      <w:r>
        <w:rPr>
          <w:sz w:val="18"/>
          <w:szCs w:val="18"/>
          <w:lang w:val="en-US"/>
        </w:rPr>
        <w:t>01 level (2-tailed).</w:t>
      </w:r>
    </w:p>
    <w:p w14:paraId="62FC4315" w14:textId="77777777" w:rsidR="00BD24D3" w:rsidRPr="000C64BC" w:rsidRDefault="00BD24D3" w:rsidP="00BD24D3">
      <w:pPr>
        <w:spacing w:line="480" w:lineRule="auto"/>
        <w:rPr>
          <w:lang w:val="en-US"/>
        </w:rPr>
      </w:pPr>
      <w:r w:rsidRPr="00BD24D3">
        <w:rPr>
          <w:sz w:val="18"/>
          <w:szCs w:val="18"/>
          <w:lang w:val="en-US"/>
        </w:rPr>
        <w:t>* Correlation is significant at the 0</w:t>
      </w:r>
      <w:r w:rsidR="00354960" w:rsidRPr="00354960">
        <w:rPr>
          <w:lang w:val="en-US"/>
        </w:rPr>
        <w:t>·</w:t>
      </w:r>
      <w:r w:rsidRPr="00BD24D3">
        <w:rPr>
          <w:sz w:val="18"/>
          <w:szCs w:val="18"/>
          <w:lang w:val="en-US"/>
        </w:rPr>
        <w:t>05 level</w:t>
      </w:r>
      <w:r>
        <w:rPr>
          <w:lang w:val="en-US"/>
        </w:rPr>
        <w:t xml:space="preserve"> </w:t>
      </w:r>
      <w:r>
        <w:rPr>
          <w:sz w:val="18"/>
          <w:szCs w:val="18"/>
          <w:lang w:val="en-US"/>
        </w:rPr>
        <w:t>(2-tailed).</w:t>
      </w:r>
    </w:p>
    <w:p w14:paraId="02A66EE6" w14:textId="77777777" w:rsidR="00BD24D3" w:rsidRPr="00BE1CDB" w:rsidRDefault="00BD24D3" w:rsidP="00BE1CDB">
      <w:pPr>
        <w:pStyle w:val="Listeavsnitt"/>
        <w:ind w:left="0"/>
        <w:rPr>
          <w:sz w:val="18"/>
          <w:szCs w:val="18"/>
          <w:lang w:val="en-US"/>
        </w:rPr>
      </w:pPr>
    </w:p>
    <w:p w14:paraId="45F9211B" w14:textId="77777777" w:rsidR="00AA3E97" w:rsidRPr="00AA3E97" w:rsidRDefault="00AA3E97" w:rsidP="00AA3E97">
      <w:pPr>
        <w:pStyle w:val="Listeavsnitt"/>
        <w:rPr>
          <w:lang w:val="en-US"/>
        </w:rPr>
      </w:pPr>
    </w:p>
    <w:sectPr w:rsidR="00AA3E97" w:rsidRPr="00AA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94620"/>
    <w:multiLevelType w:val="hybridMultilevel"/>
    <w:tmpl w:val="F7E801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84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7E"/>
    <w:rsid w:val="000C313F"/>
    <w:rsid w:val="000F1C94"/>
    <w:rsid w:val="00105542"/>
    <w:rsid w:val="001826F9"/>
    <w:rsid w:val="00202788"/>
    <w:rsid w:val="00294624"/>
    <w:rsid w:val="002A4F7A"/>
    <w:rsid w:val="002F4B1D"/>
    <w:rsid w:val="00354960"/>
    <w:rsid w:val="003B040F"/>
    <w:rsid w:val="0044731A"/>
    <w:rsid w:val="004C75D2"/>
    <w:rsid w:val="004F22F9"/>
    <w:rsid w:val="00515F50"/>
    <w:rsid w:val="0053582E"/>
    <w:rsid w:val="0067156B"/>
    <w:rsid w:val="006C1852"/>
    <w:rsid w:val="0092483D"/>
    <w:rsid w:val="009778F7"/>
    <w:rsid w:val="009E7F8D"/>
    <w:rsid w:val="00A2617E"/>
    <w:rsid w:val="00A352CE"/>
    <w:rsid w:val="00AA3E97"/>
    <w:rsid w:val="00B761E6"/>
    <w:rsid w:val="00BD24D3"/>
    <w:rsid w:val="00BE1CDB"/>
    <w:rsid w:val="00C5318B"/>
    <w:rsid w:val="00CA4028"/>
    <w:rsid w:val="00D82726"/>
    <w:rsid w:val="00DA40D1"/>
    <w:rsid w:val="00DA5FBE"/>
    <w:rsid w:val="00DF787B"/>
    <w:rsid w:val="00E10B19"/>
    <w:rsid w:val="00EF4AA6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E50C"/>
  <w15:chartTrackingRefBased/>
  <w15:docId w15:val="{9EC4F2EA-3FBF-49C0-A144-5645146E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3E97"/>
    <w:pPr>
      <w:ind w:left="720"/>
      <w:contextualSpacing/>
    </w:pPr>
  </w:style>
  <w:style w:type="table" w:styleId="Tabellrutenett">
    <w:name w:val="Table Grid"/>
    <w:basedOn w:val="Vanligtabell"/>
    <w:uiPriority w:val="39"/>
    <w:rsid w:val="0067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Sofie Randby</dc:creator>
  <cp:keywords/>
  <dc:description/>
  <cp:lastModifiedBy>Jorunn Sofie Randby</cp:lastModifiedBy>
  <cp:revision>2</cp:revision>
  <dcterms:created xsi:type="dcterms:W3CDTF">2023-11-26T10:47:00Z</dcterms:created>
  <dcterms:modified xsi:type="dcterms:W3CDTF">2023-11-26T10:47:00Z</dcterms:modified>
</cp:coreProperties>
</file>