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54C6" w14:textId="77777777" w:rsidR="00565734" w:rsidRDefault="00565734" w:rsidP="00565734">
      <w:pPr>
        <w:rPr>
          <w:b/>
          <w:bCs/>
          <w:i/>
          <w:iCs/>
        </w:rPr>
      </w:pPr>
      <w:r>
        <w:rPr>
          <w:b/>
          <w:bCs/>
          <w:i/>
          <w:iCs/>
        </w:rPr>
        <w:t xml:space="preserve">Supplementary material </w:t>
      </w:r>
    </w:p>
    <w:p w14:paraId="73D212DC" w14:textId="7B3A0630" w:rsidR="00565734" w:rsidRPr="00565734" w:rsidRDefault="00565734" w:rsidP="00565734">
      <w:pPr>
        <w:rPr>
          <w:b/>
          <w:bCs/>
          <w:i/>
          <w:iCs/>
        </w:rPr>
      </w:pPr>
      <w:r w:rsidRPr="00565734">
        <w:rPr>
          <w:b/>
          <w:bCs/>
          <w:i/>
          <w:iCs/>
        </w:rPr>
        <w:t xml:space="preserve">Table </w:t>
      </w:r>
      <w:r>
        <w:rPr>
          <w:b/>
          <w:bCs/>
          <w:i/>
          <w:iCs/>
        </w:rPr>
        <w:t>S</w:t>
      </w:r>
      <w:r w:rsidRPr="00565734">
        <w:rPr>
          <w:b/>
          <w:bCs/>
          <w:i/>
          <w:iCs/>
        </w:rPr>
        <w:t>1: Civil-society led corporate sustainability assessment tools initially identified for this study and key attributes across tools</w:t>
      </w:r>
    </w:p>
    <w:tbl>
      <w:tblPr>
        <w:tblStyle w:val="TableGrid"/>
        <w:tblW w:w="5000" w:type="pct"/>
        <w:tblLook w:val="04A0" w:firstRow="1" w:lastRow="0" w:firstColumn="1" w:lastColumn="0" w:noHBand="0" w:noVBand="1"/>
      </w:tblPr>
      <w:tblGrid>
        <w:gridCol w:w="1169"/>
        <w:gridCol w:w="994"/>
        <w:gridCol w:w="541"/>
        <w:gridCol w:w="974"/>
        <w:gridCol w:w="3001"/>
        <w:gridCol w:w="1451"/>
        <w:gridCol w:w="934"/>
        <w:gridCol w:w="2627"/>
        <w:gridCol w:w="1259"/>
      </w:tblGrid>
      <w:tr w:rsidR="00565734" w:rsidRPr="00565734" w14:paraId="18060CC5" w14:textId="77777777" w:rsidTr="003F2755">
        <w:trPr>
          <w:trHeight w:val="323"/>
        </w:trPr>
        <w:tc>
          <w:tcPr>
            <w:tcW w:w="430" w:type="pct"/>
          </w:tcPr>
          <w:p w14:paraId="5D2A7802" w14:textId="77777777" w:rsidR="00565734" w:rsidRPr="00565734" w:rsidRDefault="00565734" w:rsidP="003F2755">
            <w:pPr>
              <w:rPr>
                <w:b/>
                <w:bCs/>
                <w:sz w:val="16"/>
                <w:szCs w:val="16"/>
              </w:rPr>
            </w:pPr>
            <w:proofErr w:type="spellStart"/>
            <w:r w:rsidRPr="00565734">
              <w:rPr>
                <w:b/>
                <w:bCs/>
                <w:sz w:val="16"/>
                <w:szCs w:val="16"/>
              </w:rPr>
              <w:t>Organisation</w:t>
            </w:r>
            <w:proofErr w:type="spellEnd"/>
          </w:p>
        </w:tc>
        <w:tc>
          <w:tcPr>
            <w:tcW w:w="365" w:type="pct"/>
          </w:tcPr>
          <w:p w14:paraId="414AC8C2" w14:textId="77777777" w:rsidR="00565734" w:rsidRPr="00565734" w:rsidRDefault="00565734" w:rsidP="003F2755">
            <w:pPr>
              <w:rPr>
                <w:b/>
                <w:bCs/>
                <w:sz w:val="16"/>
                <w:szCs w:val="16"/>
              </w:rPr>
            </w:pPr>
            <w:r w:rsidRPr="00565734">
              <w:rPr>
                <w:b/>
                <w:bCs/>
                <w:sz w:val="16"/>
                <w:szCs w:val="16"/>
              </w:rPr>
              <w:t>Tool</w:t>
            </w:r>
          </w:p>
        </w:tc>
        <w:tc>
          <w:tcPr>
            <w:tcW w:w="199" w:type="pct"/>
          </w:tcPr>
          <w:p w14:paraId="6D0480C2" w14:textId="77777777" w:rsidR="00565734" w:rsidRPr="00565734" w:rsidRDefault="00565734" w:rsidP="003F2755">
            <w:pPr>
              <w:rPr>
                <w:b/>
                <w:bCs/>
                <w:sz w:val="16"/>
                <w:szCs w:val="16"/>
              </w:rPr>
            </w:pPr>
            <w:r w:rsidRPr="00565734">
              <w:rPr>
                <w:b/>
                <w:bCs/>
                <w:sz w:val="16"/>
                <w:szCs w:val="16"/>
              </w:rPr>
              <w:t>Year</w:t>
            </w:r>
          </w:p>
        </w:tc>
        <w:tc>
          <w:tcPr>
            <w:tcW w:w="366" w:type="pct"/>
          </w:tcPr>
          <w:p w14:paraId="60CC7ADA" w14:textId="77777777" w:rsidR="00565734" w:rsidRPr="00565734" w:rsidRDefault="00565734" w:rsidP="003F2755">
            <w:pPr>
              <w:rPr>
                <w:b/>
                <w:bCs/>
                <w:sz w:val="16"/>
                <w:szCs w:val="16"/>
              </w:rPr>
            </w:pPr>
            <w:r w:rsidRPr="00565734">
              <w:rPr>
                <w:b/>
                <w:bCs/>
                <w:sz w:val="16"/>
                <w:szCs w:val="16"/>
              </w:rPr>
              <w:t>Jurisdiction</w:t>
            </w:r>
          </w:p>
        </w:tc>
        <w:tc>
          <w:tcPr>
            <w:tcW w:w="1186" w:type="pct"/>
          </w:tcPr>
          <w:p w14:paraId="1F91D816" w14:textId="77777777" w:rsidR="00565734" w:rsidRPr="00565734" w:rsidRDefault="00565734" w:rsidP="003F2755">
            <w:pPr>
              <w:rPr>
                <w:b/>
                <w:bCs/>
                <w:sz w:val="16"/>
                <w:szCs w:val="16"/>
              </w:rPr>
            </w:pPr>
            <w:r w:rsidRPr="00565734">
              <w:rPr>
                <w:b/>
                <w:bCs/>
                <w:sz w:val="16"/>
                <w:szCs w:val="16"/>
              </w:rPr>
              <w:t>Description</w:t>
            </w:r>
          </w:p>
        </w:tc>
        <w:tc>
          <w:tcPr>
            <w:tcW w:w="560" w:type="pct"/>
          </w:tcPr>
          <w:p w14:paraId="391B8422" w14:textId="77777777" w:rsidR="00565734" w:rsidRPr="00565734" w:rsidRDefault="00565734" w:rsidP="003F2755">
            <w:pPr>
              <w:rPr>
                <w:b/>
                <w:bCs/>
                <w:sz w:val="16"/>
                <w:szCs w:val="16"/>
              </w:rPr>
            </w:pPr>
            <w:r w:rsidRPr="00565734">
              <w:rPr>
                <w:b/>
                <w:bCs/>
                <w:sz w:val="16"/>
                <w:szCs w:val="16"/>
              </w:rPr>
              <w:t>Relevant food industries assessed</w:t>
            </w:r>
          </w:p>
        </w:tc>
        <w:tc>
          <w:tcPr>
            <w:tcW w:w="365" w:type="pct"/>
          </w:tcPr>
          <w:p w14:paraId="6FA8D268" w14:textId="77777777" w:rsidR="00565734" w:rsidRPr="00565734" w:rsidRDefault="00565734" w:rsidP="003F2755">
            <w:pPr>
              <w:rPr>
                <w:b/>
                <w:bCs/>
                <w:sz w:val="16"/>
                <w:szCs w:val="16"/>
              </w:rPr>
            </w:pPr>
            <w:r w:rsidRPr="00565734">
              <w:rPr>
                <w:b/>
                <w:bCs/>
                <w:sz w:val="16"/>
                <w:szCs w:val="16"/>
              </w:rPr>
              <w:t>Number of companies</w:t>
            </w:r>
          </w:p>
        </w:tc>
        <w:tc>
          <w:tcPr>
            <w:tcW w:w="1065" w:type="pct"/>
          </w:tcPr>
          <w:p w14:paraId="3A9CD99E" w14:textId="77777777" w:rsidR="00565734" w:rsidRPr="00565734" w:rsidRDefault="00565734" w:rsidP="003F2755">
            <w:pPr>
              <w:rPr>
                <w:b/>
                <w:bCs/>
                <w:sz w:val="16"/>
                <w:szCs w:val="16"/>
              </w:rPr>
            </w:pPr>
            <w:r w:rsidRPr="00565734">
              <w:rPr>
                <w:b/>
                <w:bCs/>
                <w:sz w:val="16"/>
                <w:szCs w:val="16"/>
              </w:rPr>
              <w:t>Assessment topics</w:t>
            </w:r>
          </w:p>
        </w:tc>
        <w:tc>
          <w:tcPr>
            <w:tcW w:w="464" w:type="pct"/>
          </w:tcPr>
          <w:p w14:paraId="2E55435D" w14:textId="77777777" w:rsidR="00565734" w:rsidRPr="00565734" w:rsidRDefault="00565734" w:rsidP="003F2755">
            <w:pPr>
              <w:rPr>
                <w:b/>
                <w:bCs/>
                <w:sz w:val="16"/>
                <w:szCs w:val="16"/>
              </w:rPr>
            </w:pPr>
            <w:r w:rsidRPr="00565734">
              <w:rPr>
                <w:b/>
                <w:bCs/>
                <w:sz w:val="16"/>
                <w:szCs w:val="16"/>
              </w:rPr>
              <w:t>Data sources</w:t>
            </w:r>
          </w:p>
        </w:tc>
      </w:tr>
      <w:tr w:rsidR="00565734" w:rsidRPr="00565734" w14:paraId="3039E8D2" w14:textId="77777777" w:rsidTr="003F2755">
        <w:trPr>
          <w:trHeight w:val="323"/>
        </w:trPr>
        <w:tc>
          <w:tcPr>
            <w:tcW w:w="430" w:type="pct"/>
          </w:tcPr>
          <w:p w14:paraId="3B24AE12" w14:textId="77777777" w:rsidR="00565734" w:rsidRPr="00565734" w:rsidRDefault="00565734" w:rsidP="003F2755">
            <w:pPr>
              <w:rPr>
                <w:b/>
                <w:bCs/>
                <w:sz w:val="16"/>
                <w:szCs w:val="16"/>
              </w:rPr>
            </w:pPr>
            <w:r w:rsidRPr="00565734">
              <w:rPr>
                <w:b/>
                <w:bCs/>
                <w:sz w:val="16"/>
                <w:szCs w:val="16"/>
              </w:rPr>
              <w:t>Access to Nutrition Initiative (ATNI)</w:t>
            </w:r>
          </w:p>
          <w:p w14:paraId="0936AD7A" w14:textId="77777777" w:rsidR="00565734" w:rsidRPr="00565734" w:rsidRDefault="00565734" w:rsidP="003F2755">
            <w:pPr>
              <w:rPr>
                <w:b/>
                <w:bCs/>
                <w:sz w:val="16"/>
                <w:szCs w:val="16"/>
              </w:rPr>
            </w:pPr>
          </w:p>
        </w:tc>
        <w:tc>
          <w:tcPr>
            <w:tcW w:w="365" w:type="pct"/>
          </w:tcPr>
          <w:p w14:paraId="11A9D8FF" w14:textId="77777777" w:rsidR="00565734" w:rsidRPr="00565734" w:rsidRDefault="00565734" w:rsidP="003F2755">
            <w:pPr>
              <w:rPr>
                <w:b/>
                <w:bCs/>
                <w:sz w:val="16"/>
                <w:szCs w:val="16"/>
              </w:rPr>
            </w:pPr>
            <w:r w:rsidRPr="00565734">
              <w:rPr>
                <w:b/>
                <w:bCs/>
                <w:sz w:val="16"/>
                <w:szCs w:val="16"/>
              </w:rPr>
              <w:t>BMS/CF Index</w:t>
            </w:r>
          </w:p>
        </w:tc>
        <w:tc>
          <w:tcPr>
            <w:tcW w:w="199" w:type="pct"/>
          </w:tcPr>
          <w:p w14:paraId="3BF6608A" w14:textId="77777777" w:rsidR="00565734" w:rsidRPr="00565734" w:rsidRDefault="00565734" w:rsidP="003F2755">
            <w:pPr>
              <w:rPr>
                <w:sz w:val="16"/>
                <w:szCs w:val="16"/>
              </w:rPr>
            </w:pPr>
            <w:r w:rsidRPr="00565734">
              <w:rPr>
                <w:sz w:val="16"/>
                <w:szCs w:val="16"/>
              </w:rPr>
              <w:t>2021</w:t>
            </w:r>
          </w:p>
        </w:tc>
        <w:tc>
          <w:tcPr>
            <w:tcW w:w="366" w:type="pct"/>
          </w:tcPr>
          <w:p w14:paraId="75E266EB" w14:textId="77777777" w:rsidR="00565734" w:rsidRPr="00565734" w:rsidRDefault="00565734" w:rsidP="003F2755">
            <w:pPr>
              <w:rPr>
                <w:rFonts w:cstheme="minorHAnsi"/>
                <w:sz w:val="16"/>
                <w:szCs w:val="16"/>
                <w:lang w:eastAsia="en-AU"/>
              </w:rPr>
            </w:pPr>
            <w:r w:rsidRPr="00565734">
              <w:rPr>
                <w:sz w:val="16"/>
                <w:szCs w:val="16"/>
              </w:rPr>
              <w:t>Global</w:t>
            </w:r>
          </w:p>
        </w:tc>
        <w:tc>
          <w:tcPr>
            <w:tcW w:w="1186" w:type="pct"/>
          </w:tcPr>
          <w:p w14:paraId="09934EF1" w14:textId="77777777" w:rsidR="00565734" w:rsidRPr="00565734" w:rsidRDefault="00565734" w:rsidP="003F2755">
            <w:pPr>
              <w:rPr>
                <w:b/>
                <w:bCs/>
                <w:sz w:val="16"/>
                <w:szCs w:val="16"/>
              </w:rPr>
            </w:pPr>
            <w:r w:rsidRPr="00565734">
              <w:rPr>
                <w:rFonts w:cstheme="minorHAnsi"/>
                <w:sz w:val="16"/>
                <w:szCs w:val="16"/>
                <w:lang w:eastAsia="en-AU"/>
              </w:rPr>
              <w:t xml:space="preserve">The Access to Nutrition Initiative (ATNI) Breast-milk Substitute/Commercial Formula (BMS/CF) Index assesses the largest </w:t>
            </w:r>
            <w:r w:rsidRPr="00565734">
              <w:rPr>
                <w:sz w:val="16"/>
                <w:szCs w:val="16"/>
              </w:rPr>
              <w:t xml:space="preserve">breast-milk substitute and commercial formula companies on the extent to which their marketing practices align with WHO guidance. </w:t>
            </w:r>
          </w:p>
        </w:tc>
        <w:tc>
          <w:tcPr>
            <w:tcW w:w="560" w:type="pct"/>
          </w:tcPr>
          <w:p w14:paraId="734839E8" w14:textId="77777777" w:rsidR="00565734" w:rsidRPr="00565734" w:rsidRDefault="00565734" w:rsidP="00565734">
            <w:pPr>
              <w:pStyle w:val="ListParagraph"/>
              <w:numPr>
                <w:ilvl w:val="0"/>
                <w:numId w:val="4"/>
              </w:numPr>
              <w:rPr>
                <w:sz w:val="16"/>
                <w:szCs w:val="16"/>
              </w:rPr>
            </w:pPr>
            <w:r w:rsidRPr="00565734">
              <w:rPr>
                <w:sz w:val="16"/>
                <w:szCs w:val="16"/>
              </w:rPr>
              <w:t>Breast-milk substitute and commercial formula companies</w:t>
            </w:r>
          </w:p>
          <w:p w14:paraId="34E268A0" w14:textId="77777777" w:rsidR="00565734" w:rsidRPr="00565734" w:rsidRDefault="00565734" w:rsidP="003F2755">
            <w:pPr>
              <w:rPr>
                <w:sz w:val="16"/>
                <w:szCs w:val="16"/>
              </w:rPr>
            </w:pPr>
          </w:p>
          <w:p w14:paraId="6CD498F7" w14:textId="77777777" w:rsidR="00565734" w:rsidRPr="00565734" w:rsidRDefault="00565734" w:rsidP="003F2755">
            <w:pPr>
              <w:rPr>
                <w:b/>
                <w:bCs/>
                <w:sz w:val="16"/>
                <w:szCs w:val="16"/>
              </w:rPr>
            </w:pPr>
          </w:p>
        </w:tc>
        <w:tc>
          <w:tcPr>
            <w:tcW w:w="365" w:type="pct"/>
          </w:tcPr>
          <w:p w14:paraId="32FD2994" w14:textId="77777777" w:rsidR="00565734" w:rsidRPr="00565734" w:rsidRDefault="00565734" w:rsidP="003F2755">
            <w:pPr>
              <w:rPr>
                <w:sz w:val="16"/>
                <w:szCs w:val="16"/>
              </w:rPr>
            </w:pPr>
            <w:r w:rsidRPr="00565734">
              <w:rPr>
                <w:sz w:val="16"/>
                <w:szCs w:val="16"/>
              </w:rPr>
              <w:t>9</w:t>
            </w:r>
          </w:p>
        </w:tc>
        <w:tc>
          <w:tcPr>
            <w:tcW w:w="1065" w:type="pct"/>
          </w:tcPr>
          <w:p w14:paraId="3530D155" w14:textId="77777777" w:rsidR="00565734" w:rsidRPr="00565734" w:rsidRDefault="00565734" w:rsidP="003F2755">
            <w:pPr>
              <w:rPr>
                <w:sz w:val="16"/>
                <w:szCs w:val="16"/>
              </w:rPr>
            </w:pPr>
            <w:r w:rsidRPr="00565734">
              <w:rPr>
                <w:sz w:val="16"/>
                <w:szCs w:val="16"/>
              </w:rPr>
              <w:t>Alignment with WHO Code for BMS/CF policy, management systems and disclosure; BMS/CF marketing practices in low or middle-income countries</w:t>
            </w:r>
          </w:p>
        </w:tc>
        <w:tc>
          <w:tcPr>
            <w:tcW w:w="464" w:type="pct"/>
          </w:tcPr>
          <w:p w14:paraId="2CDB770E" w14:textId="77777777" w:rsidR="00565734" w:rsidRPr="00565734" w:rsidRDefault="00565734" w:rsidP="00565734">
            <w:pPr>
              <w:pStyle w:val="ListParagraph"/>
              <w:numPr>
                <w:ilvl w:val="0"/>
                <w:numId w:val="8"/>
              </w:numPr>
              <w:rPr>
                <w:sz w:val="16"/>
                <w:szCs w:val="16"/>
              </w:rPr>
            </w:pPr>
            <w:r w:rsidRPr="00565734">
              <w:rPr>
                <w:sz w:val="16"/>
                <w:szCs w:val="16"/>
              </w:rPr>
              <w:t>Public data</w:t>
            </w:r>
          </w:p>
          <w:p w14:paraId="7A73315E" w14:textId="77777777" w:rsidR="00565734" w:rsidRPr="00565734" w:rsidRDefault="00565734" w:rsidP="00565734">
            <w:pPr>
              <w:pStyle w:val="ListParagraph"/>
              <w:numPr>
                <w:ilvl w:val="0"/>
                <w:numId w:val="8"/>
              </w:numPr>
              <w:rPr>
                <w:sz w:val="16"/>
                <w:szCs w:val="16"/>
              </w:rPr>
            </w:pPr>
            <w:r w:rsidRPr="00565734">
              <w:rPr>
                <w:sz w:val="16"/>
                <w:szCs w:val="16"/>
              </w:rPr>
              <w:t xml:space="preserve">Extensive consultation with companies </w:t>
            </w:r>
          </w:p>
        </w:tc>
      </w:tr>
      <w:tr w:rsidR="00565734" w:rsidRPr="00565734" w14:paraId="11480D65" w14:textId="77777777" w:rsidTr="003F2755">
        <w:trPr>
          <w:trHeight w:val="1478"/>
        </w:trPr>
        <w:tc>
          <w:tcPr>
            <w:tcW w:w="430" w:type="pct"/>
          </w:tcPr>
          <w:p w14:paraId="38A59BED" w14:textId="77777777" w:rsidR="00565734" w:rsidRPr="00565734" w:rsidRDefault="00565734" w:rsidP="003F2755">
            <w:pPr>
              <w:rPr>
                <w:b/>
                <w:bCs/>
                <w:sz w:val="16"/>
                <w:szCs w:val="16"/>
              </w:rPr>
            </w:pPr>
            <w:r w:rsidRPr="00565734">
              <w:rPr>
                <w:b/>
                <w:bCs/>
                <w:sz w:val="16"/>
                <w:szCs w:val="16"/>
              </w:rPr>
              <w:t>Access to Nutrition Initiative (ATNI)</w:t>
            </w:r>
          </w:p>
        </w:tc>
        <w:tc>
          <w:tcPr>
            <w:tcW w:w="365" w:type="pct"/>
          </w:tcPr>
          <w:p w14:paraId="445BB28E" w14:textId="77777777" w:rsidR="00565734" w:rsidRPr="00565734" w:rsidRDefault="00565734" w:rsidP="003F2755">
            <w:pPr>
              <w:rPr>
                <w:sz w:val="16"/>
                <w:szCs w:val="16"/>
              </w:rPr>
            </w:pPr>
            <w:r w:rsidRPr="00565734">
              <w:rPr>
                <w:b/>
                <w:bCs/>
                <w:sz w:val="16"/>
                <w:szCs w:val="16"/>
              </w:rPr>
              <w:t xml:space="preserve">Global Index </w:t>
            </w:r>
          </w:p>
        </w:tc>
        <w:tc>
          <w:tcPr>
            <w:tcW w:w="199" w:type="pct"/>
          </w:tcPr>
          <w:p w14:paraId="0CDDDB2A" w14:textId="77777777" w:rsidR="00565734" w:rsidRPr="00565734" w:rsidRDefault="00565734" w:rsidP="003F2755">
            <w:pPr>
              <w:rPr>
                <w:sz w:val="16"/>
                <w:szCs w:val="16"/>
              </w:rPr>
            </w:pPr>
            <w:r w:rsidRPr="00565734">
              <w:rPr>
                <w:sz w:val="16"/>
                <w:szCs w:val="16"/>
              </w:rPr>
              <w:t>2021</w:t>
            </w:r>
          </w:p>
        </w:tc>
        <w:tc>
          <w:tcPr>
            <w:tcW w:w="366" w:type="pct"/>
          </w:tcPr>
          <w:p w14:paraId="362D8B1D" w14:textId="77777777" w:rsidR="00565734" w:rsidRPr="00565734" w:rsidRDefault="00565734" w:rsidP="003F2755">
            <w:pPr>
              <w:rPr>
                <w:rFonts w:cstheme="minorHAnsi"/>
                <w:sz w:val="16"/>
                <w:szCs w:val="16"/>
                <w:lang w:eastAsia="en-AU"/>
              </w:rPr>
            </w:pPr>
            <w:r w:rsidRPr="00565734">
              <w:rPr>
                <w:sz w:val="16"/>
                <w:szCs w:val="16"/>
              </w:rPr>
              <w:t>Global</w:t>
            </w:r>
          </w:p>
        </w:tc>
        <w:tc>
          <w:tcPr>
            <w:tcW w:w="1186" w:type="pct"/>
          </w:tcPr>
          <w:p w14:paraId="0C3E9B80" w14:textId="77777777" w:rsidR="00565734" w:rsidRPr="00565734" w:rsidRDefault="00565734" w:rsidP="003F2755">
            <w:pPr>
              <w:rPr>
                <w:b/>
                <w:bCs/>
                <w:sz w:val="16"/>
                <w:szCs w:val="16"/>
              </w:rPr>
            </w:pPr>
            <w:r w:rsidRPr="00565734">
              <w:rPr>
                <w:rFonts w:cstheme="minorHAnsi"/>
                <w:sz w:val="16"/>
                <w:szCs w:val="16"/>
                <w:lang w:eastAsia="en-AU"/>
              </w:rPr>
              <w:t>The ATNI through its flagship ‘Global Index’, assesses the largest global food and beverage manufacturers on their nutrition and undernutrition related policies, practices and product portfolios.</w:t>
            </w:r>
          </w:p>
        </w:tc>
        <w:tc>
          <w:tcPr>
            <w:tcW w:w="560" w:type="pct"/>
          </w:tcPr>
          <w:p w14:paraId="58E0274F" w14:textId="77777777" w:rsidR="00565734" w:rsidRPr="00565734" w:rsidRDefault="00565734" w:rsidP="00565734">
            <w:pPr>
              <w:pStyle w:val="ListParagraph"/>
              <w:numPr>
                <w:ilvl w:val="0"/>
                <w:numId w:val="4"/>
              </w:numPr>
              <w:rPr>
                <w:b/>
                <w:bCs/>
                <w:sz w:val="16"/>
                <w:szCs w:val="16"/>
              </w:rPr>
            </w:pPr>
            <w:r w:rsidRPr="00565734">
              <w:rPr>
                <w:sz w:val="16"/>
                <w:szCs w:val="16"/>
              </w:rPr>
              <w:t>Food and beverage manufacturers</w:t>
            </w:r>
          </w:p>
        </w:tc>
        <w:tc>
          <w:tcPr>
            <w:tcW w:w="365" w:type="pct"/>
          </w:tcPr>
          <w:p w14:paraId="2A50E92D" w14:textId="77777777" w:rsidR="00565734" w:rsidRPr="00565734" w:rsidRDefault="00565734" w:rsidP="003F2755">
            <w:pPr>
              <w:rPr>
                <w:sz w:val="16"/>
                <w:szCs w:val="16"/>
              </w:rPr>
            </w:pPr>
            <w:r w:rsidRPr="00565734">
              <w:rPr>
                <w:sz w:val="16"/>
                <w:szCs w:val="16"/>
              </w:rPr>
              <w:t>25</w:t>
            </w:r>
          </w:p>
        </w:tc>
        <w:tc>
          <w:tcPr>
            <w:tcW w:w="1065" w:type="pct"/>
          </w:tcPr>
          <w:p w14:paraId="7D0E3744" w14:textId="77777777" w:rsidR="00565734" w:rsidRPr="00565734" w:rsidRDefault="00565734" w:rsidP="003F2755">
            <w:pPr>
              <w:rPr>
                <w:sz w:val="16"/>
                <w:szCs w:val="16"/>
              </w:rPr>
            </w:pPr>
            <w:r w:rsidRPr="00565734">
              <w:rPr>
                <w:sz w:val="16"/>
                <w:szCs w:val="16"/>
              </w:rPr>
              <w:t>Governance; Products; Accessibility; Marketing; Lifestyles; Labeling; Engagement.</w:t>
            </w:r>
          </w:p>
        </w:tc>
        <w:tc>
          <w:tcPr>
            <w:tcW w:w="464" w:type="pct"/>
          </w:tcPr>
          <w:p w14:paraId="256B1654" w14:textId="77777777" w:rsidR="00565734" w:rsidRPr="00565734" w:rsidRDefault="00565734" w:rsidP="00565734">
            <w:pPr>
              <w:pStyle w:val="ListParagraph"/>
              <w:numPr>
                <w:ilvl w:val="0"/>
                <w:numId w:val="8"/>
              </w:numPr>
              <w:rPr>
                <w:sz w:val="16"/>
                <w:szCs w:val="16"/>
              </w:rPr>
            </w:pPr>
            <w:r w:rsidRPr="00565734">
              <w:rPr>
                <w:sz w:val="16"/>
                <w:szCs w:val="16"/>
              </w:rPr>
              <w:t>Public data</w:t>
            </w:r>
          </w:p>
          <w:p w14:paraId="18445A47" w14:textId="77777777" w:rsidR="00565734" w:rsidRPr="00565734" w:rsidRDefault="00565734" w:rsidP="00565734">
            <w:pPr>
              <w:pStyle w:val="ListParagraph"/>
              <w:numPr>
                <w:ilvl w:val="0"/>
                <w:numId w:val="8"/>
              </w:numPr>
              <w:rPr>
                <w:sz w:val="16"/>
                <w:szCs w:val="16"/>
              </w:rPr>
            </w:pPr>
            <w:r w:rsidRPr="00565734">
              <w:rPr>
                <w:sz w:val="16"/>
                <w:szCs w:val="16"/>
              </w:rPr>
              <w:t xml:space="preserve">Extensive consultation with companies </w:t>
            </w:r>
          </w:p>
        </w:tc>
      </w:tr>
      <w:tr w:rsidR="00565734" w:rsidRPr="00565734" w14:paraId="62464F65" w14:textId="77777777" w:rsidTr="003F2755">
        <w:trPr>
          <w:trHeight w:val="195"/>
        </w:trPr>
        <w:tc>
          <w:tcPr>
            <w:tcW w:w="430" w:type="pct"/>
          </w:tcPr>
          <w:p w14:paraId="143686A1" w14:textId="77777777" w:rsidR="00565734" w:rsidRPr="00565734" w:rsidRDefault="00565734" w:rsidP="003F2755">
            <w:pPr>
              <w:rPr>
                <w:b/>
                <w:bCs/>
                <w:sz w:val="16"/>
                <w:szCs w:val="16"/>
              </w:rPr>
            </w:pPr>
            <w:r w:rsidRPr="00565734">
              <w:rPr>
                <w:b/>
                <w:bCs/>
                <w:sz w:val="16"/>
                <w:szCs w:val="16"/>
              </w:rPr>
              <w:t>Access to Nutrition Initiative (ATNI)</w:t>
            </w:r>
          </w:p>
          <w:p w14:paraId="0AD7850A" w14:textId="77777777" w:rsidR="00565734" w:rsidRPr="00565734" w:rsidRDefault="00565734" w:rsidP="003F2755">
            <w:pPr>
              <w:rPr>
                <w:b/>
                <w:bCs/>
                <w:sz w:val="16"/>
                <w:szCs w:val="16"/>
              </w:rPr>
            </w:pPr>
          </w:p>
        </w:tc>
        <w:tc>
          <w:tcPr>
            <w:tcW w:w="365" w:type="pct"/>
          </w:tcPr>
          <w:p w14:paraId="09178D1B" w14:textId="77777777" w:rsidR="00565734" w:rsidRPr="00565734" w:rsidRDefault="00565734" w:rsidP="003F2755">
            <w:pPr>
              <w:rPr>
                <w:b/>
                <w:bCs/>
                <w:sz w:val="16"/>
                <w:szCs w:val="16"/>
              </w:rPr>
            </w:pPr>
            <w:r w:rsidRPr="00565734">
              <w:rPr>
                <w:b/>
                <w:bCs/>
                <w:sz w:val="16"/>
                <w:szCs w:val="16"/>
              </w:rPr>
              <w:t>India Spotlight Index</w:t>
            </w:r>
          </w:p>
        </w:tc>
        <w:tc>
          <w:tcPr>
            <w:tcW w:w="199" w:type="pct"/>
          </w:tcPr>
          <w:p w14:paraId="678CE853" w14:textId="77777777" w:rsidR="00565734" w:rsidRPr="00565734" w:rsidRDefault="00565734" w:rsidP="003F2755">
            <w:pPr>
              <w:rPr>
                <w:sz w:val="16"/>
                <w:szCs w:val="16"/>
              </w:rPr>
            </w:pPr>
            <w:r w:rsidRPr="00565734">
              <w:rPr>
                <w:sz w:val="16"/>
                <w:szCs w:val="16"/>
              </w:rPr>
              <w:t>2020</w:t>
            </w:r>
          </w:p>
        </w:tc>
        <w:tc>
          <w:tcPr>
            <w:tcW w:w="366" w:type="pct"/>
          </w:tcPr>
          <w:p w14:paraId="23B995BD" w14:textId="77777777" w:rsidR="00565734" w:rsidRPr="00565734" w:rsidRDefault="00565734" w:rsidP="003F2755">
            <w:pPr>
              <w:rPr>
                <w:rFonts w:cstheme="minorHAnsi"/>
                <w:sz w:val="16"/>
                <w:szCs w:val="16"/>
                <w:lang w:eastAsia="en-AU"/>
              </w:rPr>
            </w:pPr>
            <w:r w:rsidRPr="00565734">
              <w:rPr>
                <w:sz w:val="16"/>
                <w:szCs w:val="16"/>
              </w:rPr>
              <w:t>India</w:t>
            </w:r>
          </w:p>
        </w:tc>
        <w:tc>
          <w:tcPr>
            <w:tcW w:w="1186" w:type="pct"/>
          </w:tcPr>
          <w:p w14:paraId="21B2487B" w14:textId="77777777" w:rsidR="00565734" w:rsidRPr="00565734" w:rsidRDefault="00565734" w:rsidP="003F2755">
            <w:pPr>
              <w:rPr>
                <w:rFonts w:cstheme="minorHAnsi"/>
                <w:sz w:val="16"/>
                <w:szCs w:val="16"/>
                <w:lang w:eastAsia="en-AU"/>
              </w:rPr>
            </w:pPr>
            <w:r w:rsidRPr="00565734">
              <w:rPr>
                <w:rFonts w:cstheme="minorHAnsi"/>
                <w:sz w:val="16"/>
                <w:szCs w:val="16"/>
                <w:lang w:eastAsia="en-AU"/>
              </w:rPr>
              <w:t xml:space="preserve">The ATNI India Spotlight Index assesses the largest food and beverage manufacturers on their nutrition and undernutrition related commitments, practices and disclosure. </w:t>
            </w:r>
          </w:p>
        </w:tc>
        <w:tc>
          <w:tcPr>
            <w:tcW w:w="560" w:type="pct"/>
          </w:tcPr>
          <w:p w14:paraId="4F9361D6" w14:textId="77777777" w:rsidR="00565734" w:rsidRPr="00565734" w:rsidRDefault="00565734" w:rsidP="00565734">
            <w:pPr>
              <w:pStyle w:val="ListParagraph"/>
              <w:numPr>
                <w:ilvl w:val="0"/>
                <w:numId w:val="3"/>
              </w:numPr>
              <w:rPr>
                <w:sz w:val="16"/>
                <w:szCs w:val="16"/>
              </w:rPr>
            </w:pPr>
            <w:r w:rsidRPr="00565734">
              <w:rPr>
                <w:sz w:val="16"/>
                <w:szCs w:val="16"/>
              </w:rPr>
              <w:t>Food and beverage manufacturers</w:t>
            </w:r>
          </w:p>
        </w:tc>
        <w:tc>
          <w:tcPr>
            <w:tcW w:w="365" w:type="pct"/>
          </w:tcPr>
          <w:p w14:paraId="641D2FB3" w14:textId="77777777" w:rsidR="00565734" w:rsidRPr="00565734" w:rsidRDefault="00565734" w:rsidP="003F2755">
            <w:pPr>
              <w:rPr>
                <w:sz w:val="16"/>
                <w:szCs w:val="16"/>
              </w:rPr>
            </w:pPr>
            <w:r w:rsidRPr="00565734">
              <w:rPr>
                <w:sz w:val="16"/>
                <w:szCs w:val="16"/>
              </w:rPr>
              <w:t>16</w:t>
            </w:r>
          </w:p>
        </w:tc>
        <w:tc>
          <w:tcPr>
            <w:tcW w:w="1065" w:type="pct"/>
          </w:tcPr>
          <w:p w14:paraId="4EBBC184" w14:textId="77777777" w:rsidR="00565734" w:rsidRPr="00565734" w:rsidRDefault="00565734" w:rsidP="003F2755">
            <w:pPr>
              <w:rPr>
                <w:sz w:val="16"/>
                <w:szCs w:val="16"/>
              </w:rPr>
            </w:pPr>
            <w:r w:rsidRPr="00565734">
              <w:rPr>
                <w:sz w:val="16"/>
                <w:szCs w:val="16"/>
              </w:rPr>
              <w:t>Governance, Accessibility, Marketing, Employee and Consumer Lifestyles, Labeling and Engagement</w:t>
            </w:r>
          </w:p>
        </w:tc>
        <w:tc>
          <w:tcPr>
            <w:tcW w:w="464" w:type="pct"/>
          </w:tcPr>
          <w:p w14:paraId="13FBB67A" w14:textId="77777777" w:rsidR="00565734" w:rsidRPr="00565734" w:rsidRDefault="00565734" w:rsidP="00565734">
            <w:pPr>
              <w:pStyle w:val="ListParagraph"/>
              <w:numPr>
                <w:ilvl w:val="0"/>
                <w:numId w:val="8"/>
              </w:numPr>
              <w:rPr>
                <w:sz w:val="16"/>
                <w:szCs w:val="16"/>
              </w:rPr>
            </w:pPr>
            <w:r w:rsidRPr="00565734">
              <w:rPr>
                <w:sz w:val="16"/>
                <w:szCs w:val="16"/>
              </w:rPr>
              <w:t>Public data</w:t>
            </w:r>
          </w:p>
          <w:p w14:paraId="3A9431C6" w14:textId="77777777" w:rsidR="00565734" w:rsidRPr="00565734" w:rsidRDefault="00565734" w:rsidP="00565734">
            <w:pPr>
              <w:pStyle w:val="ListParagraph"/>
              <w:numPr>
                <w:ilvl w:val="0"/>
                <w:numId w:val="8"/>
              </w:numPr>
              <w:rPr>
                <w:sz w:val="16"/>
                <w:szCs w:val="16"/>
              </w:rPr>
            </w:pPr>
            <w:r w:rsidRPr="00565734">
              <w:rPr>
                <w:sz w:val="16"/>
                <w:szCs w:val="16"/>
              </w:rPr>
              <w:t>Extensive consultation with companies</w:t>
            </w:r>
          </w:p>
        </w:tc>
      </w:tr>
      <w:tr w:rsidR="00565734" w:rsidRPr="00565734" w14:paraId="6EB1CBA4" w14:textId="77777777" w:rsidTr="003F2755">
        <w:trPr>
          <w:trHeight w:val="1692"/>
        </w:trPr>
        <w:tc>
          <w:tcPr>
            <w:tcW w:w="430" w:type="pct"/>
          </w:tcPr>
          <w:p w14:paraId="3E60C70F" w14:textId="77777777" w:rsidR="00565734" w:rsidRPr="00565734" w:rsidRDefault="00565734" w:rsidP="003F2755">
            <w:pPr>
              <w:rPr>
                <w:b/>
                <w:bCs/>
                <w:sz w:val="16"/>
                <w:szCs w:val="16"/>
              </w:rPr>
            </w:pPr>
            <w:r w:rsidRPr="00565734">
              <w:rPr>
                <w:b/>
                <w:bCs/>
                <w:sz w:val="16"/>
                <w:szCs w:val="16"/>
              </w:rPr>
              <w:t>Access to Nutrition Initiative (ATNI)</w:t>
            </w:r>
          </w:p>
          <w:p w14:paraId="21C15D79" w14:textId="77777777" w:rsidR="00565734" w:rsidRPr="00565734" w:rsidRDefault="00565734" w:rsidP="003F2755">
            <w:pPr>
              <w:rPr>
                <w:sz w:val="16"/>
                <w:szCs w:val="16"/>
              </w:rPr>
            </w:pPr>
          </w:p>
        </w:tc>
        <w:tc>
          <w:tcPr>
            <w:tcW w:w="365" w:type="pct"/>
          </w:tcPr>
          <w:p w14:paraId="122BA854" w14:textId="77777777" w:rsidR="00565734" w:rsidRPr="00565734" w:rsidRDefault="00565734" w:rsidP="003F2755">
            <w:pPr>
              <w:rPr>
                <w:sz w:val="16"/>
                <w:szCs w:val="16"/>
              </w:rPr>
            </w:pPr>
            <w:r w:rsidRPr="00565734">
              <w:rPr>
                <w:b/>
                <w:bCs/>
                <w:sz w:val="16"/>
                <w:szCs w:val="16"/>
              </w:rPr>
              <w:t>UK Retailer Index</w:t>
            </w:r>
          </w:p>
        </w:tc>
        <w:tc>
          <w:tcPr>
            <w:tcW w:w="199" w:type="pct"/>
          </w:tcPr>
          <w:p w14:paraId="2FE548ED" w14:textId="77777777" w:rsidR="00565734" w:rsidRPr="00565734" w:rsidRDefault="00565734" w:rsidP="003F2755">
            <w:pPr>
              <w:rPr>
                <w:sz w:val="16"/>
                <w:szCs w:val="16"/>
              </w:rPr>
            </w:pPr>
            <w:r w:rsidRPr="00565734">
              <w:rPr>
                <w:sz w:val="16"/>
                <w:szCs w:val="16"/>
              </w:rPr>
              <w:t>2021</w:t>
            </w:r>
          </w:p>
        </w:tc>
        <w:tc>
          <w:tcPr>
            <w:tcW w:w="366" w:type="pct"/>
          </w:tcPr>
          <w:p w14:paraId="0A2B7E99" w14:textId="77777777" w:rsidR="00565734" w:rsidRPr="00565734" w:rsidRDefault="00565734" w:rsidP="003F2755">
            <w:pPr>
              <w:rPr>
                <w:rFonts w:cstheme="minorHAnsi"/>
                <w:sz w:val="16"/>
                <w:szCs w:val="16"/>
                <w:lang w:eastAsia="en-AU"/>
              </w:rPr>
            </w:pPr>
            <w:r w:rsidRPr="00565734">
              <w:rPr>
                <w:sz w:val="16"/>
                <w:szCs w:val="16"/>
              </w:rPr>
              <w:t>United Kingdom</w:t>
            </w:r>
          </w:p>
        </w:tc>
        <w:tc>
          <w:tcPr>
            <w:tcW w:w="1186" w:type="pct"/>
          </w:tcPr>
          <w:p w14:paraId="41A46689" w14:textId="77777777" w:rsidR="00565734" w:rsidRPr="00565734" w:rsidRDefault="00565734" w:rsidP="003F2755">
            <w:pPr>
              <w:rPr>
                <w:b/>
                <w:bCs/>
                <w:sz w:val="16"/>
                <w:szCs w:val="16"/>
              </w:rPr>
            </w:pPr>
            <w:r w:rsidRPr="00565734">
              <w:rPr>
                <w:rFonts w:cstheme="minorHAnsi"/>
                <w:sz w:val="16"/>
                <w:szCs w:val="16"/>
                <w:lang w:eastAsia="en-AU"/>
              </w:rPr>
              <w:t xml:space="preserve">In 2021, </w:t>
            </w:r>
            <w:r w:rsidRPr="00565734">
              <w:rPr>
                <w:sz w:val="16"/>
                <w:szCs w:val="16"/>
              </w:rPr>
              <w:t>ATNI released its methodology for assessing food retailers as part of a new ‘UK Retailer Index’. This Index follows on from a 2020 UK ‘spotlight’ food retailer benchmarking initiative conducted by ATNI, and assesses food retailers on their disclosure related to nutrition, diets and health.</w:t>
            </w:r>
          </w:p>
        </w:tc>
        <w:tc>
          <w:tcPr>
            <w:tcW w:w="560" w:type="pct"/>
          </w:tcPr>
          <w:p w14:paraId="5AFE5D06" w14:textId="77777777" w:rsidR="00565734" w:rsidRPr="00565734" w:rsidRDefault="00565734" w:rsidP="00565734">
            <w:pPr>
              <w:pStyle w:val="ListParagraph"/>
              <w:numPr>
                <w:ilvl w:val="0"/>
                <w:numId w:val="3"/>
              </w:numPr>
              <w:rPr>
                <w:sz w:val="16"/>
                <w:szCs w:val="16"/>
              </w:rPr>
            </w:pPr>
            <w:r w:rsidRPr="00565734">
              <w:rPr>
                <w:sz w:val="16"/>
                <w:szCs w:val="16"/>
              </w:rPr>
              <w:t>Food retailers</w:t>
            </w:r>
          </w:p>
          <w:p w14:paraId="6B43A56A" w14:textId="77777777" w:rsidR="00565734" w:rsidRPr="00565734" w:rsidRDefault="00565734" w:rsidP="003F2755">
            <w:pPr>
              <w:rPr>
                <w:sz w:val="16"/>
                <w:szCs w:val="16"/>
              </w:rPr>
            </w:pPr>
          </w:p>
          <w:p w14:paraId="1D2DC57A" w14:textId="77777777" w:rsidR="00565734" w:rsidRPr="00565734" w:rsidRDefault="00565734" w:rsidP="003F2755">
            <w:pPr>
              <w:rPr>
                <w:b/>
                <w:bCs/>
                <w:sz w:val="16"/>
                <w:szCs w:val="16"/>
              </w:rPr>
            </w:pPr>
          </w:p>
        </w:tc>
        <w:tc>
          <w:tcPr>
            <w:tcW w:w="365" w:type="pct"/>
          </w:tcPr>
          <w:p w14:paraId="7FFD976F" w14:textId="77777777" w:rsidR="00565734" w:rsidRPr="00565734" w:rsidRDefault="00565734" w:rsidP="003F2755">
            <w:pPr>
              <w:rPr>
                <w:sz w:val="16"/>
                <w:szCs w:val="16"/>
              </w:rPr>
            </w:pPr>
            <w:r w:rsidRPr="00565734">
              <w:rPr>
                <w:sz w:val="16"/>
                <w:szCs w:val="16"/>
              </w:rPr>
              <w:t>11</w:t>
            </w:r>
          </w:p>
        </w:tc>
        <w:tc>
          <w:tcPr>
            <w:tcW w:w="1065" w:type="pct"/>
          </w:tcPr>
          <w:p w14:paraId="3EA76D6B" w14:textId="77777777" w:rsidR="00565734" w:rsidRPr="00565734" w:rsidRDefault="00565734" w:rsidP="003F2755">
            <w:pPr>
              <w:rPr>
                <w:sz w:val="16"/>
                <w:szCs w:val="16"/>
              </w:rPr>
            </w:pPr>
            <w:r w:rsidRPr="00565734">
              <w:rPr>
                <w:sz w:val="16"/>
                <w:szCs w:val="16"/>
              </w:rPr>
              <w:t>Governance; Nutrient profiling model; Product formulation; In-store promotion, pricing and distribution; Media and on-pack advertising; Accessibility of nutrition information and labelling; Engagement with stakeholders and policy makers; Infant and young child nutrition</w:t>
            </w:r>
          </w:p>
        </w:tc>
        <w:tc>
          <w:tcPr>
            <w:tcW w:w="464" w:type="pct"/>
          </w:tcPr>
          <w:p w14:paraId="381D7185" w14:textId="77777777" w:rsidR="00565734" w:rsidRPr="00565734" w:rsidRDefault="00565734" w:rsidP="00565734">
            <w:pPr>
              <w:pStyle w:val="ListParagraph"/>
              <w:numPr>
                <w:ilvl w:val="0"/>
                <w:numId w:val="8"/>
              </w:numPr>
              <w:rPr>
                <w:sz w:val="16"/>
                <w:szCs w:val="16"/>
              </w:rPr>
            </w:pPr>
            <w:r w:rsidRPr="00565734">
              <w:rPr>
                <w:sz w:val="16"/>
                <w:szCs w:val="16"/>
              </w:rPr>
              <w:t>Public data</w:t>
            </w:r>
          </w:p>
          <w:p w14:paraId="5C98D860" w14:textId="77777777" w:rsidR="00565734" w:rsidRPr="00565734" w:rsidRDefault="00565734" w:rsidP="00565734">
            <w:pPr>
              <w:pStyle w:val="ListParagraph"/>
              <w:numPr>
                <w:ilvl w:val="0"/>
                <w:numId w:val="8"/>
              </w:numPr>
              <w:rPr>
                <w:sz w:val="16"/>
                <w:szCs w:val="16"/>
              </w:rPr>
            </w:pPr>
            <w:r w:rsidRPr="00565734">
              <w:rPr>
                <w:sz w:val="16"/>
                <w:szCs w:val="16"/>
              </w:rPr>
              <w:t xml:space="preserve">Extensive consultation with companies </w:t>
            </w:r>
          </w:p>
        </w:tc>
      </w:tr>
      <w:tr w:rsidR="00565734" w:rsidRPr="00565734" w14:paraId="7716C8ED" w14:textId="77777777" w:rsidTr="003F2755">
        <w:trPr>
          <w:trHeight w:val="195"/>
        </w:trPr>
        <w:tc>
          <w:tcPr>
            <w:tcW w:w="430" w:type="pct"/>
          </w:tcPr>
          <w:p w14:paraId="35DE3A94" w14:textId="77777777" w:rsidR="00565734" w:rsidRPr="00565734" w:rsidRDefault="00565734" w:rsidP="003F2755">
            <w:pPr>
              <w:rPr>
                <w:b/>
                <w:bCs/>
                <w:sz w:val="16"/>
                <w:szCs w:val="16"/>
              </w:rPr>
            </w:pPr>
            <w:r w:rsidRPr="00565734">
              <w:rPr>
                <w:b/>
                <w:bCs/>
                <w:sz w:val="16"/>
                <w:szCs w:val="16"/>
              </w:rPr>
              <w:t>Access to Nutrition Initiative (ATNI)</w:t>
            </w:r>
          </w:p>
          <w:p w14:paraId="297A1E1A" w14:textId="77777777" w:rsidR="00565734" w:rsidRPr="00565734" w:rsidRDefault="00565734" w:rsidP="003F2755">
            <w:pPr>
              <w:rPr>
                <w:b/>
                <w:bCs/>
                <w:sz w:val="16"/>
                <w:szCs w:val="16"/>
              </w:rPr>
            </w:pPr>
          </w:p>
        </w:tc>
        <w:tc>
          <w:tcPr>
            <w:tcW w:w="365" w:type="pct"/>
          </w:tcPr>
          <w:p w14:paraId="4CE19938" w14:textId="77777777" w:rsidR="00565734" w:rsidRPr="00565734" w:rsidRDefault="00565734" w:rsidP="003F2755">
            <w:pPr>
              <w:rPr>
                <w:b/>
                <w:bCs/>
                <w:sz w:val="16"/>
                <w:szCs w:val="16"/>
              </w:rPr>
            </w:pPr>
            <w:r w:rsidRPr="00565734">
              <w:rPr>
                <w:b/>
                <w:bCs/>
                <w:sz w:val="16"/>
                <w:szCs w:val="16"/>
              </w:rPr>
              <w:t>U.S Index</w:t>
            </w:r>
          </w:p>
        </w:tc>
        <w:tc>
          <w:tcPr>
            <w:tcW w:w="199" w:type="pct"/>
          </w:tcPr>
          <w:p w14:paraId="05BFE804" w14:textId="77777777" w:rsidR="00565734" w:rsidRPr="00565734" w:rsidRDefault="00565734" w:rsidP="003F2755">
            <w:pPr>
              <w:rPr>
                <w:sz w:val="16"/>
                <w:szCs w:val="16"/>
              </w:rPr>
            </w:pPr>
            <w:r w:rsidRPr="00565734">
              <w:rPr>
                <w:sz w:val="16"/>
                <w:szCs w:val="16"/>
              </w:rPr>
              <w:t>2018</w:t>
            </w:r>
          </w:p>
        </w:tc>
        <w:tc>
          <w:tcPr>
            <w:tcW w:w="366" w:type="pct"/>
          </w:tcPr>
          <w:p w14:paraId="2E349FCB" w14:textId="77777777" w:rsidR="00565734" w:rsidRPr="00565734" w:rsidRDefault="00565734" w:rsidP="003F2755">
            <w:pPr>
              <w:rPr>
                <w:sz w:val="16"/>
                <w:szCs w:val="16"/>
              </w:rPr>
            </w:pPr>
            <w:r w:rsidRPr="00565734">
              <w:rPr>
                <w:sz w:val="16"/>
                <w:szCs w:val="16"/>
              </w:rPr>
              <w:t>United States</w:t>
            </w:r>
          </w:p>
        </w:tc>
        <w:tc>
          <w:tcPr>
            <w:tcW w:w="1186" w:type="pct"/>
          </w:tcPr>
          <w:p w14:paraId="33E30D62" w14:textId="77777777" w:rsidR="00565734" w:rsidRPr="00565734" w:rsidRDefault="00565734" w:rsidP="003F2755">
            <w:pPr>
              <w:rPr>
                <w:sz w:val="16"/>
                <w:szCs w:val="16"/>
              </w:rPr>
            </w:pPr>
            <w:r w:rsidRPr="00565734">
              <w:rPr>
                <w:sz w:val="16"/>
                <w:szCs w:val="16"/>
              </w:rPr>
              <w:t>The ATNI U.S Index assessed the largest food and beverage manufacturers in the United States on their malnutrition-related commitments, practices and disclosure.</w:t>
            </w:r>
          </w:p>
        </w:tc>
        <w:tc>
          <w:tcPr>
            <w:tcW w:w="560" w:type="pct"/>
          </w:tcPr>
          <w:p w14:paraId="28852BE4" w14:textId="77777777" w:rsidR="00565734" w:rsidRPr="00565734" w:rsidRDefault="00565734" w:rsidP="00565734">
            <w:pPr>
              <w:pStyle w:val="ListParagraph"/>
              <w:numPr>
                <w:ilvl w:val="0"/>
                <w:numId w:val="1"/>
              </w:numPr>
              <w:rPr>
                <w:sz w:val="16"/>
                <w:szCs w:val="16"/>
              </w:rPr>
            </w:pPr>
            <w:r w:rsidRPr="00565734">
              <w:rPr>
                <w:sz w:val="16"/>
                <w:szCs w:val="16"/>
              </w:rPr>
              <w:t>Food and beverage manufacturers</w:t>
            </w:r>
          </w:p>
        </w:tc>
        <w:tc>
          <w:tcPr>
            <w:tcW w:w="365" w:type="pct"/>
          </w:tcPr>
          <w:p w14:paraId="17F181A7" w14:textId="77777777" w:rsidR="00565734" w:rsidRPr="00565734" w:rsidRDefault="00565734" w:rsidP="003F2755">
            <w:pPr>
              <w:rPr>
                <w:sz w:val="16"/>
                <w:szCs w:val="16"/>
              </w:rPr>
            </w:pPr>
            <w:r w:rsidRPr="00565734">
              <w:rPr>
                <w:sz w:val="16"/>
                <w:szCs w:val="16"/>
              </w:rPr>
              <w:t>11</w:t>
            </w:r>
          </w:p>
        </w:tc>
        <w:tc>
          <w:tcPr>
            <w:tcW w:w="1065" w:type="pct"/>
          </w:tcPr>
          <w:p w14:paraId="2707A382" w14:textId="77777777" w:rsidR="00565734" w:rsidRPr="00565734" w:rsidRDefault="00565734" w:rsidP="003F2755">
            <w:pPr>
              <w:rPr>
                <w:sz w:val="16"/>
                <w:szCs w:val="16"/>
              </w:rPr>
            </w:pPr>
            <w:r w:rsidRPr="00565734">
              <w:rPr>
                <w:sz w:val="16"/>
                <w:szCs w:val="16"/>
              </w:rPr>
              <w:t>Governance; Products; Accessibility; Marketing; Lifestyle; Labeling; Engagement; Marketing of breast-milk substitutes</w:t>
            </w:r>
          </w:p>
        </w:tc>
        <w:tc>
          <w:tcPr>
            <w:tcW w:w="464" w:type="pct"/>
          </w:tcPr>
          <w:p w14:paraId="6B1882C6" w14:textId="77777777" w:rsidR="00565734" w:rsidRPr="00565734" w:rsidRDefault="00565734" w:rsidP="00565734">
            <w:pPr>
              <w:pStyle w:val="ListParagraph"/>
              <w:numPr>
                <w:ilvl w:val="0"/>
                <w:numId w:val="8"/>
              </w:numPr>
              <w:rPr>
                <w:sz w:val="16"/>
                <w:szCs w:val="16"/>
              </w:rPr>
            </w:pPr>
            <w:r w:rsidRPr="00565734">
              <w:rPr>
                <w:sz w:val="16"/>
                <w:szCs w:val="16"/>
              </w:rPr>
              <w:t>Public data</w:t>
            </w:r>
          </w:p>
          <w:p w14:paraId="265DC9E3" w14:textId="77777777" w:rsidR="00565734" w:rsidRPr="00565734" w:rsidRDefault="00565734" w:rsidP="00565734">
            <w:pPr>
              <w:pStyle w:val="ListParagraph"/>
              <w:numPr>
                <w:ilvl w:val="0"/>
                <w:numId w:val="8"/>
              </w:numPr>
              <w:rPr>
                <w:sz w:val="16"/>
                <w:szCs w:val="16"/>
              </w:rPr>
            </w:pPr>
            <w:r w:rsidRPr="00565734">
              <w:rPr>
                <w:sz w:val="16"/>
                <w:szCs w:val="16"/>
              </w:rPr>
              <w:t>Extensive consultation with companies</w:t>
            </w:r>
          </w:p>
        </w:tc>
      </w:tr>
      <w:tr w:rsidR="00565734" w:rsidRPr="00565734" w14:paraId="49EF0699" w14:textId="77777777" w:rsidTr="003F2755">
        <w:trPr>
          <w:trHeight w:val="2148"/>
        </w:trPr>
        <w:tc>
          <w:tcPr>
            <w:tcW w:w="430" w:type="pct"/>
          </w:tcPr>
          <w:p w14:paraId="40272688" w14:textId="77777777" w:rsidR="00565734" w:rsidRPr="00565734" w:rsidRDefault="00565734" w:rsidP="003F2755">
            <w:pPr>
              <w:rPr>
                <w:b/>
                <w:bCs/>
                <w:sz w:val="16"/>
                <w:szCs w:val="16"/>
              </w:rPr>
            </w:pPr>
            <w:r w:rsidRPr="00565734">
              <w:rPr>
                <w:b/>
                <w:bCs/>
                <w:sz w:val="16"/>
                <w:szCs w:val="16"/>
              </w:rPr>
              <w:lastRenderedPageBreak/>
              <w:t>World Benchmarking Alliance</w:t>
            </w:r>
          </w:p>
        </w:tc>
        <w:tc>
          <w:tcPr>
            <w:tcW w:w="365" w:type="pct"/>
          </w:tcPr>
          <w:p w14:paraId="38FE01C1" w14:textId="77777777" w:rsidR="00565734" w:rsidRPr="00565734" w:rsidRDefault="00565734" w:rsidP="003F2755">
            <w:pPr>
              <w:rPr>
                <w:sz w:val="16"/>
                <w:szCs w:val="16"/>
              </w:rPr>
            </w:pPr>
            <w:r w:rsidRPr="00565734">
              <w:rPr>
                <w:b/>
                <w:bCs/>
                <w:sz w:val="16"/>
                <w:szCs w:val="16"/>
              </w:rPr>
              <w:t>Food and Agricultural Benchmark</w:t>
            </w:r>
          </w:p>
        </w:tc>
        <w:tc>
          <w:tcPr>
            <w:tcW w:w="199" w:type="pct"/>
          </w:tcPr>
          <w:p w14:paraId="0396147F" w14:textId="77777777" w:rsidR="00565734" w:rsidRPr="00565734" w:rsidRDefault="00565734" w:rsidP="003F2755">
            <w:pPr>
              <w:rPr>
                <w:sz w:val="16"/>
                <w:szCs w:val="16"/>
              </w:rPr>
            </w:pPr>
            <w:r w:rsidRPr="00565734">
              <w:rPr>
                <w:sz w:val="16"/>
                <w:szCs w:val="16"/>
              </w:rPr>
              <w:t>2021</w:t>
            </w:r>
          </w:p>
        </w:tc>
        <w:tc>
          <w:tcPr>
            <w:tcW w:w="366" w:type="pct"/>
          </w:tcPr>
          <w:p w14:paraId="2F9CF546" w14:textId="77777777" w:rsidR="00565734" w:rsidRPr="00565734" w:rsidRDefault="00565734" w:rsidP="003F2755">
            <w:pPr>
              <w:rPr>
                <w:sz w:val="16"/>
                <w:szCs w:val="16"/>
              </w:rPr>
            </w:pPr>
            <w:r w:rsidRPr="00565734">
              <w:rPr>
                <w:sz w:val="16"/>
                <w:szCs w:val="16"/>
              </w:rPr>
              <w:t>Global</w:t>
            </w:r>
          </w:p>
        </w:tc>
        <w:tc>
          <w:tcPr>
            <w:tcW w:w="1186" w:type="pct"/>
          </w:tcPr>
          <w:p w14:paraId="337A4D8E" w14:textId="77777777" w:rsidR="00565734" w:rsidRPr="00565734" w:rsidRDefault="00565734" w:rsidP="003F2755">
            <w:pPr>
              <w:rPr>
                <w:sz w:val="16"/>
                <w:szCs w:val="16"/>
              </w:rPr>
            </w:pPr>
            <w:r w:rsidRPr="00565734">
              <w:rPr>
                <w:sz w:val="16"/>
                <w:szCs w:val="16"/>
              </w:rPr>
              <w:t>The World Benchmarking Alliance (WBA) is a major non-profit benchmarking organization that assesses influential companies on their contribution to the Sustainable Development Goals. The WBA ‘Food and Agricultural Benchmark’ assesses the largest food and agricultural companies on their commitments across four key domains: environment, governance and strategy, social inclusion and nutrition.</w:t>
            </w:r>
          </w:p>
        </w:tc>
        <w:tc>
          <w:tcPr>
            <w:tcW w:w="560" w:type="pct"/>
          </w:tcPr>
          <w:p w14:paraId="75FE133B" w14:textId="77777777" w:rsidR="00565734" w:rsidRPr="00565734" w:rsidRDefault="00565734" w:rsidP="00565734">
            <w:pPr>
              <w:pStyle w:val="ListParagraph"/>
              <w:numPr>
                <w:ilvl w:val="0"/>
                <w:numId w:val="1"/>
              </w:numPr>
              <w:rPr>
                <w:sz w:val="16"/>
                <w:szCs w:val="16"/>
              </w:rPr>
            </w:pPr>
            <w:r w:rsidRPr="00565734">
              <w:rPr>
                <w:sz w:val="16"/>
                <w:szCs w:val="16"/>
              </w:rPr>
              <w:t>Food and beverage manufacturers/</w:t>
            </w:r>
          </w:p>
          <w:p w14:paraId="2F34A5B0" w14:textId="77777777" w:rsidR="00565734" w:rsidRPr="00565734" w:rsidRDefault="00565734" w:rsidP="003F2755">
            <w:pPr>
              <w:pStyle w:val="ListParagraph"/>
              <w:ind w:left="216"/>
              <w:rPr>
                <w:sz w:val="16"/>
                <w:szCs w:val="16"/>
              </w:rPr>
            </w:pPr>
            <w:r w:rsidRPr="00565734">
              <w:rPr>
                <w:sz w:val="16"/>
                <w:szCs w:val="16"/>
              </w:rPr>
              <w:t>processors</w:t>
            </w:r>
          </w:p>
          <w:p w14:paraId="11C5101B" w14:textId="77777777" w:rsidR="00565734" w:rsidRPr="00565734" w:rsidRDefault="00565734" w:rsidP="00565734">
            <w:pPr>
              <w:pStyle w:val="ListParagraph"/>
              <w:numPr>
                <w:ilvl w:val="0"/>
                <w:numId w:val="1"/>
              </w:numPr>
              <w:rPr>
                <w:sz w:val="16"/>
                <w:szCs w:val="16"/>
              </w:rPr>
            </w:pPr>
            <w:r w:rsidRPr="00565734">
              <w:rPr>
                <w:sz w:val="16"/>
                <w:szCs w:val="16"/>
              </w:rPr>
              <w:t>Food retailers</w:t>
            </w:r>
          </w:p>
          <w:p w14:paraId="50079401" w14:textId="77777777" w:rsidR="00565734" w:rsidRPr="00565734" w:rsidRDefault="00565734" w:rsidP="00565734">
            <w:pPr>
              <w:pStyle w:val="ListParagraph"/>
              <w:numPr>
                <w:ilvl w:val="0"/>
                <w:numId w:val="1"/>
              </w:numPr>
              <w:rPr>
                <w:sz w:val="16"/>
                <w:szCs w:val="16"/>
              </w:rPr>
            </w:pPr>
            <w:r w:rsidRPr="00565734">
              <w:rPr>
                <w:sz w:val="16"/>
                <w:szCs w:val="16"/>
              </w:rPr>
              <w:t>Restaurants</w:t>
            </w:r>
          </w:p>
          <w:p w14:paraId="4DC5CD0B" w14:textId="77777777" w:rsidR="00565734" w:rsidRPr="00565734" w:rsidRDefault="00565734" w:rsidP="00565734">
            <w:pPr>
              <w:pStyle w:val="ListParagraph"/>
              <w:numPr>
                <w:ilvl w:val="0"/>
                <w:numId w:val="1"/>
              </w:numPr>
              <w:rPr>
                <w:sz w:val="16"/>
                <w:szCs w:val="16"/>
              </w:rPr>
            </w:pPr>
            <w:r w:rsidRPr="00565734">
              <w:rPr>
                <w:sz w:val="16"/>
                <w:szCs w:val="16"/>
              </w:rPr>
              <w:t>Food service</w:t>
            </w:r>
          </w:p>
          <w:p w14:paraId="3858014E" w14:textId="77777777" w:rsidR="00565734" w:rsidRPr="00565734" w:rsidRDefault="00565734" w:rsidP="003F2755">
            <w:pPr>
              <w:rPr>
                <w:sz w:val="16"/>
                <w:szCs w:val="16"/>
              </w:rPr>
            </w:pPr>
          </w:p>
          <w:p w14:paraId="2336CCCD" w14:textId="77777777" w:rsidR="00565734" w:rsidRPr="00565734" w:rsidRDefault="00565734" w:rsidP="003F2755">
            <w:pPr>
              <w:rPr>
                <w:sz w:val="16"/>
                <w:szCs w:val="16"/>
              </w:rPr>
            </w:pPr>
          </w:p>
        </w:tc>
        <w:tc>
          <w:tcPr>
            <w:tcW w:w="365" w:type="pct"/>
          </w:tcPr>
          <w:p w14:paraId="085BA88C" w14:textId="77777777" w:rsidR="00565734" w:rsidRPr="00565734" w:rsidRDefault="00565734" w:rsidP="003F2755">
            <w:pPr>
              <w:rPr>
                <w:sz w:val="16"/>
                <w:szCs w:val="16"/>
              </w:rPr>
            </w:pPr>
            <w:r w:rsidRPr="00565734">
              <w:rPr>
                <w:sz w:val="16"/>
                <w:szCs w:val="16"/>
              </w:rPr>
              <w:t xml:space="preserve">255 food sector companies (of 350 total across agriculture and food) </w:t>
            </w:r>
          </w:p>
        </w:tc>
        <w:tc>
          <w:tcPr>
            <w:tcW w:w="1065" w:type="pct"/>
          </w:tcPr>
          <w:p w14:paraId="3F5DAEB1" w14:textId="77777777" w:rsidR="00565734" w:rsidRPr="00565734" w:rsidRDefault="00565734" w:rsidP="003F2755">
            <w:pPr>
              <w:rPr>
                <w:sz w:val="16"/>
                <w:szCs w:val="16"/>
              </w:rPr>
            </w:pPr>
            <w:r w:rsidRPr="00565734">
              <w:rPr>
                <w:sz w:val="16"/>
                <w:szCs w:val="16"/>
              </w:rPr>
              <w:t xml:space="preserve">Environment; governance and strategy; social inclusion; </w:t>
            </w:r>
            <w:r w:rsidRPr="00565734">
              <w:rPr>
                <w:b/>
                <w:bCs/>
                <w:sz w:val="16"/>
                <w:szCs w:val="16"/>
              </w:rPr>
              <w:t>nutrition</w:t>
            </w:r>
            <w:r w:rsidRPr="00565734">
              <w:rPr>
                <w:sz w:val="16"/>
                <w:szCs w:val="16"/>
              </w:rPr>
              <w:t xml:space="preserve"> (Availability of healthy foods; Accessibility and affordability of healthy foods; Clear and transparent labelling; Responsible marketing; Workforce nutrition; Food safety)</w:t>
            </w:r>
          </w:p>
        </w:tc>
        <w:tc>
          <w:tcPr>
            <w:tcW w:w="464" w:type="pct"/>
          </w:tcPr>
          <w:p w14:paraId="0803A01C" w14:textId="77777777" w:rsidR="00565734" w:rsidRPr="00565734" w:rsidRDefault="00565734" w:rsidP="00565734">
            <w:pPr>
              <w:pStyle w:val="ListParagraph"/>
              <w:numPr>
                <w:ilvl w:val="0"/>
                <w:numId w:val="8"/>
              </w:numPr>
              <w:rPr>
                <w:sz w:val="16"/>
                <w:szCs w:val="16"/>
              </w:rPr>
            </w:pPr>
            <w:r w:rsidRPr="00565734">
              <w:rPr>
                <w:sz w:val="16"/>
                <w:szCs w:val="16"/>
              </w:rPr>
              <w:t>Public data</w:t>
            </w:r>
          </w:p>
          <w:p w14:paraId="0E22038E" w14:textId="77777777" w:rsidR="00565734" w:rsidRPr="00565734" w:rsidRDefault="00565734" w:rsidP="00565734">
            <w:pPr>
              <w:pStyle w:val="ListParagraph"/>
              <w:numPr>
                <w:ilvl w:val="0"/>
                <w:numId w:val="8"/>
              </w:numPr>
              <w:rPr>
                <w:sz w:val="16"/>
                <w:szCs w:val="16"/>
              </w:rPr>
            </w:pPr>
            <w:r w:rsidRPr="00565734">
              <w:rPr>
                <w:sz w:val="16"/>
                <w:szCs w:val="16"/>
              </w:rPr>
              <w:t>Surveys with companies</w:t>
            </w:r>
          </w:p>
        </w:tc>
      </w:tr>
      <w:tr w:rsidR="00565734" w:rsidRPr="00565734" w14:paraId="064F576A" w14:textId="77777777" w:rsidTr="003F2755">
        <w:trPr>
          <w:trHeight w:val="2539"/>
        </w:trPr>
        <w:tc>
          <w:tcPr>
            <w:tcW w:w="430" w:type="pct"/>
          </w:tcPr>
          <w:p w14:paraId="71DCF545" w14:textId="77777777" w:rsidR="00565734" w:rsidRPr="00565734" w:rsidRDefault="00565734" w:rsidP="003F2755">
            <w:pPr>
              <w:rPr>
                <w:b/>
                <w:bCs/>
                <w:sz w:val="16"/>
                <w:szCs w:val="16"/>
              </w:rPr>
            </w:pPr>
            <w:r w:rsidRPr="00565734">
              <w:rPr>
                <w:b/>
                <w:bCs/>
                <w:sz w:val="16"/>
                <w:szCs w:val="16"/>
              </w:rPr>
              <w:t>The Food Foundation</w:t>
            </w:r>
          </w:p>
          <w:p w14:paraId="44BA422A" w14:textId="77777777" w:rsidR="00565734" w:rsidRPr="00565734" w:rsidRDefault="00565734" w:rsidP="003F2755">
            <w:pPr>
              <w:rPr>
                <w:sz w:val="16"/>
                <w:szCs w:val="16"/>
              </w:rPr>
            </w:pPr>
          </w:p>
        </w:tc>
        <w:tc>
          <w:tcPr>
            <w:tcW w:w="365" w:type="pct"/>
          </w:tcPr>
          <w:p w14:paraId="388926E4" w14:textId="77777777" w:rsidR="00565734" w:rsidRPr="00565734" w:rsidRDefault="00565734" w:rsidP="003F2755">
            <w:pPr>
              <w:rPr>
                <w:sz w:val="16"/>
                <w:szCs w:val="16"/>
              </w:rPr>
            </w:pPr>
            <w:r w:rsidRPr="00565734">
              <w:rPr>
                <w:b/>
                <w:bCs/>
                <w:sz w:val="16"/>
                <w:szCs w:val="16"/>
              </w:rPr>
              <w:t>Plating up Progress</w:t>
            </w:r>
          </w:p>
        </w:tc>
        <w:tc>
          <w:tcPr>
            <w:tcW w:w="199" w:type="pct"/>
          </w:tcPr>
          <w:p w14:paraId="00A5C64F" w14:textId="77777777" w:rsidR="00565734" w:rsidRPr="00565734" w:rsidRDefault="00565734" w:rsidP="003F2755">
            <w:pPr>
              <w:rPr>
                <w:sz w:val="16"/>
                <w:szCs w:val="16"/>
              </w:rPr>
            </w:pPr>
            <w:r w:rsidRPr="00565734">
              <w:rPr>
                <w:b/>
                <w:bCs/>
                <w:sz w:val="16"/>
                <w:szCs w:val="16"/>
              </w:rPr>
              <w:t>2021</w:t>
            </w:r>
          </w:p>
        </w:tc>
        <w:tc>
          <w:tcPr>
            <w:tcW w:w="366" w:type="pct"/>
          </w:tcPr>
          <w:p w14:paraId="72B57121" w14:textId="77777777" w:rsidR="00565734" w:rsidRPr="00565734" w:rsidRDefault="00565734" w:rsidP="003F2755">
            <w:pPr>
              <w:rPr>
                <w:sz w:val="16"/>
                <w:szCs w:val="16"/>
              </w:rPr>
            </w:pPr>
            <w:r w:rsidRPr="00565734">
              <w:rPr>
                <w:sz w:val="16"/>
                <w:szCs w:val="16"/>
              </w:rPr>
              <w:t>United Kingdom</w:t>
            </w:r>
          </w:p>
        </w:tc>
        <w:tc>
          <w:tcPr>
            <w:tcW w:w="1186" w:type="pct"/>
          </w:tcPr>
          <w:p w14:paraId="35C1F42E" w14:textId="77777777" w:rsidR="00565734" w:rsidRPr="00565734" w:rsidRDefault="00565734" w:rsidP="003F2755">
            <w:pPr>
              <w:rPr>
                <w:sz w:val="16"/>
                <w:szCs w:val="16"/>
              </w:rPr>
            </w:pPr>
            <w:r w:rsidRPr="00565734">
              <w:rPr>
                <w:sz w:val="16"/>
                <w:szCs w:val="16"/>
              </w:rPr>
              <w:t xml:space="preserve">The Food Foundation ‘Plating Up Progress’ initiative assesses and measures food industry performance across 10 major topics related to healthy and sustainable diets, environment and social inclusion. </w:t>
            </w:r>
          </w:p>
        </w:tc>
        <w:tc>
          <w:tcPr>
            <w:tcW w:w="560" w:type="pct"/>
          </w:tcPr>
          <w:p w14:paraId="6CC14B05" w14:textId="77777777" w:rsidR="00565734" w:rsidRPr="00565734" w:rsidRDefault="00565734" w:rsidP="00565734">
            <w:pPr>
              <w:pStyle w:val="ListParagraph"/>
              <w:numPr>
                <w:ilvl w:val="0"/>
                <w:numId w:val="2"/>
              </w:numPr>
              <w:rPr>
                <w:sz w:val="16"/>
                <w:szCs w:val="16"/>
              </w:rPr>
            </w:pPr>
            <w:r w:rsidRPr="00565734">
              <w:rPr>
                <w:sz w:val="16"/>
                <w:szCs w:val="16"/>
              </w:rPr>
              <w:t>Supermarkets</w:t>
            </w:r>
          </w:p>
          <w:p w14:paraId="4E67F581" w14:textId="77777777" w:rsidR="00565734" w:rsidRPr="00565734" w:rsidRDefault="00565734" w:rsidP="00565734">
            <w:pPr>
              <w:pStyle w:val="ListParagraph"/>
              <w:numPr>
                <w:ilvl w:val="0"/>
                <w:numId w:val="2"/>
              </w:numPr>
              <w:rPr>
                <w:sz w:val="16"/>
                <w:szCs w:val="16"/>
              </w:rPr>
            </w:pPr>
            <w:r w:rsidRPr="00565734">
              <w:rPr>
                <w:sz w:val="16"/>
                <w:szCs w:val="16"/>
              </w:rPr>
              <w:t>Quick service restaurants</w:t>
            </w:r>
          </w:p>
          <w:p w14:paraId="054224EB" w14:textId="77777777" w:rsidR="00565734" w:rsidRPr="00565734" w:rsidRDefault="00565734" w:rsidP="00565734">
            <w:pPr>
              <w:pStyle w:val="ListParagraph"/>
              <w:numPr>
                <w:ilvl w:val="0"/>
                <w:numId w:val="2"/>
              </w:numPr>
              <w:rPr>
                <w:sz w:val="16"/>
                <w:szCs w:val="16"/>
              </w:rPr>
            </w:pPr>
            <w:r w:rsidRPr="00565734">
              <w:rPr>
                <w:sz w:val="16"/>
                <w:szCs w:val="16"/>
              </w:rPr>
              <w:t>Contract caterers</w:t>
            </w:r>
          </w:p>
          <w:p w14:paraId="558EF0AF" w14:textId="77777777" w:rsidR="00565734" w:rsidRPr="00565734" w:rsidRDefault="00565734" w:rsidP="00565734">
            <w:pPr>
              <w:pStyle w:val="ListParagraph"/>
              <w:numPr>
                <w:ilvl w:val="0"/>
                <w:numId w:val="2"/>
              </w:numPr>
              <w:rPr>
                <w:sz w:val="16"/>
                <w:szCs w:val="16"/>
              </w:rPr>
            </w:pPr>
            <w:r w:rsidRPr="00565734">
              <w:rPr>
                <w:sz w:val="16"/>
                <w:szCs w:val="16"/>
              </w:rPr>
              <w:t>Food service</w:t>
            </w:r>
          </w:p>
          <w:p w14:paraId="67B454F2" w14:textId="77777777" w:rsidR="00565734" w:rsidRPr="00565734" w:rsidRDefault="00565734" w:rsidP="00565734">
            <w:pPr>
              <w:pStyle w:val="ListParagraph"/>
              <w:numPr>
                <w:ilvl w:val="0"/>
                <w:numId w:val="2"/>
              </w:numPr>
              <w:rPr>
                <w:sz w:val="16"/>
                <w:szCs w:val="16"/>
              </w:rPr>
            </w:pPr>
            <w:r w:rsidRPr="00565734">
              <w:rPr>
                <w:sz w:val="16"/>
                <w:szCs w:val="16"/>
              </w:rPr>
              <w:t>Casual dining</w:t>
            </w:r>
          </w:p>
          <w:p w14:paraId="0C2BACEC" w14:textId="77777777" w:rsidR="00565734" w:rsidRPr="00565734" w:rsidRDefault="00565734" w:rsidP="00565734">
            <w:pPr>
              <w:pStyle w:val="ListParagraph"/>
              <w:numPr>
                <w:ilvl w:val="0"/>
                <w:numId w:val="2"/>
              </w:numPr>
              <w:rPr>
                <w:sz w:val="16"/>
                <w:szCs w:val="16"/>
              </w:rPr>
            </w:pPr>
            <w:r w:rsidRPr="00565734">
              <w:rPr>
                <w:sz w:val="16"/>
                <w:szCs w:val="16"/>
              </w:rPr>
              <w:t>Restaurants</w:t>
            </w:r>
          </w:p>
          <w:p w14:paraId="02958785" w14:textId="77777777" w:rsidR="00565734" w:rsidRPr="00565734" w:rsidRDefault="00565734" w:rsidP="00565734">
            <w:pPr>
              <w:pStyle w:val="ListParagraph"/>
              <w:numPr>
                <w:ilvl w:val="0"/>
                <w:numId w:val="2"/>
              </w:numPr>
              <w:rPr>
                <w:sz w:val="16"/>
                <w:szCs w:val="16"/>
              </w:rPr>
            </w:pPr>
            <w:r w:rsidRPr="00565734">
              <w:rPr>
                <w:sz w:val="16"/>
                <w:szCs w:val="16"/>
              </w:rPr>
              <w:t>Wholesalers</w:t>
            </w:r>
          </w:p>
        </w:tc>
        <w:tc>
          <w:tcPr>
            <w:tcW w:w="365" w:type="pct"/>
          </w:tcPr>
          <w:p w14:paraId="3D7CAC1E" w14:textId="77777777" w:rsidR="00565734" w:rsidRPr="00565734" w:rsidRDefault="00565734" w:rsidP="003F2755">
            <w:pPr>
              <w:rPr>
                <w:sz w:val="16"/>
                <w:szCs w:val="16"/>
              </w:rPr>
            </w:pPr>
            <w:r w:rsidRPr="00565734">
              <w:rPr>
                <w:sz w:val="16"/>
                <w:szCs w:val="16"/>
              </w:rPr>
              <w:t>29</w:t>
            </w:r>
          </w:p>
        </w:tc>
        <w:tc>
          <w:tcPr>
            <w:tcW w:w="1065" w:type="pct"/>
          </w:tcPr>
          <w:p w14:paraId="72E3DA95" w14:textId="77777777" w:rsidR="00565734" w:rsidRPr="00565734" w:rsidRDefault="00565734" w:rsidP="003F2755">
            <w:pPr>
              <w:rPr>
                <w:sz w:val="16"/>
                <w:szCs w:val="16"/>
              </w:rPr>
            </w:pPr>
            <w:r w:rsidRPr="00565734">
              <w:rPr>
                <w:sz w:val="16"/>
                <w:szCs w:val="16"/>
              </w:rPr>
              <w:t xml:space="preserve">Environment; social inclusion; </w:t>
            </w:r>
            <w:r w:rsidRPr="00565734">
              <w:rPr>
                <w:b/>
                <w:bCs/>
                <w:sz w:val="16"/>
                <w:szCs w:val="16"/>
              </w:rPr>
              <w:t>healthy and sustainable diets</w:t>
            </w:r>
            <w:r w:rsidRPr="00565734">
              <w:rPr>
                <w:sz w:val="16"/>
                <w:szCs w:val="16"/>
              </w:rPr>
              <w:t xml:space="preserve"> (Sales of healthy foods; procurement/sales from fruit and vegetables and animal versus plant-based proteins; nutrition labelling; marketing strategy; accessibility and affordability of healthy foods).</w:t>
            </w:r>
          </w:p>
        </w:tc>
        <w:tc>
          <w:tcPr>
            <w:tcW w:w="464" w:type="pct"/>
          </w:tcPr>
          <w:p w14:paraId="2A457540" w14:textId="77777777" w:rsidR="00565734" w:rsidRPr="00565734" w:rsidRDefault="00565734" w:rsidP="00565734">
            <w:pPr>
              <w:pStyle w:val="ListParagraph"/>
              <w:numPr>
                <w:ilvl w:val="0"/>
                <w:numId w:val="9"/>
              </w:numPr>
              <w:rPr>
                <w:sz w:val="16"/>
                <w:szCs w:val="16"/>
              </w:rPr>
            </w:pPr>
            <w:r w:rsidRPr="00565734">
              <w:rPr>
                <w:sz w:val="16"/>
                <w:szCs w:val="16"/>
              </w:rPr>
              <w:t>Public data</w:t>
            </w:r>
          </w:p>
          <w:p w14:paraId="45AFDA1D" w14:textId="77777777" w:rsidR="00565734" w:rsidRPr="00565734" w:rsidRDefault="00565734" w:rsidP="00565734">
            <w:pPr>
              <w:pStyle w:val="ListParagraph"/>
              <w:numPr>
                <w:ilvl w:val="0"/>
                <w:numId w:val="9"/>
              </w:numPr>
              <w:rPr>
                <w:sz w:val="16"/>
                <w:szCs w:val="16"/>
              </w:rPr>
            </w:pPr>
            <w:r w:rsidRPr="00565734">
              <w:rPr>
                <w:sz w:val="16"/>
                <w:szCs w:val="16"/>
              </w:rPr>
              <w:t>Opportunity for fact checking by companies</w:t>
            </w:r>
          </w:p>
        </w:tc>
      </w:tr>
      <w:tr w:rsidR="00565734" w:rsidRPr="00565734" w14:paraId="02FEB14B" w14:textId="77777777" w:rsidTr="003F2755">
        <w:trPr>
          <w:trHeight w:val="1953"/>
        </w:trPr>
        <w:tc>
          <w:tcPr>
            <w:tcW w:w="430" w:type="pct"/>
          </w:tcPr>
          <w:p w14:paraId="2CD93EEC" w14:textId="77777777" w:rsidR="00565734" w:rsidRPr="00565734" w:rsidRDefault="00565734" w:rsidP="003F2755">
            <w:pPr>
              <w:rPr>
                <w:b/>
                <w:bCs/>
                <w:sz w:val="16"/>
                <w:szCs w:val="16"/>
              </w:rPr>
            </w:pPr>
            <w:r w:rsidRPr="00565734">
              <w:rPr>
                <w:b/>
                <w:bCs/>
                <w:sz w:val="16"/>
                <w:szCs w:val="16"/>
              </w:rPr>
              <w:t xml:space="preserve">INFORMAS </w:t>
            </w:r>
            <w:r w:rsidRPr="00565734">
              <w:rPr>
                <w:sz w:val="16"/>
                <w:szCs w:val="16"/>
              </w:rPr>
              <w:t>(the International Network for Food and Obesity/NCDs Research, Monitoring and Action Support)</w:t>
            </w:r>
          </w:p>
        </w:tc>
        <w:tc>
          <w:tcPr>
            <w:tcW w:w="365" w:type="pct"/>
          </w:tcPr>
          <w:p w14:paraId="254FAD2B" w14:textId="77777777" w:rsidR="00565734" w:rsidRPr="00565734" w:rsidRDefault="00565734" w:rsidP="003F2755">
            <w:pPr>
              <w:rPr>
                <w:sz w:val="16"/>
                <w:szCs w:val="16"/>
              </w:rPr>
            </w:pPr>
            <w:proofErr w:type="spellStart"/>
            <w:r w:rsidRPr="00565734">
              <w:rPr>
                <w:b/>
                <w:bCs/>
                <w:sz w:val="16"/>
                <w:szCs w:val="16"/>
              </w:rPr>
              <w:t>BIA-Obesity</w:t>
            </w:r>
            <w:proofErr w:type="spellEnd"/>
            <w:r w:rsidRPr="00565734">
              <w:rPr>
                <w:b/>
                <w:bCs/>
                <w:sz w:val="16"/>
                <w:szCs w:val="16"/>
              </w:rPr>
              <w:t xml:space="preserve"> Australia</w:t>
            </w:r>
          </w:p>
        </w:tc>
        <w:tc>
          <w:tcPr>
            <w:tcW w:w="199" w:type="pct"/>
          </w:tcPr>
          <w:p w14:paraId="7CB2FE65" w14:textId="77777777" w:rsidR="00565734" w:rsidRPr="00565734" w:rsidRDefault="00565734" w:rsidP="003F2755">
            <w:pPr>
              <w:rPr>
                <w:sz w:val="16"/>
                <w:szCs w:val="16"/>
              </w:rPr>
            </w:pPr>
            <w:r w:rsidRPr="00565734">
              <w:rPr>
                <w:b/>
                <w:bCs/>
                <w:sz w:val="16"/>
                <w:szCs w:val="16"/>
              </w:rPr>
              <w:t>2018</w:t>
            </w:r>
          </w:p>
        </w:tc>
        <w:tc>
          <w:tcPr>
            <w:tcW w:w="366" w:type="pct"/>
          </w:tcPr>
          <w:p w14:paraId="79D6563C" w14:textId="77777777" w:rsidR="00565734" w:rsidRPr="00565734" w:rsidRDefault="00565734" w:rsidP="003F2755">
            <w:pPr>
              <w:rPr>
                <w:sz w:val="16"/>
                <w:szCs w:val="16"/>
              </w:rPr>
            </w:pPr>
            <w:r w:rsidRPr="00565734">
              <w:rPr>
                <w:sz w:val="16"/>
                <w:szCs w:val="16"/>
              </w:rPr>
              <w:t>Australia</w:t>
            </w:r>
          </w:p>
          <w:p w14:paraId="2EB72B37" w14:textId="77777777" w:rsidR="00565734" w:rsidRPr="00565734" w:rsidRDefault="00565734" w:rsidP="003F2755">
            <w:pPr>
              <w:rPr>
                <w:sz w:val="16"/>
                <w:szCs w:val="16"/>
              </w:rPr>
            </w:pPr>
          </w:p>
        </w:tc>
        <w:tc>
          <w:tcPr>
            <w:tcW w:w="1186" w:type="pct"/>
          </w:tcPr>
          <w:p w14:paraId="4401BAB7" w14:textId="77777777" w:rsidR="00565734" w:rsidRPr="00565734" w:rsidRDefault="00565734" w:rsidP="003F2755">
            <w:pPr>
              <w:rPr>
                <w:sz w:val="16"/>
                <w:szCs w:val="16"/>
              </w:rPr>
            </w:pPr>
            <w:r w:rsidRPr="00565734">
              <w:rPr>
                <w:sz w:val="16"/>
                <w:szCs w:val="16"/>
              </w:rPr>
              <w:t xml:space="preserve">The </w:t>
            </w:r>
            <w:proofErr w:type="spellStart"/>
            <w:r w:rsidRPr="00565734">
              <w:rPr>
                <w:sz w:val="16"/>
                <w:szCs w:val="16"/>
              </w:rPr>
              <w:t>BIA-Obesity</w:t>
            </w:r>
            <w:proofErr w:type="spellEnd"/>
            <w:r w:rsidRPr="00565734">
              <w:rPr>
                <w:sz w:val="16"/>
                <w:szCs w:val="16"/>
              </w:rPr>
              <w:t xml:space="preserve"> tool and process was developed to benchmark the nutrition‐related policies, commitments and practices of food companies at a national level. In Australia, </w:t>
            </w:r>
            <w:proofErr w:type="spellStart"/>
            <w:r w:rsidRPr="00565734">
              <w:rPr>
                <w:sz w:val="16"/>
                <w:szCs w:val="16"/>
              </w:rPr>
              <w:t>BIA-Obesity</w:t>
            </w:r>
            <w:proofErr w:type="spellEnd"/>
            <w:r w:rsidRPr="00565734">
              <w:rPr>
                <w:sz w:val="16"/>
                <w:szCs w:val="16"/>
              </w:rPr>
              <w:t xml:space="preserve"> was implemented in 2018 to assess the largest Australian food companies on their nutrition-related policies and commitments. </w:t>
            </w:r>
          </w:p>
        </w:tc>
        <w:tc>
          <w:tcPr>
            <w:tcW w:w="560" w:type="pct"/>
          </w:tcPr>
          <w:p w14:paraId="1164E13D" w14:textId="77777777" w:rsidR="00565734" w:rsidRPr="00565734" w:rsidRDefault="00565734" w:rsidP="00565734">
            <w:pPr>
              <w:pStyle w:val="ListParagraph"/>
              <w:numPr>
                <w:ilvl w:val="0"/>
                <w:numId w:val="5"/>
              </w:numPr>
              <w:rPr>
                <w:sz w:val="16"/>
                <w:szCs w:val="16"/>
              </w:rPr>
            </w:pPr>
            <w:r w:rsidRPr="00565734">
              <w:rPr>
                <w:sz w:val="16"/>
                <w:szCs w:val="16"/>
              </w:rPr>
              <w:t>Food retailers</w:t>
            </w:r>
          </w:p>
          <w:p w14:paraId="6621A412" w14:textId="77777777" w:rsidR="00565734" w:rsidRPr="00565734" w:rsidRDefault="00565734" w:rsidP="00565734">
            <w:pPr>
              <w:pStyle w:val="ListParagraph"/>
              <w:numPr>
                <w:ilvl w:val="0"/>
                <w:numId w:val="5"/>
              </w:numPr>
              <w:rPr>
                <w:sz w:val="16"/>
                <w:szCs w:val="16"/>
              </w:rPr>
            </w:pPr>
            <w:r w:rsidRPr="00565734">
              <w:rPr>
                <w:sz w:val="16"/>
                <w:szCs w:val="16"/>
              </w:rPr>
              <w:t>Quick Service Restaurants</w:t>
            </w:r>
          </w:p>
          <w:p w14:paraId="33A0283F" w14:textId="77777777" w:rsidR="00565734" w:rsidRPr="00565734" w:rsidRDefault="00565734" w:rsidP="00565734">
            <w:pPr>
              <w:pStyle w:val="ListParagraph"/>
              <w:numPr>
                <w:ilvl w:val="0"/>
                <w:numId w:val="5"/>
              </w:numPr>
              <w:rPr>
                <w:sz w:val="16"/>
                <w:szCs w:val="16"/>
              </w:rPr>
            </w:pPr>
            <w:r w:rsidRPr="00565734">
              <w:rPr>
                <w:sz w:val="16"/>
                <w:szCs w:val="16"/>
              </w:rPr>
              <w:t>Food and beverage manufacturers</w:t>
            </w:r>
          </w:p>
          <w:p w14:paraId="2234CD55" w14:textId="77777777" w:rsidR="00565734" w:rsidRPr="00565734" w:rsidRDefault="00565734" w:rsidP="003F2755">
            <w:pPr>
              <w:rPr>
                <w:sz w:val="16"/>
                <w:szCs w:val="16"/>
              </w:rPr>
            </w:pPr>
          </w:p>
          <w:p w14:paraId="5EB6048D" w14:textId="77777777" w:rsidR="00565734" w:rsidRPr="00565734" w:rsidRDefault="00565734" w:rsidP="003F2755">
            <w:pPr>
              <w:rPr>
                <w:sz w:val="16"/>
                <w:szCs w:val="16"/>
              </w:rPr>
            </w:pPr>
          </w:p>
        </w:tc>
        <w:tc>
          <w:tcPr>
            <w:tcW w:w="365" w:type="pct"/>
          </w:tcPr>
          <w:p w14:paraId="07D98ACA" w14:textId="77777777" w:rsidR="00565734" w:rsidRPr="00565734" w:rsidRDefault="00565734" w:rsidP="003F2755">
            <w:pPr>
              <w:rPr>
                <w:sz w:val="16"/>
                <w:szCs w:val="16"/>
              </w:rPr>
            </w:pPr>
            <w:r w:rsidRPr="00565734">
              <w:rPr>
                <w:sz w:val="16"/>
                <w:szCs w:val="16"/>
              </w:rPr>
              <w:t>34</w:t>
            </w:r>
          </w:p>
        </w:tc>
        <w:tc>
          <w:tcPr>
            <w:tcW w:w="1065" w:type="pct"/>
          </w:tcPr>
          <w:p w14:paraId="3FAE1AA2" w14:textId="77777777" w:rsidR="00565734" w:rsidRPr="00565734" w:rsidRDefault="00565734" w:rsidP="003F2755">
            <w:pPr>
              <w:rPr>
                <w:sz w:val="16"/>
                <w:szCs w:val="16"/>
              </w:rPr>
            </w:pPr>
            <w:r w:rsidRPr="00565734">
              <w:rPr>
                <w:sz w:val="16"/>
                <w:szCs w:val="16"/>
              </w:rPr>
              <w:t>Corporate strategy; Product formulation; Nutrition labelling; Promotion practices; Product accessibility; Relationships with external groups.</w:t>
            </w:r>
          </w:p>
        </w:tc>
        <w:tc>
          <w:tcPr>
            <w:tcW w:w="464" w:type="pct"/>
          </w:tcPr>
          <w:p w14:paraId="15409BFC" w14:textId="77777777" w:rsidR="00565734" w:rsidRPr="00565734" w:rsidRDefault="00565734" w:rsidP="00565734">
            <w:pPr>
              <w:pStyle w:val="ListParagraph"/>
              <w:numPr>
                <w:ilvl w:val="0"/>
                <w:numId w:val="6"/>
              </w:numPr>
              <w:rPr>
                <w:sz w:val="16"/>
                <w:szCs w:val="16"/>
              </w:rPr>
            </w:pPr>
            <w:r w:rsidRPr="00565734">
              <w:rPr>
                <w:sz w:val="16"/>
                <w:szCs w:val="16"/>
              </w:rPr>
              <w:t>Public data</w:t>
            </w:r>
          </w:p>
          <w:p w14:paraId="6AACD1EF" w14:textId="77777777" w:rsidR="00565734" w:rsidRPr="00565734" w:rsidRDefault="00565734" w:rsidP="00565734">
            <w:pPr>
              <w:pStyle w:val="ListParagraph"/>
              <w:numPr>
                <w:ilvl w:val="0"/>
                <w:numId w:val="6"/>
              </w:numPr>
              <w:rPr>
                <w:sz w:val="16"/>
                <w:szCs w:val="16"/>
              </w:rPr>
            </w:pPr>
            <w:r w:rsidRPr="00565734">
              <w:rPr>
                <w:sz w:val="16"/>
                <w:szCs w:val="16"/>
              </w:rPr>
              <w:t>Consultation with companies</w:t>
            </w:r>
          </w:p>
        </w:tc>
      </w:tr>
      <w:tr w:rsidR="00565734" w:rsidRPr="00565734" w14:paraId="1AFF8A2D" w14:textId="77777777" w:rsidTr="003F2755">
        <w:trPr>
          <w:trHeight w:val="602"/>
        </w:trPr>
        <w:tc>
          <w:tcPr>
            <w:tcW w:w="430" w:type="pct"/>
          </w:tcPr>
          <w:p w14:paraId="7FE43A32" w14:textId="77777777" w:rsidR="00565734" w:rsidRPr="00565734" w:rsidRDefault="00565734" w:rsidP="003F2755">
            <w:pPr>
              <w:rPr>
                <w:b/>
                <w:bCs/>
                <w:sz w:val="16"/>
                <w:szCs w:val="16"/>
              </w:rPr>
            </w:pPr>
            <w:r w:rsidRPr="00565734">
              <w:rPr>
                <w:b/>
                <w:bCs/>
                <w:sz w:val="16"/>
                <w:szCs w:val="16"/>
              </w:rPr>
              <w:t xml:space="preserve">INFORMAS </w:t>
            </w:r>
          </w:p>
        </w:tc>
        <w:tc>
          <w:tcPr>
            <w:tcW w:w="365" w:type="pct"/>
          </w:tcPr>
          <w:p w14:paraId="719999F5" w14:textId="77777777" w:rsidR="00565734" w:rsidRPr="00565734" w:rsidRDefault="00565734" w:rsidP="003F2755">
            <w:pPr>
              <w:rPr>
                <w:b/>
                <w:bCs/>
                <w:sz w:val="16"/>
                <w:szCs w:val="16"/>
              </w:rPr>
            </w:pPr>
            <w:proofErr w:type="spellStart"/>
            <w:r w:rsidRPr="00565734">
              <w:rPr>
                <w:b/>
                <w:bCs/>
                <w:sz w:val="16"/>
                <w:szCs w:val="16"/>
              </w:rPr>
              <w:t>BIA-Obesity</w:t>
            </w:r>
            <w:proofErr w:type="spellEnd"/>
            <w:r w:rsidRPr="00565734">
              <w:rPr>
                <w:b/>
                <w:bCs/>
                <w:sz w:val="16"/>
                <w:szCs w:val="16"/>
              </w:rPr>
              <w:t xml:space="preserve"> Canada</w:t>
            </w:r>
          </w:p>
        </w:tc>
        <w:tc>
          <w:tcPr>
            <w:tcW w:w="199" w:type="pct"/>
          </w:tcPr>
          <w:p w14:paraId="2CB43E45" w14:textId="77777777" w:rsidR="00565734" w:rsidRPr="00565734" w:rsidRDefault="00565734" w:rsidP="003F2755">
            <w:pPr>
              <w:rPr>
                <w:b/>
                <w:bCs/>
                <w:sz w:val="16"/>
                <w:szCs w:val="16"/>
              </w:rPr>
            </w:pPr>
            <w:r w:rsidRPr="00565734">
              <w:rPr>
                <w:b/>
                <w:bCs/>
                <w:sz w:val="16"/>
                <w:szCs w:val="16"/>
              </w:rPr>
              <w:t>2019</w:t>
            </w:r>
          </w:p>
        </w:tc>
        <w:tc>
          <w:tcPr>
            <w:tcW w:w="366" w:type="pct"/>
          </w:tcPr>
          <w:p w14:paraId="19C5B70F" w14:textId="77777777" w:rsidR="00565734" w:rsidRPr="00565734" w:rsidRDefault="00565734" w:rsidP="003F2755">
            <w:pPr>
              <w:rPr>
                <w:sz w:val="16"/>
                <w:szCs w:val="16"/>
              </w:rPr>
            </w:pPr>
            <w:r w:rsidRPr="00565734">
              <w:rPr>
                <w:sz w:val="16"/>
                <w:szCs w:val="16"/>
              </w:rPr>
              <w:t>Canada</w:t>
            </w:r>
          </w:p>
        </w:tc>
        <w:tc>
          <w:tcPr>
            <w:tcW w:w="1186" w:type="pct"/>
          </w:tcPr>
          <w:p w14:paraId="510C73B2" w14:textId="77777777" w:rsidR="00565734" w:rsidRPr="00565734" w:rsidRDefault="00565734" w:rsidP="003F2755">
            <w:pPr>
              <w:rPr>
                <w:sz w:val="16"/>
                <w:szCs w:val="16"/>
              </w:rPr>
            </w:pPr>
            <w:r w:rsidRPr="00565734">
              <w:rPr>
                <w:sz w:val="16"/>
                <w:szCs w:val="16"/>
              </w:rPr>
              <w:t xml:space="preserve">The </w:t>
            </w:r>
            <w:proofErr w:type="spellStart"/>
            <w:r w:rsidRPr="00565734">
              <w:rPr>
                <w:sz w:val="16"/>
                <w:szCs w:val="16"/>
              </w:rPr>
              <w:t>BIA-Obesity</w:t>
            </w:r>
            <w:proofErr w:type="spellEnd"/>
            <w:r w:rsidRPr="00565734">
              <w:rPr>
                <w:sz w:val="16"/>
                <w:szCs w:val="16"/>
              </w:rPr>
              <w:t xml:space="preserve"> Canada assessed the largest food and beverage manufacturers on their nutrition‐related policies and commitments.</w:t>
            </w:r>
          </w:p>
        </w:tc>
        <w:tc>
          <w:tcPr>
            <w:tcW w:w="560" w:type="pct"/>
          </w:tcPr>
          <w:p w14:paraId="65BF44CF" w14:textId="77777777" w:rsidR="00565734" w:rsidRPr="00565734" w:rsidRDefault="00565734" w:rsidP="00565734">
            <w:pPr>
              <w:pStyle w:val="ListParagraph"/>
              <w:numPr>
                <w:ilvl w:val="0"/>
                <w:numId w:val="5"/>
              </w:numPr>
              <w:rPr>
                <w:sz w:val="16"/>
                <w:szCs w:val="16"/>
              </w:rPr>
            </w:pPr>
            <w:r w:rsidRPr="00565734">
              <w:rPr>
                <w:sz w:val="16"/>
                <w:szCs w:val="16"/>
              </w:rPr>
              <w:t>Food and beverage manufacturers</w:t>
            </w:r>
          </w:p>
        </w:tc>
        <w:tc>
          <w:tcPr>
            <w:tcW w:w="365" w:type="pct"/>
          </w:tcPr>
          <w:p w14:paraId="75BFAE89" w14:textId="77777777" w:rsidR="00565734" w:rsidRPr="00565734" w:rsidRDefault="00565734" w:rsidP="003F2755">
            <w:pPr>
              <w:rPr>
                <w:sz w:val="16"/>
                <w:szCs w:val="16"/>
              </w:rPr>
            </w:pPr>
            <w:r w:rsidRPr="00565734">
              <w:rPr>
                <w:sz w:val="16"/>
                <w:szCs w:val="16"/>
              </w:rPr>
              <w:t>22</w:t>
            </w:r>
          </w:p>
        </w:tc>
        <w:tc>
          <w:tcPr>
            <w:tcW w:w="1065" w:type="pct"/>
          </w:tcPr>
          <w:p w14:paraId="5597A8D7" w14:textId="77777777" w:rsidR="00565734" w:rsidRPr="00565734" w:rsidRDefault="00565734" w:rsidP="003F2755">
            <w:pPr>
              <w:rPr>
                <w:sz w:val="16"/>
                <w:szCs w:val="16"/>
              </w:rPr>
            </w:pPr>
            <w:r w:rsidRPr="00565734">
              <w:rPr>
                <w:sz w:val="16"/>
                <w:szCs w:val="16"/>
              </w:rPr>
              <w:t xml:space="preserve">Corporate strategy; Product formulation; Nutrition labelling; Promotion to children and adolescents; Product accessibility; Relationships with external </w:t>
            </w:r>
            <w:proofErr w:type="spellStart"/>
            <w:r w:rsidRPr="00565734">
              <w:rPr>
                <w:sz w:val="16"/>
                <w:szCs w:val="16"/>
              </w:rPr>
              <w:t>organisations</w:t>
            </w:r>
            <w:proofErr w:type="spellEnd"/>
            <w:r w:rsidRPr="00565734">
              <w:rPr>
                <w:sz w:val="16"/>
                <w:szCs w:val="16"/>
              </w:rPr>
              <w:t>.</w:t>
            </w:r>
          </w:p>
        </w:tc>
        <w:tc>
          <w:tcPr>
            <w:tcW w:w="464" w:type="pct"/>
          </w:tcPr>
          <w:p w14:paraId="36352FAD" w14:textId="77777777" w:rsidR="00565734" w:rsidRPr="00565734" w:rsidRDefault="00565734" w:rsidP="00565734">
            <w:pPr>
              <w:pStyle w:val="ListParagraph"/>
              <w:numPr>
                <w:ilvl w:val="0"/>
                <w:numId w:val="6"/>
              </w:numPr>
              <w:rPr>
                <w:sz w:val="16"/>
                <w:szCs w:val="16"/>
              </w:rPr>
            </w:pPr>
            <w:r w:rsidRPr="00565734">
              <w:rPr>
                <w:sz w:val="16"/>
                <w:szCs w:val="16"/>
              </w:rPr>
              <w:t>Public data</w:t>
            </w:r>
          </w:p>
          <w:p w14:paraId="3172C515" w14:textId="77777777" w:rsidR="00565734" w:rsidRPr="00565734" w:rsidRDefault="00565734" w:rsidP="00565734">
            <w:pPr>
              <w:pStyle w:val="ListParagraph"/>
              <w:numPr>
                <w:ilvl w:val="0"/>
                <w:numId w:val="6"/>
              </w:numPr>
              <w:rPr>
                <w:sz w:val="16"/>
                <w:szCs w:val="16"/>
              </w:rPr>
            </w:pPr>
            <w:r w:rsidRPr="00565734">
              <w:rPr>
                <w:sz w:val="16"/>
                <w:szCs w:val="16"/>
              </w:rPr>
              <w:t>Consultation with companies</w:t>
            </w:r>
          </w:p>
        </w:tc>
      </w:tr>
      <w:tr w:rsidR="00565734" w:rsidRPr="00565734" w14:paraId="7EDD150C" w14:textId="77777777" w:rsidTr="003F2755">
        <w:trPr>
          <w:trHeight w:val="1953"/>
        </w:trPr>
        <w:tc>
          <w:tcPr>
            <w:tcW w:w="430" w:type="pct"/>
          </w:tcPr>
          <w:p w14:paraId="5864A821" w14:textId="77777777" w:rsidR="00565734" w:rsidRPr="00565734" w:rsidRDefault="00565734" w:rsidP="003F2755">
            <w:pPr>
              <w:rPr>
                <w:b/>
                <w:bCs/>
                <w:sz w:val="16"/>
                <w:szCs w:val="16"/>
              </w:rPr>
            </w:pPr>
            <w:r w:rsidRPr="00565734">
              <w:rPr>
                <w:b/>
                <w:bCs/>
                <w:sz w:val="16"/>
                <w:szCs w:val="16"/>
              </w:rPr>
              <w:lastRenderedPageBreak/>
              <w:t xml:space="preserve">INFORMAS </w:t>
            </w:r>
          </w:p>
        </w:tc>
        <w:tc>
          <w:tcPr>
            <w:tcW w:w="365" w:type="pct"/>
          </w:tcPr>
          <w:p w14:paraId="2892D447" w14:textId="77777777" w:rsidR="00565734" w:rsidRPr="00565734" w:rsidRDefault="00565734" w:rsidP="003F2755">
            <w:pPr>
              <w:rPr>
                <w:b/>
                <w:bCs/>
                <w:sz w:val="16"/>
                <w:szCs w:val="16"/>
              </w:rPr>
            </w:pPr>
            <w:proofErr w:type="spellStart"/>
            <w:r w:rsidRPr="00565734">
              <w:rPr>
                <w:b/>
                <w:bCs/>
                <w:sz w:val="16"/>
                <w:szCs w:val="16"/>
              </w:rPr>
              <w:t>BIA-Obesity</w:t>
            </w:r>
            <w:proofErr w:type="spellEnd"/>
            <w:r w:rsidRPr="00565734">
              <w:rPr>
                <w:b/>
                <w:bCs/>
                <w:sz w:val="16"/>
                <w:szCs w:val="16"/>
              </w:rPr>
              <w:t xml:space="preserve"> New Zealand </w:t>
            </w:r>
          </w:p>
        </w:tc>
        <w:tc>
          <w:tcPr>
            <w:tcW w:w="199" w:type="pct"/>
          </w:tcPr>
          <w:p w14:paraId="23E67CEA" w14:textId="77777777" w:rsidR="00565734" w:rsidRPr="00565734" w:rsidRDefault="00565734" w:rsidP="003F2755">
            <w:pPr>
              <w:rPr>
                <w:b/>
                <w:bCs/>
                <w:sz w:val="16"/>
                <w:szCs w:val="16"/>
              </w:rPr>
            </w:pPr>
            <w:r w:rsidRPr="00565734">
              <w:rPr>
                <w:b/>
                <w:bCs/>
                <w:sz w:val="16"/>
                <w:szCs w:val="16"/>
              </w:rPr>
              <w:t>2018</w:t>
            </w:r>
          </w:p>
        </w:tc>
        <w:tc>
          <w:tcPr>
            <w:tcW w:w="366" w:type="pct"/>
          </w:tcPr>
          <w:p w14:paraId="5C52DDAB" w14:textId="77777777" w:rsidR="00565734" w:rsidRPr="00565734" w:rsidRDefault="00565734" w:rsidP="003F2755">
            <w:pPr>
              <w:rPr>
                <w:sz w:val="16"/>
                <w:szCs w:val="16"/>
              </w:rPr>
            </w:pPr>
            <w:r w:rsidRPr="00565734">
              <w:rPr>
                <w:sz w:val="16"/>
                <w:szCs w:val="16"/>
              </w:rPr>
              <w:t>New Zealand</w:t>
            </w:r>
          </w:p>
        </w:tc>
        <w:tc>
          <w:tcPr>
            <w:tcW w:w="1186" w:type="pct"/>
          </w:tcPr>
          <w:p w14:paraId="720EDFF4" w14:textId="77777777" w:rsidR="00565734" w:rsidRPr="00565734" w:rsidRDefault="00565734" w:rsidP="003F2755">
            <w:pPr>
              <w:rPr>
                <w:sz w:val="16"/>
                <w:szCs w:val="16"/>
              </w:rPr>
            </w:pPr>
            <w:r w:rsidRPr="00565734">
              <w:rPr>
                <w:sz w:val="16"/>
                <w:szCs w:val="16"/>
              </w:rPr>
              <w:t xml:space="preserve">The </w:t>
            </w:r>
            <w:proofErr w:type="spellStart"/>
            <w:r w:rsidRPr="00565734">
              <w:rPr>
                <w:sz w:val="16"/>
                <w:szCs w:val="16"/>
              </w:rPr>
              <w:t>BIA-Obesity</w:t>
            </w:r>
            <w:proofErr w:type="spellEnd"/>
            <w:r w:rsidRPr="00565734">
              <w:rPr>
                <w:sz w:val="16"/>
                <w:szCs w:val="16"/>
              </w:rPr>
              <w:t xml:space="preserve"> New Zealand assessed the largest food and beverage manufacturers, food retailers and quick service restaurants on their nutrition‐related policies and commitments.</w:t>
            </w:r>
          </w:p>
        </w:tc>
        <w:tc>
          <w:tcPr>
            <w:tcW w:w="560" w:type="pct"/>
          </w:tcPr>
          <w:p w14:paraId="3FB296FE" w14:textId="77777777" w:rsidR="00565734" w:rsidRPr="00565734" w:rsidRDefault="00565734" w:rsidP="00565734">
            <w:pPr>
              <w:pStyle w:val="ListParagraph"/>
              <w:numPr>
                <w:ilvl w:val="0"/>
                <w:numId w:val="5"/>
              </w:numPr>
              <w:rPr>
                <w:sz w:val="16"/>
                <w:szCs w:val="16"/>
              </w:rPr>
            </w:pPr>
            <w:r w:rsidRPr="00565734">
              <w:rPr>
                <w:sz w:val="16"/>
                <w:szCs w:val="16"/>
              </w:rPr>
              <w:t>Food retailers</w:t>
            </w:r>
          </w:p>
          <w:p w14:paraId="415751C9" w14:textId="77777777" w:rsidR="00565734" w:rsidRPr="00565734" w:rsidRDefault="00565734" w:rsidP="00565734">
            <w:pPr>
              <w:pStyle w:val="ListParagraph"/>
              <w:numPr>
                <w:ilvl w:val="0"/>
                <w:numId w:val="5"/>
              </w:numPr>
              <w:rPr>
                <w:sz w:val="16"/>
                <w:szCs w:val="16"/>
              </w:rPr>
            </w:pPr>
            <w:r w:rsidRPr="00565734">
              <w:rPr>
                <w:sz w:val="16"/>
                <w:szCs w:val="16"/>
              </w:rPr>
              <w:t>Quick Service Restaurants</w:t>
            </w:r>
          </w:p>
          <w:p w14:paraId="4DE958BF" w14:textId="77777777" w:rsidR="00565734" w:rsidRPr="00565734" w:rsidRDefault="00565734" w:rsidP="00565734">
            <w:pPr>
              <w:pStyle w:val="ListParagraph"/>
              <w:numPr>
                <w:ilvl w:val="0"/>
                <w:numId w:val="5"/>
              </w:numPr>
              <w:rPr>
                <w:sz w:val="16"/>
                <w:szCs w:val="16"/>
              </w:rPr>
            </w:pPr>
            <w:r w:rsidRPr="00565734">
              <w:rPr>
                <w:sz w:val="16"/>
                <w:szCs w:val="16"/>
              </w:rPr>
              <w:t>Food and beverage manufacturers</w:t>
            </w:r>
          </w:p>
        </w:tc>
        <w:tc>
          <w:tcPr>
            <w:tcW w:w="365" w:type="pct"/>
          </w:tcPr>
          <w:p w14:paraId="0BFE713B" w14:textId="77777777" w:rsidR="00565734" w:rsidRPr="00565734" w:rsidRDefault="00565734" w:rsidP="003F2755">
            <w:pPr>
              <w:rPr>
                <w:sz w:val="16"/>
                <w:szCs w:val="16"/>
              </w:rPr>
            </w:pPr>
            <w:r w:rsidRPr="00565734">
              <w:rPr>
                <w:sz w:val="16"/>
                <w:szCs w:val="16"/>
              </w:rPr>
              <w:t>25</w:t>
            </w:r>
          </w:p>
        </w:tc>
        <w:tc>
          <w:tcPr>
            <w:tcW w:w="1065" w:type="pct"/>
          </w:tcPr>
          <w:p w14:paraId="3B4A8FBE" w14:textId="77777777" w:rsidR="00565734" w:rsidRPr="00565734" w:rsidRDefault="00565734" w:rsidP="003F2755">
            <w:pPr>
              <w:rPr>
                <w:sz w:val="16"/>
                <w:szCs w:val="16"/>
              </w:rPr>
            </w:pPr>
            <w:r w:rsidRPr="00565734">
              <w:rPr>
                <w:sz w:val="16"/>
                <w:szCs w:val="16"/>
              </w:rPr>
              <w:t xml:space="preserve">Corporate population nutrition strategy; Product formulation; Nutrition labelling; Product and brand promotion; Product accessibility; Relationships with other </w:t>
            </w:r>
            <w:proofErr w:type="spellStart"/>
            <w:r w:rsidRPr="00565734">
              <w:rPr>
                <w:sz w:val="16"/>
                <w:szCs w:val="16"/>
              </w:rPr>
              <w:t>organisations</w:t>
            </w:r>
            <w:proofErr w:type="spellEnd"/>
            <w:r w:rsidRPr="00565734">
              <w:rPr>
                <w:sz w:val="16"/>
                <w:szCs w:val="16"/>
              </w:rPr>
              <w:t>.</w:t>
            </w:r>
          </w:p>
        </w:tc>
        <w:tc>
          <w:tcPr>
            <w:tcW w:w="464" w:type="pct"/>
          </w:tcPr>
          <w:p w14:paraId="3679456A" w14:textId="77777777" w:rsidR="00565734" w:rsidRPr="00565734" w:rsidRDefault="00565734" w:rsidP="00565734">
            <w:pPr>
              <w:pStyle w:val="ListParagraph"/>
              <w:numPr>
                <w:ilvl w:val="0"/>
                <w:numId w:val="6"/>
              </w:numPr>
              <w:rPr>
                <w:sz w:val="16"/>
                <w:szCs w:val="16"/>
              </w:rPr>
            </w:pPr>
            <w:r w:rsidRPr="00565734">
              <w:rPr>
                <w:sz w:val="16"/>
                <w:szCs w:val="16"/>
              </w:rPr>
              <w:t>Public data</w:t>
            </w:r>
          </w:p>
          <w:p w14:paraId="6568C1BB" w14:textId="77777777" w:rsidR="00565734" w:rsidRPr="00565734" w:rsidRDefault="00565734" w:rsidP="00565734">
            <w:pPr>
              <w:pStyle w:val="ListParagraph"/>
              <w:numPr>
                <w:ilvl w:val="0"/>
                <w:numId w:val="6"/>
              </w:numPr>
              <w:rPr>
                <w:sz w:val="16"/>
                <w:szCs w:val="16"/>
              </w:rPr>
            </w:pPr>
            <w:r w:rsidRPr="00565734">
              <w:rPr>
                <w:sz w:val="16"/>
                <w:szCs w:val="16"/>
              </w:rPr>
              <w:t>Consultation with companies</w:t>
            </w:r>
          </w:p>
        </w:tc>
      </w:tr>
      <w:tr w:rsidR="00565734" w:rsidRPr="00565734" w14:paraId="24E8A46B" w14:textId="77777777" w:rsidTr="003F2755">
        <w:trPr>
          <w:trHeight w:val="1953"/>
        </w:trPr>
        <w:tc>
          <w:tcPr>
            <w:tcW w:w="430" w:type="pct"/>
          </w:tcPr>
          <w:p w14:paraId="027D5FB4" w14:textId="77777777" w:rsidR="00565734" w:rsidRPr="00565734" w:rsidRDefault="00565734" w:rsidP="003F2755">
            <w:pPr>
              <w:rPr>
                <w:b/>
                <w:bCs/>
                <w:sz w:val="16"/>
                <w:szCs w:val="16"/>
              </w:rPr>
            </w:pPr>
            <w:r w:rsidRPr="00565734">
              <w:rPr>
                <w:b/>
                <w:bCs/>
                <w:sz w:val="16"/>
                <w:szCs w:val="16"/>
              </w:rPr>
              <w:t xml:space="preserve">INFORMAS </w:t>
            </w:r>
          </w:p>
        </w:tc>
        <w:tc>
          <w:tcPr>
            <w:tcW w:w="365" w:type="pct"/>
          </w:tcPr>
          <w:p w14:paraId="1ECD3710" w14:textId="77777777" w:rsidR="00565734" w:rsidRPr="00565734" w:rsidRDefault="00565734" w:rsidP="003F2755">
            <w:pPr>
              <w:rPr>
                <w:b/>
                <w:bCs/>
                <w:sz w:val="16"/>
                <w:szCs w:val="16"/>
              </w:rPr>
            </w:pPr>
            <w:proofErr w:type="spellStart"/>
            <w:r w:rsidRPr="00565734">
              <w:rPr>
                <w:b/>
                <w:bCs/>
                <w:sz w:val="16"/>
                <w:szCs w:val="16"/>
              </w:rPr>
              <w:t>BIA-Obesity</w:t>
            </w:r>
            <w:proofErr w:type="spellEnd"/>
            <w:r w:rsidRPr="00565734">
              <w:rPr>
                <w:b/>
                <w:bCs/>
                <w:sz w:val="16"/>
                <w:szCs w:val="16"/>
              </w:rPr>
              <w:t xml:space="preserve"> Malaysia</w:t>
            </w:r>
          </w:p>
        </w:tc>
        <w:tc>
          <w:tcPr>
            <w:tcW w:w="199" w:type="pct"/>
          </w:tcPr>
          <w:p w14:paraId="41C61CE8" w14:textId="77777777" w:rsidR="00565734" w:rsidRPr="00565734" w:rsidRDefault="00565734" w:rsidP="003F2755">
            <w:pPr>
              <w:rPr>
                <w:b/>
                <w:bCs/>
                <w:sz w:val="16"/>
                <w:szCs w:val="16"/>
              </w:rPr>
            </w:pPr>
            <w:r w:rsidRPr="00565734">
              <w:rPr>
                <w:b/>
                <w:bCs/>
                <w:sz w:val="16"/>
                <w:szCs w:val="16"/>
              </w:rPr>
              <w:t>2019</w:t>
            </w:r>
          </w:p>
        </w:tc>
        <w:tc>
          <w:tcPr>
            <w:tcW w:w="366" w:type="pct"/>
          </w:tcPr>
          <w:p w14:paraId="684FD4AF" w14:textId="77777777" w:rsidR="00565734" w:rsidRPr="00565734" w:rsidRDefault="00565734" w:rsidP="003F2755">
            <w:pPr>
              <w:rPr>
                <w:sz w:val="16"/>
                <w:szCs w:val="16"/>
              </w:rPr>
            </w:pPr>
            <w:r w:rsidRPr="00565734">
              <w:rPr>
                <w:sz w:val="16"/>
                <w:szCs w:val="16"/>
              </w:rPr>
              <w:t>Malaysia</w:t>
            </w:r>
          </w:p>
        </w:tc>
        <w:tc>
          <w:tcPr>
            <w:tcW w:w="1186" w:type="pct"/>
          </w:tcPr>
          <w:p w14:paraId="599F26B3" w14:textId="77777777" w:rsidR="00565734" w:rsidRPr="00565734" w:rsidRDefault="00565734" w:rsidP="003F2755">
            <w:pPr>
              <w:rPr>
                <w:sz w:val="16"/>
                <w:szCs w:val="16"/>
              </w:rPr>
            </w:pPr>
            <w:r w:rsidRPr="00565734">
              <w:rPr>
                <w:sz w:val="16"/>
                <w:szCs w:val="16"/>
              </w:rPr>
              <w:t xml:space="preserve">The </w:t>
            </w:r>
            <w:proofErr w:type="spellStart"/>
            <w:r w:rsidRPr="00565734">
              <w:rPr>
                <w:sz w:val="16"/>
                <w:szCs w:val="16"/>
              </w:rPr>
              <w:t>BIA-Obesity</w:t>
            </w:r>
            <w:proofErr w:type="spellEnd"/>
            <w:r w:rsidRPr="00565734">
              <w:rPr>
                <w:sz w:val="16"/>
                <w:szCs w:val="16"/>
              </w:rPr>
              <w:t xml:space="preserve"> Malaysia assessed the nutrition‐related policies and commitments of food companies across three sectors, as well as market surveys of company products.</w:t>
            </w:r>
          </w:p>
        </w:tc>
        <w:tc>
          <w:tcPr>
            <w:tcW w:w="560" w:type="pct"/>
          </w:tcPr>
          <w:p w14:paraId="499C74CC" w14:textId="77777777" w:rsidR="00565734" w:rsidRPr="00565734" w:rsidRDefault="00565734" w:rsidP="00565734">
            <w:pPr>
              <w:pStyle w:val="ListParagraph"/>
              <w:numPr>
                <w:ilvl w:val="0"/>
                <w:numId w:val="5"/>
              </w:numPr>
              <w:rPr>
                <w:sz w:val="16"/>
                <w:szCs w:val="16"/>
              </w:rPr>
            </w:pPr>
            <w:r w:rsidRPr="00565734">
              <w:rPr>
                <w:sz w:val="16"/>
                <w:szCs w:val="16"/>
              </w:rPr>
              <w:t>Food retailers</w:t>
            </w:r>
          </w:p>
          <w:p w14:paraId="123992CC" w14:textId="77777777" w:rsidR="00565734" w:rsidRPr="00565734" w:rsidRDefault="00565734" w:rsidP="00565734">
            <w:pPr>
              <w:pStyle w:val="ListParagraph"/>
              <w:numPr>
                <w:ilvl w:val="0"/>
                <w:numId w:val="5"/>
              </w:numPr>
              <w:rPr>
                <w:sz w:val="16"/>
                <w:szCs w:val="16"/>
              </w:rPr>
            </w:pPr>
            <w:r w:rsidRPr="00565734">
              <w:rPr>
                <w:sz w:val="16"/>
                <w:szCs w:val="16"/>
              </w:rPr>
              <w:t>Quick Service Restaurants</w:t>
            </w:r>
          </w:p>
          <w:p w14:paraId="45C16A09" w14:textId="77777777" w:rsidR="00565734" w:rsidRPr="00565734" w:rsidRDefault="00565734" w:rsidP="00565734">
            <w:pPr>
              <w:pStyle w:val="ListParagraph"/>
              <w:numPr>
                <w:ilvl w:val="0"/>
                <w:numId w:val="5"/>
              </w:numPr>
              <w:rPr>
                <w:sz w:val="16"/>
                <w:szCs w:val="16"/>
              </w:rPr>
            </w:pPr>
            <w:r w:rsidRPr="00565734">
              <w:rPr>
                <w:sz w:val="16"/>
                <w:szCs w:val="16"/>
              </w:rPr>
              <w:t>Food and beverage manufacturers</w:t>
            </w:r>
          </w:p>
        </w:tc>
        <w:tc>
          <w:tcPr>
            <w:tcW w:w="365" w:type="pct"/>
          </w:tcPr>
          <w:p w14:paraId="280DB184" w14:textId="77777777" w:rsidR="00565734" w:rsidRPr="00565734" w:rsidRDefault="00565734" w:rsidP="003F2755">
            <w:pPr>
              <w:rPr>
                <w:sz w:val="16"/>
                <w:szCs w:val="16"/>
              </w:rPr>
            </w:pPr>
            <w:r w:rsidRPr="00565734">
              <w:rPr>
                <w:sz w:val="16"/>
                <w:szCs w:val="16"/>
              </w:rPr>
              <w:t>33</w:t>
            </w:r>
          </w:p>
        </w:tc>
        <w:tc>
          <w:tcPr>
            <w:tcW w:w="1065" w:type="pct"/>
          </w:tcPr>
          <w:p w14:paraId="305FCB0D" w14:textId="77777777" w:rsidR="00565734" w:rsidRPr="00565734" w:rsidRDefault="00565734" w:rsidP="003F2755">
            <w:pPr>
              <w:rPr>
                <w:sz w:val="16"/>
                <w:szCs w:val="16"/>
              </w:rPr>
            </w:pPr>
            <w:r w:rsidRPr="00565734">
              <w:rPr>
                <w:sz w:val="16"/>
                <w:szCs w:val="16"/>
              </w:rPr>
              <w:t>Corporate strategy; Product formulation; Nutrition labelling; Promotion practices; Product accessibility; Relationships with external groups.</w:t>
            </w:r>
          </w:p>
        </w:tc>
        <w:tc>
          <w:tcPr>
            <w:tcW w:w="464" w:type="pct"/>
          </w:tcPr>
          <w:p w14:paraId="65FD911B" w14:textId="77777777" w:rsidR="00565734" w:rsidRPr="00565734" w:rsidRDefault="00565734" w:rsidP="00565734">
            <w:pPr>
              <w:pStyle w:val="ListParagraph"/>
              <w:numPr>
                <w:ilvl w:val="0"/>
                <w:numId w:val="6"/>
              </w:numPr>
              <w:rPr>
                <w:sz w:val="16"/>
                <w:szCs w:val="16"/>
              </w:rPr>
            </w:pPr>
            <w:r w:rsidRPr="00565734">
              <w:rPr>
                <w:sz w:val="16"/>
                <w:szCs w:val="16"/>
              </w:rPr>
              <w:t>Public data</w:t>
            </w:r>
          </w:p>
          <w:p w14:paraId="4BB49B6A" w14:textId="77777777" w:rsidR="00565734" w:rsidRPr="00565734" w:rsidRDefault="00565734" w:rsidP="00565734">
            <w:pPr>
              <w:pStyle w:val="ListParagraph"/>
              <w:numPr>
                <w:ilvl w:val="0"/>
                <w:numId w:val="6"/>
              </w:numPr>
              <w:rPr>
                <w:sz w:val="16"/>
                <w:szCs w:val="16"/>
              </w:rPr>
            </w:pPr>
            <w:r w:rsidRPr="00565734">
              <w:rPr>
                <w:sz w:val="16"/>
                <w:szCs w:val="16"/>
              </w:rPr>
              <w:t>Market surveys</w:t>
            </w:r>
          </w:p>
          <w:p w14:paraId="6ABB0CD8" w14:textId="77777777" w:rsidR="00565734" w:rsidRPr="00565734" w:rsidRDefault="00565734" w:rsidP="00565734">
            <w:pPr>
              <w:pStyle w:val="ListParagraph"/>
              <w:numPr>
                <w:ilvl w:val="0"/>
                <w:numId w:val="6"/>
              </w:numPr>
              <w:rPr>
                <w:sz w:val="16"/>
                <w:szCs w:val="16"/>
              </w:rPr>
            </w:pPr>
            <w:r w:rsidRPr="00565734">
              <w:rPr>
                <w:sz w:val="16"/>
                <w:szCs w:val="16"/>
              </w:rPr>
              <w:t>Consultation with companies</w:t>
            </w:r>
          </w:p>
        </w:tc>
      </w:tr>
      <w:tr w:rsidR="00565734" w:rsidRPr="00565734" w14:paraId="600F52B3" w14:textId="77777777" w:rsidTr="003F2755">
        <w:trPr>
          <w:trHeight w:val="1953"/>
        </w:trPr>
        <w:tc>
          <w:tcPr>
            <w:tcW w:w="430" w:type="pct"/>
          </w:tcPr>
          <w:p w14:paraId="0BF87092" w14:textId="77777777" w:rsidR="00565734" w:rsidRPr="00565734" w:rsidRDefault="00565734" w:rsidP="003F2755">
            <w:pPr>
              <w:rPr>
                <w:b/>
                <w:bCs/>
                <w:sz w:val="16"/>
                <w:szCs w:val="16"/>
              </w:rPr>
            </w:pPr>
            <w:r w:rsidRPr="00565734">
              <w:rPr>
                <w:b/>
                <w:bCs/>
                <w:sz w:val="16"/>
                <w:szCs w:val="16"/>
              </w:rPr>
              <w:t>INFORMAS</w:t>
            </w:r>
          </w:p>
        </w:tc>
        <w:tc>
          <w:tcPr>
            <w:tcW w:w="365" w:type="pct"/>
          </w:tcPr>
          <w:p w14:paraId="55034065" w14:textId="77777777" w:rsidR="00565734" w:rsidRPr="00565734" w:rsidRDefault="00565734" w:rsidP="003F2755">
            <w:pPr>
              <w:rPr>
                <w:b/>
                <w:bCs/>
                <w:sz w:val="16"/>
                <w:szCs w:val="16"/>
              </w:rPr>
            </w:pPr>
            <w:proofErr w:type="spellStart"/>
            <w:r w:rsidRPr="00565734">
              <w:rPr>
                <w:b/>
                <w:bCs/>
                <w:sz w:val="16"/>
                <w:szCs w:val="16"/>
              </w:rPr>
              <w:t>BIA-Obesity</w:t>
            </w:r>
            <w:proofErr w:type="spellEnd"/>
            <w:r w:rsidRPr="00565734">
              <w:rPr>
                <w:b/>
                <w:bCs/>
                <w:sz w:val="16"/>
                <w:szCs w:val="16"/>
              </w:rPr>
              <w:t xml:space="preserve"> Thailand</w:t>
            </w:r>
          </w:p>
        </w:tc>
        <w:tc>
          <w:tcPr>
            <w:tcW w:w="199" w:type="pct"/>
          </w:tcPr>
          <w:p w14:paraId="78CA34BC" w14:textId="77777777" w:rsidR="00565734" w:rsidRPr="00565734" w:rsidRDefault="00565734" w:rsidP="003F2755">
            <w:pPr>
              <w:rPr>
                <w:b/>
                <w:bCs/>
                <w:sz w:val="16"/>
                <w:szCs w:val="16"/>
              </w:rPr>
            </w:pPr>
            <w:r w:rsidRPr="00565734">
              <w:rPr>
                <w:b/>
                <w:bCs/>
                <w:sz w:val="16"/>
                <w:szCs w:val="16"/>
              </w:rPr>
              <w:t>2019</w:t>
            </w:r>
          </w:p>
        </w:tc>
        <w:tc>
          <w:tcPr>
            <w:tcW w:w="366" w:type="pct"/>
          </w:tcPr>
          <w:p w14:paraId="00560C88" w14:textId="77777777" w:rsidR="00565734" w:rsidRPr="00565734" w:rsidRDefault="00565734" w:rsidP="003F2755">
            <w:pPr>
              <w:rPr>
                <w:sz w:val="16"/>
                <w:szCs w:val="16"/>
              </w:rPr>
            </w:pPr>
            <w:r w:rsidRPr="00565734">
              <w:rPr>
                <w:sz w:val="16"/>
                <w:szCs w:val="16"/>
              </w:rPr>
              <w:t>Thailand</w:t>
            </w:r>
          </w:p>
        </w:tc>
        <w:tc>
          <w:tcPr>
            <w:tcW w:w="1186" w:type="pct"/>
          </w:tcPr>
          <w:p w14:paraId="002B772E" w14:textId="77777777" w:rsidR="00565734" w:rsidRPr="00565734" w:rsidRDefault="00565734" w:rsidP="003F2755">
            <w:pPr>
              <w:rPr>
                <w:sz w:val="16"/>
                <w:szCs w:val="16"/>
              </w:rPr>
            </w:pPr>
            <w:r w:rsidRPr="00565734">
              <w:rPr>
                <w:sz w:val="16"/>
                <w:szCs w:val="16"/>
              </w:rPr>
              <w:t xml:space="preserve">The </w:t>
            </w:r>
            <w:proofErr w:type="spellStart"/>
            <w:r w:rsidRPr="00565734">
              <w:rPr>
                <w:sz w:val="16"/>
                <w:szCs w:val="16"/>
              </w:rPr>
              <w:t>BIA-Obesity</w:t>
            </w:r>
            <w:proofErr w:type="spellEnd"/>
            <w:r w:rsidRPr="00565734">
              <w:rPr>
                <w:sz w:val="16"/>
                <w:szCs w:val="16"/>
              </w:rPr>
              <w:t xml:space="preserve"> Thailand conducted a publicly available policy assessment of major food companies nutrition-related policies and commitments. </w:t>
            </w:r>
          </w:p>
        </w:tc>
        <w:tc>
          <w:tcPr>
            <w:tcW w:w="560" w:type="pct"/>
          </w:tcPr>
          <w:p w14:paraId="1E87D4EA" w14:textId="77777777" w:rsidR="00565734" w:rsidRPr="00565734" w:rsidRDefault="00565734" w:rsidP="00565734">
            <w:pPr>
              <w:pStyle w:val="ListParagraph"/>
              <w:numPr>
                <w:ilvl w:val="0"/>
                <w:numId w:val="5"/>
              </w:numPr>
              <w:rPr>
                <w:sz w:val="16"/>
                <w:szCs w:val="16"/>
              </w:rPr>
            </w:pPr>
            <w:r w:rsidRPr="00565734">
              <w:rPr>
                <w:sz w:val="16"/>
                <w:szCs w:val="16"/>
              </w:rPr>
              <w:t>Food retailers</w:t>
            </w:r>
          </w:p>
          <w:p w14:paraId="5BFFD582" w14:textId="77777777" w:rsidR="00565734" w:rsidRPr="00565734" w:rsidRDefault="00565734" w:rsidP="00565734">
            <w:pPr>
              <w:pStyle w:val="ListParagraph"/>
              <w:numPr>
                <w:ilvl w:val="0"/>
                <w:numId w:val="5"/>
              </w:numPr>
              <w:rPr>
                <w:sz w:val="16"/>
                <w:szCs w:val="16"/>
              </w:rPr>
            </w:pPr>
            <w:r w:rsidRPr="00565734">
              <w:rPr>
                <w:sz w:val="16"/>
                <w:szCs w:val="16"/>
              </w:rPr>
              <w:t>Quick Service Restaurants</w:t>
            </w:r>
          </w:p>
          <w:p w14:paraId="00AEBF79" w14:textId="77777777" w:rsidR="00565734" w:rsidRPr="00565734" w:rsidRDefault="00565734" w:rsidP="00565734">
            <w:pPr>
              <w:pStyle w:val="ListParagraph"/>
              <w:numPr>
                <w:ilvl w:val="0"/>
                <w:numId w:val="5"/>
              </w:numPr>
              <w:rPr>
                <w:sz w:val="16"/>
                <w:szCs w:val="16"/>
              </w:rPr>
            </w:pPr>
            <w:r w:rsidRPr="00565734">
              <w:rPr>
                <w:sz w:val="16"/>
                <w:szCs w:val="16"/>
              </w:rPr>
              <w:t>Food and beverage manufacturers</w:t>
            </w:r>
          </w:p>
        </w:tc>
        <w:tc>
          <w:tcPr>
            <w:tcW w:w="365" w:type="pct"/>
          </w:tcPr>
          <w:p w14:paraId="4AF43BA8" w14:textId="77777777" w:rsidR="00565734" w:rsidRPr="00565734" w:rsidRDefault="00565734" w:rsidP="003F2755">
            <w:pPr>
              <w:rPr>
                <w:sz w:val="16"/>
                <w:szCs w:val="16"/>
              </w:rPr>
            </w:pPr>
            <w:r w:rsidRPr="00565734">
              <w:rPr>
                <w:sz w:val="16"/>
                <w:szCs w:val="16"/>
              </w:rPr>
              <w:t>19</w:t>
            </w:r>
          </w:p>
        </w:tc>
        <w:tc>
          <w:tcPr>
            <w:tcW w:w="1065" w:type="pct"/>
          </w:tcPr>
          <w:p w14:paraId="16A16670" w14:textId="77777777" w:rsidR="00565734" w:rsidRPr="00565734" w:rsidRDefault="00565734" w:rsidP="00565734">
            <w:pPr>
              <w:pStyle w:val="ListParagraph"/>
              <w:numPr>
                <w:ilvl w:val="0"/>
                <w:numId w:val="5"/>
              </w:numPr>
              <w:rPr>
                <w:sz w:val="16"/>
                <w:szCs w:val="16"/>
              </w:rPr>
            </w:pPr>
            <w:r w:rsidRPr="00565734">
              <w:rPr>
                <w:sz w:val="16"/>
                <w:szCs w:val="16"/>
              </w:rPr>
              <w:t>Corporate strategy; Product formulation; Nutrition labelling; Promotion practices; Product accessibility; Relationships with external groups.</w:t>
            </w:r>
          </w:p>
        </w:tc>
        <w:tc>
          <w:tcPr>
            <w:tcW w:w="464" w:type="pct"/>
          </w:tcPr>
          <w:p w14:paraId="48E3A3CA" w14:textId="77777777" w:rsidR="00565734" w:rsidRPr="00565734" w:rsidRDefault="00565734" w:rsidP="00565734">
            <w:pPr>
              <w:pStyle w:val="ListParagraph"/>
              <w:numPr>
                <w:ilvl w:val="0"/>
                <w:numId w:val="6"/>
              </w:numPr>
              <w:rPr>
                <w:sz w:val="16"/>
                <w:szCs w:val="16"/>
              </w:rPr>
            </w:pPr>
            <w:r w:rsidRPr="00565734">
              <w:rPr>
                <w:sz w:val="16"/>
                <w:szCs w:val="16"/>
              </w:rPr>
              <w:t>Public data only</w:t>
            </w:r>
          </w:p>
        </w:tc>
      </w:tr>
    </w:tbl>
    <w:p w14:paraId="328D7C73" w14:textId="46E48075" w:rsidR="00927B1E" w:rsidRPr="00565734" w:rsidRDefault="00565734" w:rsidP="00565734">
      <w:r w:rsidRPr="00565734">
        <w:rPr>
          <w:sz w:val="16"/>
          <w:szCs w:val="16"/>
        </w:rPr>
        <w:t xml:space="preserve">ATNI = Access to Nutrition Initiative; </w:t>
      </w:r>
      <w:proofErr w:type="spellStart"/>
      <w:r w:rsidRPr="00565734">
        <w:rPr>
          <w:sz w:val="16"/>
          <w:szCs w:val="16"/>
        </w:rPr>
        <w:t>BIA-Obesity</w:t>
      </w:r>
      <w:proofErr w:type="spellEnd"/>
      <w:r w:rsidRPr="00565734">
        <w:rPr>
          <w:sz w:val="16"/>
          <w:szCs w:val="16"/>
        </w:rPr>
        <w:t xml:space="preserve"> = Business Impact Assessment – Obesity and population nutrition; BMS = Breast-Milk Substitute; CF = Commercial Formula; INFORMAS = International Network for Food and Obesity / Non-communicable Diseases (NCDs) Research, Monitoring and Action Support; WBA = World Benchmarking Alliance.</w:t>
      </w:r>
    </w:p>
    <w:sectPr w:rsidR="00927B1E" w:rsidRPr="00565734" w:rsidSect="00F712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014C" w14:textId="77777777" w:rsidR="00F71229" w:rsidRDefault="00F71229" w:rsidP="00F71229">
      <w:pPr>
        <w:spacing w:after="0" w:line="240" w:lineRule="auto"/>
      </w:pPr>
      <w:r>
        <w:separator/>
      </w:r>
    </w:p>
  </w:endnote>
  <w:endnote w:type="continuationSeparator" w:id="0">
    <w:p w14:paraId="29806277" w14:textId="77777777" w:rsidR="00F71229" w:rsidRDefault="00F71229" w:rsidP="00F7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810D" w14:textId="77777777" w:rsidR="00F71229" w:rsidRDefault="00F71229" w:rsidP="00F71229">
      <w:pPr>
        <w:spacing w:after="0" w:line="240" w:lineRule="auto"/>
      </w:pPr>
      <w:r>
        <w:separator/>
      </w:r>
    </w:p>
  </w:footnote>
  <w:footnote w:type="continuationSeparator" w:id="0">
    <w:p w14:paraId="2136AD7B" w14:textId="77777777" w:rsidR="00F71229" w:rsidRDefault="00F71229" w:rsidP="00F71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C2D82"/>
    <w:multiLevelType w:val="hybridMultilevel"/>
    <w:tmpl w:val="2FA430BE"/>
    <w:lvl w:ilvl="0" w:tplc="A490A248">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7D7ABA"/>
    <w:multiLevelType w:val="hybridMultilevel"/>
    <w:tmpl w:val="91A86876"/>
    <w:lvl w:ilvl="0" w:tplc="20968E9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5F77C4"/>
    <w:multiLevelType w:val="hybridMultilevel"/>
    <w:tmpl w:val="CF00BEFA"/>
    <w:lvl w:ilvl="0" w:tplc="4A585F3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BF69A9"/>
    <w:multiLevelType w:val="hybridMultilevel"/>
    <w:tmpl w:val="7B0E4774"/>
    <w:lvl w:ilvl="0" w:tplc="D25CA14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263A2"/>
    <w:multiLevelType w:val="hybridMultilevel"/>
    <w:tmpl w:val="CB389A42"/>
    <w:lvl w:ilvl="0" w:tplc="102A6D7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60427B"/>
    <w:multiLevelType w:val="hybridMultilevel"/>
    <w:tmpl w:val="12244828"/>
    <w:lvl w:ilvl="0" w:tplc="8E6C6222">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F28EC"/>
    <w:multiLevelType w:val="hybridMultilevel"/>
    <w:tmpl w:val="57386F8A"/>
    <w:lvl w:ilvl="0" w:tplc="D25CA14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41571"/>
    <w:multiLevelType w:val="hybridMultilevel"/>
    <w:tmpl w:val="7340F91E"/>
    <w:lvl w:ilvl="0" w:tplc="E99495B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512487"/>
    <w:multiLevelType w:val="hybridMultilevel"/>
    <w:tmpl w:val="94341DAE"/>
    <w:lvl w:ilvl="0" w:tplc="2C260D68">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CC5813"/>
    <w:multiLevelType w:val="hybridMultilevel"/>
    <w:tmpl w:val="391C55FA"/>
    <w:lvl w:ilvl="0" w:tplc="813EB6D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0285514">
    <w:abstractNumId w:val="4"/>
  </w:num>
  <w:num w:numId="2" w16cid:durableId="1779375445">
    <w:abstractNumId w:val="7"/>
  </w:num>
  <w:num w:numId="3" w16cid:durableId="2016958821">
    <w:abstractNumId w:val="8"/>
  </w:num>
  <w:num w:numId="4" w16cid:durableId="1205290678">
    <w:abstractNumId w:val="2"/>
  </w:num>
  <w:num w:numId="5" w16cid:durableId="2025671696">
    <w:abstractNumId w:val="1"/>
  </w:num>
  <w:num w:numId="6" w16cid:durableId="1066953634">
    <w:abstractNumId w:val="6"/>
  </w:num>
  <w:num w:numId="7" w16cid:durableId="1772584086">
    <w:abstractNumId w:val="3"/>
  </w:num>
  <w:num w:numId="8" w16cid:durableId="1435632957">
    <w:abstractNumId w:val="0"/>
  </w:num>
  <w:num w:numId="9" w16cid:durableId="368455538">
    <w:abstractNumId w:val="9"/>
  </w:num>
  <w:num w:numId="10" w16cid:durableId="934095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29"/>
    <w:rsid w:val="00565734"/>
    <w:rsid w:val="00A263E6"/>
    <w:rsid w:val="00A90E7E"/>
    <w:rsid w:val="00B44644"/>
    <w:rsid w:val="00D90F73"/>
    <w:rsid w:val="00DB558F"/>
    <w:rsid w:val="00F71229"/>
    <w:rsid w:val="00FD2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56C5"/>
  <w15:chartTrackingRefBased/>
  <w15:docId w15:val="{C2D43F0D-6D97-42D4-848A-619FE634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712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229"/>
    <w:rPr>
      <w:sz w:val="20"/>
      <w:szCs w:val="20"/>
    </w:rPr>
  </w:style>
  <w:style w:type="character" w:styleId="FootnoteReference">
    <w:name w:val="footnote reference"/>
    <w:basedOn w:val="DefaultParagraphFont"/>
    <w:uiPriority w:val="99"/>
    <w:semiHidden/>
    <w:unhideWhenUsed/>
    <w:rsid w:val="00F71229"/>
    <w:rPr>
      <w:vertAlign w:val="superscript"/>
    </w:rPr>
  </w:style>
  <w:style w:type="paragraph" w:styleId="ListParagraph">
    <w:name w:val="List Paragraph"/>
    <w:basedOn w:val="Normal"/>
    <w:uiPriority w:val="34"/>
    <w:qFormat/>
    <w:rsid w:val="00F71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Robinson</dc:creator>
  <cp:keywords/>
  <dc:description/>
  <cp:lastModifiedBy>Ella Robinson</cp:lastModifiedBy>
  <cp:revision>3</cp:revision>
  <dcterms:created xsi:type="dcterms:W3CDTF">2023-07-27T00:09:00Z</dcterms:created>
  <dcterms:modified xsi:type="dcterms:W3CDTF">2023-08-09T23:35:00Z</dcterms:modified>
</cp:coreProperties>
</file>