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2A5D" w14:textId="6CBB9FE2" w:rsidR="008A3C2A" w:rsidRDefault="00FB39EA" w:rsidP="004F2F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Level 2 model with four profiles</w:t>
      </w:r>
    </w:p>
    <w:p w14:paraId="71846496" w14:textId="6157CA7B" w:rsidR="009E2567" w:rsidRPr="009E2567" w:rsidRDefault="00BC7203" w:rsidP="009E2567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FC5821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previously explained,</w:t>
      </w:r>
      <w:r w:rsidR="009E2567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5821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although </w:t>
      </w:r>
      <w:r w:rsidR="009E2567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FC5821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decided to explore</w:t>
      </w:r>
      <w:r w:rsidR="009E2567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 the five</w:t>
      </w:r>
      <w:r w:rsidR="00E71C60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-</w:t>
      </w:r>
      <w:r w:rsidR="009E2567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profile model for exploration based on th</w:t>
      </w:r>
      <w:r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e BIC and AIC </w:t>
      </w:r>
      <w:r w:rsidR="00FC5821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fit indices</w:t>
      </w:r>
      <w:r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C5821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t</w:t>
      </w:r>
      <w:r w:rsidR="009E2567" w:rsidRPr="00E44343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3B735D" w:rsidRPr="003B735D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Lo–</w:t>
      </w:r>
      <w:proofErr w:type="spellStart"/>
      <w:r w:rsidR="003B735D" w:rsidRPr="003B735D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Mendell</w:t>
      </w:r>
      <w:proofErr w:type="spellEnd"/>
      <w:r w:rsidR="003B735D" w:rsidRPr="003B735D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–Rubin likelihood ratio test</w:t>
      </w:r>
      <w:r w:rsidR="003B735D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 (LMR)</w:t>
      </w:r>
      <w:r w:rsidR="009E2567" w:rsidRPr="00E44343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 indicated that models with more than four profiles no longer provided significant improvements in model fit</w:t>
      </w:r>
      <w:r w:rsidR="003B735D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96DE4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For comparison, we therefore </w:t>
      </w:r>
      <w:r w:rsidR="001D6E39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report and briefly discuss the four</w:t>
      </w:r>
      <w:r w:rsidR="00E71C60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-</w:t>
      </w:r>
      <w:r w:rsidR="001D6E39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profile model below. </w:t>
      </w:r>
    </w:p>
    <w:p w14:paraId="2E59855C" w14:textId="110F27E5" w:rsidR="00A03828" w:rsidRPr="00C34D9D" w:rsidRDefault="00A03828" w:rsidP="00A03828">
      <w:pPr>
        <w:spacing w:line="240" w:lineRule="auto"/>
        <w:rPr>
          <w:rFonts w:ascii="Times New Roman" w:hAnsi="Times New Roman" w:cs="Times New Roman"/>
          <w:i/>
          <w:iCs/>
          <w:lang w:val="en-GB"/>
        </w:rPr>
      </w:pPr>
      <w:r w:rsidRPr="004F2F6F">
        <w:rPr>
          <w:rFonts w:ascii="Times New Roman" w:hAnsi="Times New Roman" w:cs="Times New Roman"/>
          <w:lang w:val="en-GB"/>
        </w:rPr>
        <w:t xml:space="preserve">Table </w:t>
      </w:r>
      <w:r>
        <w:rPr>
          <w:rFonts w:ascii="Times New Roman" w:hAnsi="Times New Roman" w:cs="Times New Roman"/>
          <w:lang w:val="en-GB"/>
        </w:rPr>
        <w:t xml:space="preserve">S1. </w:t>
      </w:r>
      <w:r w:rsidRPr="004F2F6F">
        <w:rPr>
          <w:rFonts w:ascii="Times New Roman" w:hAnsi="Times New Roman" w:cs="Times New Roman"/>
          <w:i/>
          <w:iCs/>
          <w:lang w:val="en-GB"/>
        </w:rPr>
        <w:t xml:space="preserve">Estimates of mean proportions of activities per class for Level 2 </w:t>
      </w:r>
      <w:r>
        <w:rPr>
          <w:rFonts w:ascii="Times New Roman" w:hAnsi="Times New Roman" w:cs="Times New Roman"/>
          <w:i/>
          <w:iCs/>
          <w:lang w:val="en-GB"/>
        </w:rPr>
        <w:t>four</w:t>
      </w:r>
      <w:r w:rsidR="00E71C60">
        <w:rPr>
          <w:rFonts w:ascii="Times New Roman" w:hAnsi="Times New Roman" w:cs="Times New Roman"/>
          <w:i/>
          <w:iCs/>
          <w:lang w:val="en-GB"/>
        </w:rPr>
        <w:t>-</w:t>
      </w:r>
      <w:r w:rsidRPr="004F2F6F">
        <w:rPr>
          <w:rFonts w:ascii="Times New Roman" w:hAnsi="Times New Roman" w:cs="Times New Roman"/>
          <w:i/>
          <w:iCs/>
          <w:lang w:val="en-GB"/>
        </w:rPr>
        <w:t>profile solution.</w:t>
      </w:r>
    </w:p>
    <w:tbl>
      <w:tblPr>
        <w:tblStyle w:val="TableGrid"/>
        <w:tblpPr w:leftFromText="180" w:rightFromText="180" w:vertAnchor="text" w:tblpY="1"/>
        <w:tblOverlap w:val="never"/>
        <w:tblW w:w="7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1282"/>
        <w:gridCol w:w="1261"/>
        <w:gridCol w:w="1261"/>
        <w:gridCol w:w="1172"/>
      </w:tblGrid>
      <w:tr w:rsidR="00D1509B" w:rsidRPr="004F2F6F" w14:paraId="71D04A27" w14:textId="77777777" w:rsidTr="00C34D9D">
        <w:tc>
          <w:tcPr>
            <w:tcW w:w="242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6D41529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8BB3B2A" w14:textId="18329FDE" w:rsidR="00D1509B" w:rsidRPr="004F2F6F" w:rsidRDefault="00D1509B" w:rsidP="00E53C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P1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0828F68" w14:textId="4164F559" w:rsidR="00D1509B" w:rsidRPr="004F2F6F" w:rsidRDefault="00D1509B" w:rsidP="00E53C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1D9A0AF" w14:textId="153009D6" w:rsidR="00D1509B" w:rsidRPr="004F2F6F" w:rsidRDefault="00D1509B" w:rsidP="00E53C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35DCC723" w14:textId="6F5BB14A" w:rsidR="00D1509B" w:rsidRPr="004F2F6F" w:rsidRDefault="00D1509B" w:rsidP="00E53C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4</w:t>
            </w:r>
          </w:p>
        </w:tc>
      </w:tr>
      <w:tr w:rsidR="00D1509B" w:rsidRPr="004F2F6F" w14:paraId="66657007" w14:textId="77777777" w:rsidTr="00C34D9D">
        <w:tc>
          <w:tcPr>
            <w:tcW w:w="24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EB99C19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504C882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EN work &amp; conversations, </w:t>
            </w: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br/>
              <w:t>L1 leisure</w:t>
            </w:r>
          </w:p>
        </w:tc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7D2F060" w14:textId="74F17A36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Challenging LML work </w:t>
            </w:r>
          </w:p>
        </w:tc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38CEF6F" w14:textId="65757B52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L1/EN leisure, challenging </w:t>
            </w: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br/>
              <w:t>EN work</w:t>
            </w:r>
          </w:p>
        </w:tc>
        <w:tc>
          <w:tcPr>
            <w:tcW w:w="11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4FC8420" w14:textId="52C58B98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Challenging LML/L1 activities</w:t>
            </w:r>
          </w:p>
        </w:tc>
      </w:tr>
      <w:tr w:rsidR="00D1509B" w:rsidRPr="004F2F6F" w14:paraId="4044F2B1" w14:textId="77777777" w:rsidTr="00C34D9D">
        <w:tc>
          <w:tcPr>
            <w:tcW w:w="2427" w:type="dxa"/>
            <w:tcBorders>
              <w:top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C87A36B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F2F6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</w:t>
            </w:r>
            <w:r w:rsidRPr="004F2F6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GB"/>
              </w:rPr>
              <w:t>part</w:t>
            </w:r>
            <w:proofErr w:type="spellEnd"/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Study 1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[% row total]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shd w:val="clear" w:color="auto" w:fill="auto"/>
          </w:tcPr>
          <w:p w14:paraId="2749F2CC" w14:textId="59DF151B" w:rsidR="00D1509B" w:rsidRPr="004F2F6F" w:rsidRDefault="00D1509B" w:rsidP="00D1509B">
            <w:pPr>
              <w:ind w:left="48"/>
              <w:jc w:val="center"/>
              <w:rPr>
                <w:rFonts w:ascii="Times New Roman" w:hAnsi="Times New Roman" w:cs="Times New Roman"/>
                <w:color w:val="A3D76A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33</w:t>
            </w: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83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shd w:val="clear" w:color="auto" w:fill="auto"/>
          </w:tcPr>
          <w:p w14:paraId="0F51EB83" w14:textId="6EEA5357" w:rsidR="00D1509B" w:rsidRPr="004F2F6F" w:rsidRDefault="00D1509B" w:rsidP="00D1509B">
            <w:pPr>
              <w:ind w:left="48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  <w:shd w:val="clear" w:color="auto" w:fill="D9D9D9" w:themeFill="background1" w:themeFillShade="D9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3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5AF43ECB" w14:textId="47D84141" w:rsidR="00D1509B" w:rsidRPr="004F2F6F" w:rsidRDefault="00E53C3B" w:rsidP="00D1509B">
            <w:pPr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D1509B"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6 </w:t>
            </w:r>
            <w:r w:rsidR="00D1509B"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 w:rsidR="00D1509B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15</w:t>
            </w:r>
            <w:r w:rsidR="00D1509B"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76F9F73" w14:textId="417F562A" w:rsidR="00D1509B" w:rsidRPr="004F2F6F" w:rsidRDefault="00D1509B" w:rsidP="00D1509B">
            <w:pPr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[%]</w:t>
            </w:r>
          </w:p>
        </w:tc>
      </w:tr>
      <w:tr w:rsidR="00D1509B" w:rsidRPr="004F2F6F" w14:paraId="04BDD11D" w14:textId="77777777" w:rsidTr="00C34D9D">
        <w:trPr>
          <w:trHeight w:val="62"/>
        </w:trPr>
        <w:tc>
          <w:tcPr>
            <w:tcW w:w="2427" w:type="dxa"/>
            <w:shd w:val="clear" w:color="auto" w:fill="auto"/>
            <w:tcMar>
              <w:left w:w="62" w:type="dxa"/>
              <w:right w:w="62" w:type="dxa"/>
            </w:tcMar>
          </w:tcPr>
          <w:p w14:paraId="301F4A11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F2F6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</w:t>
            </w:r>
            <w:r w:rsidRPr="004F2F6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GB"/>
              </w:rPr>
              <w:t>part</w:t>
            </w:r>
            <w:proofErr w:type="spellEnd"/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Study 2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[% row total]</w:t>
            </w:r>
          </w:p>
        </w:tc>
        <w:tc>
          <w:tcPr>
            <w:tcW w:w="1282" w:type="dxa"/>
            <w:shd w:val="clear" w:color="auto" w:fill="auto"/>
          </w:tcPr>
          <w:p w14:paraId="4EB7ED40" w14:textId="2303DEFF" w:rsidR="00D1509B" w:rsidRPr="004F2F6F" w:rsidRDefault="00D1509B" w:rsidP="00D1509B">
            <w:pPr>
              <w:ind w:left="5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</w:t>
            </w: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56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  <w:tc>
          <w:tcPr>
            <w:tcW w:w="1261" w:type="dxa"/>
            <w:shd w:val="clear" w:color="auto" w:fill="auto"/>
          </w:tcPr>
          <w:p w14:paraId="1A3203DC" w14:textId="2E8C15D6" w:rsidR="00D1509B" w:rsidRPr="004F2F6F" w:rsidRDefault="00D1509B" w:rsidP="00D15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37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  <w:tc>
          <w:tcPr>
            <w:tcW w:w="1261" w:type="dxa"/>
            <w:shd w:val="clear" w:color="auto" w:fill="auto"/>
            <w:tcMar>
              <w:left w:w="62" w:type="dxa"/>
              <w:right w:w="62" w:type="dxa"/>
            </w:tcMar>
          </w:tcPr>
          <w:p w14:paraId="01157E1B" w14:textId="05D699A1" w:rsidR="00D1509B" w:rsidRPr="004F2F6F" w:rsidRDefault="00D1509B" w:rsidP="00D15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  <w:tc>
          <w:tcPr>
            <w:tcW w:w="1172" w:type="dxa"/>
            <w:shd w:val="clear" w:color="auto" w:fill="auto"/>
            <w:tcMar>
              <w:left w:w="62" w:type="dxa"/>
              <w:right w:w="62" w:type="dxa"/>
            </w:tcMar>
          </w:tcPr>
          <w:p w14:paraId="24D7C56E" w14:textId="6075736E" w:rsidR="00D1509B" w:rsidRPr="004F2F6F" w:rsidRDefault="00D1509B" w:rsidP="00D1509B">
            <w:pPr>
              <w:ind w:left="4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5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</w:tr>
      <w:tr w:rsidR="00D1509B" w:rsidRPr="004F2F6F" w14:paraId="2B45691C" w14:textId="77777777" w:rsidTr="00C34D9D">
        <w:tc>
          <w:tcPr>
            <w:tcW w:w="2427" w:type="dxa"/>
            <w:tcBorders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10BED97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F2F6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N</w:t>
            </w:r>
            <w:r w:rsidRPr="004F2F6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GB"/>
              </w:rPr>
              <w:t>part</w:t>
            </w:r>
            <w:proofErr w:type="spellEnd"/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Total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[% row total]</w:t>
            </w: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auto"/>
          </w:tcPr>
          <w:p w14:paraId="265D32E8" w14:textId="70B5B2CA" w:rsidR="00D1509B" w:rsidRPr="00A13BC7" w:rsidRDefault="00D1509B" w:rsidP="00D1509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A13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</w:t>
            </w:r>
            <w:r w:rsidRPr="00A13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A13BC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GB"/>
              </w:rPr>
              <w:t>69</w:t>
            </w:r>
            <w:r w:rsidRPr="00A13BC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GB"/>
              </w:rPr>
              <w:t>%]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</w:tcPr>
          <w:p w14:paraId="3C14526A" w14:textId="4F2E7581" w:rsidR="00D1509B" w:rsidRPr="004F2F6F" w:rsidRDefault="00D1509B" w:rsidP="00D15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13B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16 </w:t>
            </w:r>
            <w:r w:rsidRPr="00A13BC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GB"/>
              </w:rPr>
              <w:t>20</w:t>
            </w:r>
            <w:r w:rsidRPr="00A13BC7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GB"/>
              </w:rPr>
              <w:t>%]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6076B53D" w14:textId="542AFCFD" w:rsidR="00D1509B" w:rsidRPr="00A13BC7" w:rsidRDefault="00D1509B" w:rsidP="00D1509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7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9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1A753C5" w14:textId="560E62CD" w:rsidR="00D1509B" w:rsidRPr="00A13BC7" w:rsidRDefault="00D1509B" w:rsidP="00D1509B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 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%]</w:t>
            </w:r>
          </w:p>
        </w:tc>
      </w:tr>
      <w:tr w:rsidR="00D1509B" w:rsidRPr="004F2F6F" w14:paraId="122D2F02" w14:textId="77777777" w:rsidTr="00C34D9D">
        <w:tc>
          <w:tcPr>
            <w:tcW w:w="2427" w:type="dxa"/>
            <w:tcBorders>
              <w:top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20DE2806" w14:textId="77777777" w:rsidR="00D1509B" w:rsidRPr="004F2F6F" w:rsidRDefault="00D1509B" w:rsidP="00D1509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MEANS </w:t>
            </w: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[95%CIs]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shd w:val="clear" w:color="auto" w:fill="auto"/>
          </w:tcPr>
          <w:p w14:paraId="1DB39C5A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tcBorders>
              <w:top w:val="single" w:sz="8" w:space="0" w:color="auto"/>
            </w:tcBorders>
            <w:shd w:val="clear" w:color="auto" w:fill="auto"/>
          </w:tcPr>
          <w:p w14:paraId="16C3C96D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tcBorders>
              <w:top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E81F055" w14:textId="3E6DFFD8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72" w:type="dxa"/>
            <w:tcBorders>
              <w:top w:val="single" w:sz="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1A282C03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1509B" w:rsidRPr="004F2F6F" w14:paraId="1A08B97E" w14:textId="77777777" w:rsidTr="00C34D9D">
        <w:tc>
          <w:tcPr>
            <w:tcW w:w="2427" w:type="dxa"/>
            <w:shd w:val="clear" w:color="auto" w:fill="auto"/>
            <w:tcMar>
              <w:left w:w="62" w:type="dxa"/>
              <w:right w:w="62" w:type="dxa"/>
            </w:tcMar>
          </w:tcPr>
          <w:p w14:paraId="6A7110E1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Proportion of Class 1 activities</w:t>
            </w:r>
          </w:p>
          <w:p w14:paraId="0EA16793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Easy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LM</w:t>
            </w: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 work &amp; study</w:t>
            </w:r>
          </w:p>
          <w:p w14:paraId="610F3217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  <w:lang w:val="en-GB"/>
              </w:rPr>
            </w:pPr>
          </w:p>
        </w:tc>
        <w:tc>
          <w:tcPr>
            <w:tcW w:w="1282" w:type="dxa"/>
            <w:shd w:val="clear" w:color="auto" w:fill="auto"/>
          </w:tcPr>
          <w:p w14:paraId="6F1AD20B" w14:textId="370E8640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16</w:t>
            </w: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15</w:t>
            </w:r>
          </w:p>
          <w:p w14:paraId="72F8E388" w14:textId="728826C4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[1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0.28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22.02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</w:tcPr>
          <w:p w14:paraId="445EA9A2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2.53</w:t>
            </w:r>
          </w:p>
          <w:p w14:paraId="1AB8ED67" w14:textId="7E9E8889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5.53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, 1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9.53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  <w:tcMar>
              <w:left w:w="62" w:type="dxa"/>
              <w:right w:w="62" w:type="dxa"/>
            </w:tcMar>
          </w:tcPr>
          <w:p w14:paraId="46E9CC80" w14:textId="43A89201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0.59</w:t>
            </w:r>
          </w:p>
          <w:p w14:paraId="4D2FE478" w14:textId="1257263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-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0.02, 1.20]</w:t>
            </w:r>
          </w:p>
        </w:tc>
        <w:tc>
          <w:tcPr>
            <w:tcW w:w="1172" w:type="dxa"/>
            <w:shd w:val="clear" w:color="auto" w:fill="auto"/>
            <w:tcMar>
              <w:left w:w="62" w:type="dxa"/>
              <w:right w:w="62" w:type="dxa"/>
            </w:tcMar>
          </w:tcPr>
          <w:p w14:paraId="0BABED3D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6.23</w:t>
            </w:r>
          </w:p>
          <w:p w14:paraId="5DB8EA7E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[0.83, 11.63]</w:t>
            </w:r>
          </w:p>
        </w:tc>
      </w:tr>
      <w:tr w:rsidR="00D1509B" w:rsidRPr="004F2F6F" w14:paraId="0598FE9D" w14:textId="77777777" w:rsidTr="00C34D9D">
        <w:tc>
          <w:tcPr>
            <w:tcW w:w="2427" w:type="dxa"/>
            <w:shd w:val="clear" w:color="auto" w:fill="auto"/>
            <w:tcMar>
              <w:left w:w="62" w:type="dxa"/>
              <w:right w:w="62" w:type="dxa"/>
            </w:tcMar>
          </w:tcPr>
          <w:p w14:paraId="5BC0E8D2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Proportion of Class 2 activities </w:t>
            </w:r>
          </w:p>
          <w:p w14:paraId="12B09629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Challenging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LM</w:t>
            </w: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 work &amp; study</w:t>
            </w:r>
          </w:p>
          <w:p w14:paraId="1B7D5C84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4"/>
                <w:szCs w:val="4"/>
                <w:lang w:val="en-GB"/>
              </w:rPr>
            </w:pPr>
          </w:p>
        </w:tc>
        <w:tc>
          <w:tcPr>
            <w:tcW w:w="1282" w:type="dxa"/>
            <w:shd w:val="clear" w:color="auto" w:fill="auto"/>
          </w:tcPr>
          <w:p w14:paraId="7DD8D414" w14:textId="780BF5B9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9.42</w:t>
            </w:r>
          </w:p>
          <w:p w14:paraId="024D0785" w14:textId="4AE8901F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5.67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13.17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</w:tcPr>
          <w:p w14:paraId="22E8E40F" w14:textId="77777777" w:rsidR="00D1509B" w:rsidRPr="000B726D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0B72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60.24</w:t>
            </w:r>
          </w:p>
          <w:p w14:paraId="538C50CE" w14:textId="5B81E9B1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[4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8.77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71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70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  <w:tcMar>
              <w:left w:w="62" w:type="dxa"/>
              <w:right w:w="62" w:type="dxa"/>
            </w:tcMar>
          </w:tcPr>
          <w:p w14:paraId="26DDA773" w14:textId="67CBC5BB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7.66</w:t>
            </w:r>
          </w:p>
          <w:p w14:paraId="31411410" w14:textId="206DBE5F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[1.75, 13.57]</w:t>
            </w:r>
          </w:p>
        </w:tc>
        <w:tc>
          <w:tcPr>
            <w:tcW w:w="1172" w:type="dxa"/>
            <w:shd w:val="clear" w:color="auto" w:fill="auto"/>
            <w:tcMar>
              <w:left w:w="62" w:type="dxa"/>
              <w:right w:w="62" w:type="dxa"/>
            </w:tcMar>
          </w:tcPr>
          <w:p w14:paraId="6B683BD9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10.20</w:t>
            </w:r>
          </w:p>
          <w:p w14:paraId="18CCD877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[9.41, 10.98]</w:t>
            </w:r>
          </w:p>
        </w:tc>
      </w:tr>
      <w:tr w:rsidR="00D1509B" w:rsidRPr="004F2F6F" w14:paraId="4109ED62" w14:textId="77777777" w:rsidTr="00C34D9D">
        <w:tc>
          <w:tcPr>
            <w:tcW w:w="2427" w:type="dxa"/>
            <w:shd w:val="clear" w:color="auto" w:fill="auto"/>
            <w:tcMar>
              <w:left w:w="62" w:type="dxa"/>
              <w:right w:w="62" w:type="dxa"/>
            </w:tcMar>
          </w:tcPr>
          <w:p w14:paraId="596C750C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Proportion of Class 3 activities </w:t>
            </w:r>
          </w:p>
          <w:p w14:paraId="30D3270D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Challenging EN work &amp; study</w:t>
            </w:r>
          </w:p>
          <w:p w14:paraId="2F8DE176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4"/>
                <w:szCs w:val="4"/>
                <w:lang w:val="en-GB"/>
              </w:rPr>
            </w:pPr>
          </w:p>
        </w:tc>
        <w:tc>
          <w:tcPr>
            <w:tcW w:w="1282" w:type="dxa"/>
            <w:shd w:val="clear" w:color="auto" w:fill="auto"/>
          </w:tcPr>
          <w:p w14:paraId="2C1B2599" w14:textId="0D623E0F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14.58</w:t>
            </w:r>
          </w:p>
          <w:p w14:paraId="287E2D7C" w14:textId="617485A2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9.83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19.24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</w:tcPr>
          <w:p w14:paraId="21EF07C4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25</w:t>
            </w:r>
          </w:p>
          <w:p w14:paraId="4F93BACB" w14:textId="6A09A339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[-0.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52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3.02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  <w:tcMar>
              <w:left w:w="62" w:type="dxa"/>
              <w:right w:w="62" w:type="dxa"/>
            </w:tcMar>
          </w:tcPr>
          <w:p w14:paraId="32D70636" w14:textId="7A4010FA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18.60</w:t>
            </w:r>
          </w:p>
          <w:p w14:paraId="210231A3" w14:textId="7E16089A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[11.56, 25.64]</w:t>
            </w:r>
          </w:p>
        </w:tc>
        <w:tc>
          <w:tcPr>
            <w:tcW w:w="1172" w:type="dxa"/>
            <w:shd w:val="clear" w:color="auto" w:fill="auto"/>
            <w:tcMar>
              <w:left w:w="62" w:type="dxa"/>
              <w:right w:w="62" w:type="dxa"/>
            </w:tcMar>
          </w:tcPr>
          <w:p w14:paraId="06BB58BA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0</w:t>
            </w:r>
          </w:p>
          <w:p w14:paraId="5C47941C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1509B" w:rsidRPr="004F2F6F" w14:paraId="2B74EE42" w14:textId="77777777" w:rsidTr="00C34D9D">
        <w:tc>
          <w:tcPr>
            <w:tcW w:w="2427" w:type="dxa"/>
            <w:shd w:val="clear" w:color="auto" w:fill="auto"/>
            <w:tcMar>
              <w:left w:w="62" w:type="dxa"/>
              <w:right w:w="62" w:type="dxa"/>
            </w:tcMar>
          </w:tcPr>
          <w:p w14:paraId="34E4A211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Proportion of Class 4 activities </w:t>
            </w:r>
          </w:p>
          <w:p w14:paraId="422A3B5F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Easy EN study &amp; conversation</w:t>
            </w:r>
          </w:p>
          <w:p w14:paraId="69347324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4"/>
                <w:szCs w:val="4"/>
                <w:lang w:val="en-GB"/>
              </w:rPr>
            </w:pPr>
          </w:p>
        </w:tc>
        <w:tc>
          <w:tcPr>
            <w:tcW w:w="1282" w:type="dxa"/>
            <w:shd w:val="clear" w:color="auto" w:fill="auto"/>
          </w:tcPr>
          <w:p w14:paraId="6C200515" w14:textId="47AD835D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26.54</w:t>
            </w:r>
          </w:p>
          <w:p w14:paraId="236FF483" w14:textId="73761185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19.90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33.18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</w:tcPr>
          <w:p w14:paraId="0EC7A451" w14:textId="77777777" w:rsidR="00D1509B" w:rsidRPr="00385661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38566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2.07</w:t>
            </w:r>
          </w:p>
          <w:p w14:paraId="5BD52AC8" w14:textId="1BF76C6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-0.38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4.51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  <w:tcMar>
              <w:left w:w="62" w:type="dxa"/>
              <w:right w:w="62" w:type="dxa"/>
            </w:tcMar>
          </w:tcPr>
          <w:p w14:paraId="09D3782A" w14:textId="3A9C7668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9.47</w:t>
            </w:r>
          </w:p>
          <w:p w14:paraId="495CC880" w14:textId="10B592EA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[4.86, 14.07]</w:t>
            </w:r>
          </w:p>
        </w:tc>
        <w:tc>
          <w:tcPr>
            <w:tcW w:w="1172" w:type="dxa"/>
            <w:shd w:val="clear" w:color="auto" w:fill="auto"/>
            <w:tcMar>
              <w:left w:w="62" w:type="dxa"/>
              <w:right w:w="62" w:type="dxa"/>
            </w:tcMar>
          </w:tcPr>
          <w:p w14:paraId="7AABCA18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D1509B" w:rsidRPr="004F2F6F" w14:paraId="61FE6D50" w14:textId="77777777" w:rsidTr="00C34D9D">
        <w:tc>
          <w:tcPr>
            <w:tcW w:w="2427" w:type="dxa"/>
            <w:shd w:val="clear" w:color="auto" w:fill="auto"/>
            <w:tcMar>
              <w:left w:w="62" w:type="dxa"/>
              <w:right w:w="62" w:type="dxa"/>
            </w:tcMar>
          </w:tcPr>
          <w:p w14:paraId="3FE53743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Proportion of Class 5 activities </w:t>
            </w:r>
          </w:p>
          <w:p w14:paraId="5785E4A6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L1 leisure &amp; conversation</w:t>
            </w:r>
          </w:p>
          <w:p w14:paraId="46A18FF1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4"/>
                <w:szCs w:val="4"/>
                <w:lang w:val="en-GB"/>
              </w:rPr>
            </w:pPr>
          </w:p>
        </w:tc>
        <w:tc>
          <w:tcPr>
            <w:tcW w:w="1282" w:type="dxa"/>
            <w:shd w:val="clear" w:color="auto" w:fill="auto"/>
          </w:tcPr>
          <w:p w14:paraId="22086F31" w14:textId="4CE71F93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25.33</w:t>
            </w:r>
          </w:p>
          <w:p w14:paraId="389E6EC3" w14:textId="3AA9524C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20.13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30.52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</w:tcPr>
          <w:p w14:paraId="7E066F00" w14:textId="77777777" w:rsidR="00D1509B" w:rsidRPr="00385661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38566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8.72</w:t>
            </w:r>
          </w:p>
          <w:p w14:paraId="5D8892DB" w14:textId="57DD4D0F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1.30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16.14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  <w:tcMar>
              <w:left w:w="62" w:type="dxa"/>
              <w:right w:w="62" w:type="dxa"/>
            </w:tcMar>
          </w:tcPr>
          <w:p w14:paraId="2EED9A10" w14:textId="1B16290E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8.96</w:t>
            </w:r>
          </w:p>
          <w:p w14:paraId="3442FD91" w14:textId="6C3C12EE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[3.33, 14.58]</w:t>
            </w:r>
          </w:p>
        </w:tc>
        <w:tc>
          <w:tcPr>
            <w:tcW w:w="1172" w:type="dxa"/>
            <w:shd w:val="clear" w:color="auto" w:fill="auto"/>
            <w:tcMar>
              <w:left w:w="62" w:type="dxa"/>
              <w:right w:w="62" w:type="dxa"/>
            </w:tcMar>
          </w:tcPr>
          <w:p w14:paraId="59E8412B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1.09</w:t>
            </w:r>
          </w:p>
          <w:p w14:paraId="349C0F29" w14:textId="3E19023C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-0.18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, 2.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35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]</w:t>
            </w:r>
          </w:p>
        </w:tc>
      </w:tr>
      <w:tr w:rsidR="00D1509B" w:rsidRPr="004F2F6F" w14:paraId="2B4B4E4D" w14:textId="77777777" w:rsidTr="00C34D9D">
        <w:tc>
          <w:tcPr>
            <w:tcW w:w="2427" w:type="dxa"/>
            <w:shd w:val="clear" w:color="auto" w:fill="auto"/>
            <w:tcMar>
              <w:left w:w="62" w:type="dxa"/>
              <w:right w:w="62" w:type="dxa"/>
            </w:tcMar>
          </w:tcPr>
          <w:p w14:paraId="78B47299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Proportion of Class 6 activities </w:t>
            </w:r>
          </w:p>
          <w:p w14:paraId="3D9D3DEF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L1/EN leisure &amp; conversation</w:t>
            </w:r>
          </w:p>
          <w:p w14:paraId="545DD84F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4"/>
                <w:szCs w:val="4"/>
                <w:lang w:val="en-GB"/>
              </w:rPr>
            </w:pPr>
          </w:p>
        </w:tc>
        <w:tc>
          <w:tcPr>
            <w:tcW w:w="1282" w:type="dxa"/>
            <w:shd w:val="clear" w:color="auto" w:fill="auto"/>
          </w:tcPr>
          <w:p w14:paraId="02F89A7F" w14:textId="5B6BF875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4.72</w:t>
            </w:r>
          </w:p>
          <w:p w14:paraId="164BAB5E" w14:textId="23C2EC4D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[3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.07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6.37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</w:tcPr>
          <w:p w14:paraId="5FE20E3E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49</w:t>
            </w:r>
          </w:p>
          <w:p w14:paraId="318D2F5E" w14:textId="7E493989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1.07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3.92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shd w:val="clear" w:color="auto" w:fill="auto"/>
            <w:tcMar>
              <w:left w:w="62" w:type="dxa"/>
              <w:right w:w="62" w:type="dxa"/>
            </w:tcMar>
          </w:tcPr>
          <w:p w14:paraId="73933CD2" w14:textId="6C41E335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54.08</w:t>
            </w:r>
          </w:p>
          <w:p w14:paraId="634F746D" w14:textId="729138BA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[46.39, 61.76]</w:t>
            </w:r>
          </w:p>
        </w:tc>
        <w:tc>
          <w:tcPr>
            <w:tcW w:w="1172" w:type="dxa"/>
            <w:shd w:val="clear" w:color="auto" w:fill="auto"/>
            <w:tcMar>
              <w:left w:w="62" w:type="dxa"/>
              <w:right w:w="62" w:type="dxa"/>
            </w:tcMar>
          </w:tcPr>
          <w:p w14:paraId="6B295268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0</w:t>
            </w:r>
          </w:p>
        </w:tc>
      </w:tr>
      <w:tr w:rsidR="00D1509B" w:rsidRPr="004F2F6F" w14:paraId="72F7B689" w14:textId="77777777" w:rsidTr="00C34D9D">
        <w:tc>
          <w:tcPr>
            <w:tcW w:w="2427" w:type="dxa"/>
            <w:tcBorders>
              <w:bottom w:val="single" w:sz="1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0307B6D2" w14:textId="77777777" w:rsidR="00D1509B" w:rsidRPr="004F2F6F" w:rsidRDefault="00D1509B" w:rsidP="00D1509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Proportion of Class 7 activities </w:t>
            </w:r>
          </w:p>
          <w:p w14:paraId="59FD3768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Very Challenging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LM</w:t>
            </w:r>
            <w:r w:rsidRPr="004F2F6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L/L1 activities</w:t>
            </w:r>
          </w:p>
          <w:p w14:paraId="6243758F" w14:textId="77777777" w:rsidR="00D1509B" w:rsidRPr="004F2F6F" w:rsidRDefault="00D1509B" w:rsidP="00D1509B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  <w:lang w:val="en-GB"/>
              </w:rPr>
            </w:pPr>
          </w:p>
        </w:tc>
        <w:tc>
          <w:tcPr>
            <w:tcW w:w="1282" w:type="dxa"/>
            <w:tcBorders>
              <w:bottom w:val="single" w:sz="18" w:space="0" w:color="auto"/>
            </w:tcBorders>
            <w:shd w:val="clear" w:color="auto" w:fill="auto"/>
          </w:tcPr>
          <w:p w14:paraId="61CE42BE" w14:textId="45843F0D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05</w:t>
            </w:r>
          </w:p>
          <w:p w14:paraId="40E355A1" w14:textId="6E6A5CD4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[1.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1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5,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2.95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tcBorders>
              <w:bottom w:val="single" w:sz="18" w:space="0" w:color="auto"/>
            </w:tcBorders>
            <w:shd w:val="clear" w:color="auto" w:fill="auto"/>
          </w:tcPr>
          <w:p w14:paraId="5A3134E1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12.71</w:t>
            </w:r>
          </w:p>
          <w:p w14:paraId="7E140EE8" w14:textId="2CC67C2C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6.68, 18.73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  <w:tc>
          <w:tcPr>
            <w:tcW w:w="1261" w:type="dxa"/>
            <w:tcBorders>
              <w:bottom w:val="single" w:sz="1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847690B" w14:textId="2CBF814C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0.65</w:t>
            </w:r>
          </w:p>
          <w:p w14:paraId="281C749A" w14:textId="6695B218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[0.0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1</w:t>
            </w:r>
            <w:r w:rsidRPr="004F2F6F">
              <w:rPr>
                <w:rFonts w:ascii="Times New Roman" w:hAnsi="Times New Roman" w:cs="Times New Roman"/>
                <w:color w:val="000000"/>
                <w:sz w:val="15"/>
                <w:szCs w:val="15"/>
                <w:lang w:val="en-GB"/>
              </w:rPr>
              <w:t>, 1.30]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14:paraId="7076E20E" w14:textId="77777777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F2F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2.49</w:t>
            </w:r>
          </w:p>
          <w:p w14:paraId="7BC5EBE5" w14:textId="1BCB1CBD" w:rsidR="00D1509B" w:rsidRPr="004F2F6F" w:rsidRDefault="00D1509B" w:rsidP="00D1509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[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75.04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81.93</w:t>
            </w:r>
            <w:r w:rsidRPr="004F2F6F">
              <w:rPr>
                <w:rFonts w:ascii="Times New Roman" w:hAnsi="Times New Roman" w:cs="Times New Roman"/>
                <w:sz w:val="15"/>
                <w:szCs w:val="15"/>
                <w:lang w:val="en-GB"/>
              </w:rPr>
              <w:t>]</w:t>
            </w:r>
          </w:p>
        </w:tc>
      </w:tr>
    </w:tbl>
    <w:p w14:paraId="0F4B983D" w14:textId="6C3A84DB" w:rsidR="003E0D9F" w:rsidRPr="00290277" w:rsidRDefault="003844AA" w:rsidP="00290277">
      <w:pPr>
        <w:spacing w:line="480" w:lineRule="auto"/>
        <w:ind w:right="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br w:type="textWrapping" w:clear="all"/>
      </w:r>
      <w:r w:rsidR="000C04B9">
        <w:rPr>
          <w:rFonts w:ascii="Times New Roman" w:hAnsi="Times New Roman" w:cs="Times New Roman"/>
          <w:sz w:val="18"/>
          <w:szCs w:val="18"/>
          <w:lang w:val="en-GB"/>
        </w:rPr>
        <w:br w:type="textWrapping" w:clear="all"/>
      </w:r>
      <w:r w:rsidR="00760E2F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The four-profile solution </w:t>
      </w:r>
      <w:r w:rsidR="00BE387A" w:rsidRPr="00290277">
        <w:rPr>
          <w:rFonts w:ascii="Times New Roman" w:hAnsi="Times New Roman" w:cs="Times New Roman"/>
          <w:sz w:val="24"/>
          <w:szCs w:val="24"/>
          <w:lang w:val="en-GB"/>
        </w:rPr>
        <w:t>closely corresponds to the five</w:t>
      </w:r>
      <w:r w:rsidR="00E71C6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E387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profile solution described in the main </w:t>
      </w:r>
      <w:r w:rsidR="00E71C60">
        <w:rPr>
          <w:rFonts w:ascii="Times New Roman" w:hAnsi="Times New Roman" w:cs="Times New Roman"/>
          <w:sz w:val="24"/>
          <w:szCs w:val="24"/>
          <w:lang w:val="en-GB"/>
        </w:rPr>
        <w:t>manuscript</w:t>
      </w:r>
      <w:r w:rsidR="00BE387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: The profiles P3 and P4 in this solution are equivalent to </w:t>
      </w:r>
      <w:r w:rsidR="00D93F6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P3 and P5 respectively in the five-profile solution, with the </w:t>
      </w:r>
      <w:r w:rsidR="00CB49EA" w:rsidRPr="00290277">
        <w:rPr>
          <w:rFonts w:ascii="Times New Roman" w:hAnsi="Times New Roman" w:cs="Times New Roman"/>
          <w:sz w:val="24"/>
          <w:szCs w:val="24"/>
          <w:lang w:val="en-GB"/>
        </w:rPr>
        <w:t>same estimated means and number of participants. Similarly, P</w:t>
      </w:r>
      <w:r w:rsidR="003E0D9F" w:rsidRPr="0029027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CB49E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in this solution resembles P</w:t>
      </w:r>
      <w:r w:rsidR="003E0D9F" w:rsidRPr="00290277">
        <w:rPr>
          <w:rFonts w:ascii="Times New Roman" w:hAnsi="Times New Roman" w:cs="Times New Roman"/>
          <w:sz w:val="24"/>
          <w:szCs w:val="24"/>
          <w:lang w:val="en-GB"/>
        </w:rPr>
        <w:t>4 in the five</w:t>
      </w:r>
      <w:r w:rsidR="00E71C6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E0D9F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profile </w:t>
      </w:r>
      <w:r w:rsidR="00974481" w:rsidRPr="00290277">
        <w:rPr>
          <w:rFonts w:ascii="Times New Roman" w:hAnsi="Times New Roman" w:cs="Times New Roman"/>
          <w:sz w:val="24"/>
          <w:szCs w:val="24"/>
          <w:lang w:val="en-GB"/>
        </w:rPr>
        <w:t>model</w:t>
      </w:r>
      <w:r w:rsidR="003E0D9F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, except that the current model assigns five fewer participants to this group, which also results in slight changes in the estimated mean values. </w:t>
      </w:r>
    </w:p>
    <w:p w14:paraId="151ECC45" w14:textId="28660AF5" w:rsidR="00DD708A" w:rsidRPr="00290277" w:rsidRDefault="008D2494" w:rsidP="007A3224">
      <w:pPr>
        <w:spacing w:line="480" w:lineRule="auto"/>
        <w:ind w:right="4"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29027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Thus, it appears that P1 in the </w:t>
      </w:r>
      <w:r w:rsidR="00E71C60" w:rsidRPr="00290277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="00E71C60">
        <w:rPr>
          <w:rFonts w:ascii="Times New Roman" w:hAnsi="Times New Roman" w:cs="Times New Roman"/>
          <w:sz w:val="24"/>
          <w:szCs w:val="24"/>
          <w:lang w:val="en-GB"/>
        </w:rPr>
        <w:t>-profile</w:t>
      </w:r>
      <w:r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solution, which was assigned </w:t>
      </w:r>
      <w:r w:rsidR="00974481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69% of the participants, was split into two groups, P1 and P2, in the </w:t>
      </w:r>
      <w:r w:rsidR="00EE5CBD" w:rsidRPr="00290277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="00EE5CBD">
        <w:rPr>
          <w:rFonts w:ascii="Times New Roman" w:hAnsi="Times New Roman" w:cs="Times New Roman"/>
          <w:sz w:val="24"/>
          <w:szCs w:val="24"/>
          <w:lang w:val="en-GB"/>
        </w:rPr>
        <w:t>-profile</w:t>
      </w:r>
      <w:r w:rsidR="00974481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model. </w:t>
      </w:r>
      <w:r w:rsidR="00334CC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r w:rsidR="00E71C60" w:rsidRPr="00290277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="00E71C60">
        <w:rPr>
          <w:rFonts w:ascii="Times New Roman" w:hAnsi="Times New Roman" w:cs="Times New Roman"/>
          <w:sz w:val="24"/>
          <w:szCs w:val="24"/>
          <w:lang w:val="en-GB"/>
        </w:rPr>
        <w:t>-profile</w:t>
      </w:r>
      <w:r w:rsidR="00334CC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model, the activities of the participants assigned to P1 therefore appear to be relatively evenly distributed across the classes C1–C4. When this group is split in the </w:t>
      </w:r>
      <w:r w:rsidR="00E71C60" w:rsidRPr="00290277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="00E71C60">
        <w:rPr>
          <w:rFonts w:ascii="Times New Roman" w:hAnsi="Times New Roman" w:cs="Times New Roman"/>
          <w:sz w:val="24"/>
          <w:szCs w:val="24"/>
          <w:lang w:val="en-GB"/>
        </w:rPr>
        <w:t>-factor</w:t>
      </w:r>
      <w:r w:rsidR="00334CC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model, t</w:t>
      </w:r>
      <w:r w:rsidR="00974481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he main distinguishing factor between those two profiles </w:t>
      </w:r>
      <w:r w:rsidR="00334CCA" w:rsidRPr="00290277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E76C36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the relative frequency of using the LML vs. the English language in work and stud contexts (i.e., relative proportion of C1/C2 vs. C3/C4 activities). </w:t>
      </w:r>
      <w:r w:rsidR="009036D9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The slightly higher proportion of </w:t>
      </w:r>
      <w:r w:rsidR="00334CCA" w:rsidRPr="00290277">
        <w:rPr>
          <w:rFonts w:ascii="Times New Roman" w:hAnsi="Times New Roman" w:cs="Times New Roman"/>
          <w:sz w:val="24"/>
          <w:szCs w:val="24"/>
          <w:lang w:val="en-GB"/>
        </w:rPr>
        <w:t>English-language</w:t>
      </w:r>
      <w:r w:rsidR="009036D9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activities </w:t>
      </w:r>
      <w:r w:rsidR="00334CCA" w:rsidRPr="00290277">
        <w:rPr>
          <w:rFonts w:ascii="Times New Roman" w:hAnsi="Times New Roman" w:cs="Times New Roman"/>
          <w:sz w:val="24"/>
          <w:szCs w:val="24"/>
          <w:lang w:val="en-GB"/>
        </w:rPr>
        <w:t>(C3/C4) in the four</w:t>
      </w:r>
      <w:r w:rsidR="004E1D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4CCA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profile P1 </w:t>
      </w:r>
      <w:r w:rsidR="00A0383C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mirrors the </w:t>
      </w:r>
      <w:r w:rsidR="00DA0D0F" w:rsidRPr="00290277">
        <w:rPr>
          <w:rFonts w:ascii="Times New Roman" w:hAnsi="Times New Roman" w:cs="Times New Roman"/>
          <w:sz w:val="24"/>
          <w:szCs w:val="24"/>
          <w:lang w:val="en-GB"/>
        </w:rPr>
        <w:t>finding that more participants are assigned to the larger, English-dominant group of language users (</w:t>
      </w:r>
      <w:r w:rsidR="00A0383C" w:rsidRPr="00290277">
        <w:rPr>
          <w:rFonts w:ascii="Times New Roman" w:hAnsi="Times New Roman" w:cs="Times New Roman"/>
          <w:sz w:val="24"/>
          <w:szCs w:val="24"/>
          <w:lang w:val="en-GB"/>
        </w:rPr>
        <w:t>P2</w:t>
      </w:r>
      <w:r w:rsidR="00DA0D0F" w:rsidRPr="0029027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0383C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E71C60" w:rsidRPr="00290277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="00E71C60">
        <w:rPr>
          <w:rFonts w:ascii="Times New Roman" w:hAnsi="Times New Roman" w:cs="Times New Roman"/>
          <w:sz w:val="24"/>
          <w:szCs w:val="24"/>
          <w:lang w:val="en-GB"/>
        </w:rPr>
        <w:t>-profile</w:t>
      </w:r>
      <w:r w:rsidR="00A0383C" w:rsidRPr="00290277">
        <w:rPr>
          <w:rFonts w:ascii="Times New Roman" w:hAnsi="Times New Roman" w:cs="Times New Roman"/>
          <w:sz w:val="24"/>
          <w:szCs w:val="24"/>
          <w:lang w:val="en-GB"/>
        </w:rPr>
        <w:t xml:space="preserve"> solution. </w:t>
      </w:r>
    </w:p>
    <w:sectPr w:rsidR="00DD708A" w:rsidRPr="0029027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3EC4" w14:textId="77777777" w:rsidR="00032CDF" w:rsidRDefault="00032CDF" w:rsidP="005C123F">
      <w:pPr>
        <w:spacing w:after="0" w:line="240" w:lineRule="auto"/>
      </w:pPr>
      <w:r>
        <w:separator/>
      </w:r>
    </w:p>
  </w:endnote>
  <w:endnote w:type="continuationSeparator" w:id="0">
    <w:p w14:paraId="0A83407A" w14:textId="77777777" w:rsidR="00032CDF" w:rsidRDefault="00032CDF" w:rsidP="005C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CC7" w14:textId="77777777" w:rsidR="00032CDF" w:rsidRDefault="00032CDF" w:rsidP="005C123F">
      <w:pPr>
        <w:spacing w:after="0" w:line="240" w:lineRule="auto"/>
      </w:pPr>
      <w:r>
        <w:separator/>
      </w:r>
    </w:p>
  </w:footnote>
  <w:footnote w:type="continuationSeparator" w:id="0">
    <w:p w14:paraId="506E9FBB" w14:textId="77777777" w:rsidR="00032CDF" w:rsidRDefault="00032CDF" w:rsidP="005C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1088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8D9FA8" w14:textId="10EAEA8E" w:rsidR="00DD4261" w:rsidRDefault="00DD4261" w:rsidP="00BE6A3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B554BC" w14:textId="77777777" w:rsidR="00DD4261" w:rsidRDefault="00DD4261" w:rsidP="00DD42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98002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0933A4D" w14:textId="34C30B4B" w:rsidR="00DD4261" w:rsidRDefault="00DD4261" w:rsidP="00BE6A3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7E7B09" w14:textId="77777777" w:rsidR="007A3224" w:rsidRPr="00E44343" w:rsidRDefault="007A3224" w:rsidP="007A3224">
    <w:pPr>
      <w:spacing w:line="240" w:lineRule="auto"/>
      <w:rPr>
        <w:rFonts w:ascii="Times New Roman" w:hAnsi="Times New Roman" w:cs="Times New Roman"/>
        <w:sz w:val="24"/>
        <w:szCs w:val="24"/>
        <w:lang w:val="en-GB"/>
      </w:rPr>
    </w:pPr>
    <w:r>
      <w:rPr>
        <w:rFonts w:ascii="Times New Roman" w:hAnsi="Times New Roman" w:cs="Times New Roman"/>
        <w:sz w:val="24"/>
        <w:szCs w:val="24"/>
        <w:lang w:val="en-GB"/>
      </w:rPr>
      <w:t>SUPPLEMENTARY MATERIALS: L</w:t>
    </w:r>
    <w:r w:rsidRPr="00E44343">
      <w:rPr>
        <w:rFonts w:ascii="Times New Roman" w:hAnsi="Times New Roman" w:cs="Times New Roman"/>
        <w:sz w:val="24"/>
        <w:szCs w:val="24"/>
        <w:lang w:val="en-GB"/>
      </w:rPr>
      <w:t>anguage exposure and use in study abroad versus migration contexts: Modelling activity and learner profiles with ESM data</w:t>
    </w:r>
  </w:p>
  <w:p w14:paraId="47FE6C62" w14:textId="77777777" w:rsidR="00DD4261" w:rsidRDefault="00DD4261" w:rsidP="00DD42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45D"/>
    <w:multiLevelType w:val="hybridMultilevel"/>
    <w:tmpl w:val="80F0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BA1"/>
    <w:multiLevelType w:val="hybridMultilevel"/>
    <w:tmpl w:val="A55A0F80"/>
    <w:lvl w:ilvl="0" w:tplc="E9B8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3B40"/>
    <w:multiLevelType w:val="hybridMultilevel"/>
    <w:tmpl w:val="728E4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265"/>
    <w:multiLevelType w:val="multilevel"/>
    <w:tmpl w:val="0F580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41952"/>
    <w:multiLevelType w:val="hybridMultilevel"/>
    <w:tmpl w:val="4E324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18F8"/>
    <w:multiLevelType w:val="hybridMultilevel"/>
    <w:tmpl w:val="AA06446A"/>
    <w:lvl w:ilvl="0" w:tplc="D34CB88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77AE"/>
    <w:multiLevelType w:val="hybridMultilevel"/>
    <w:tmpl w:val="D9E230F2"/>
    <w:lvl w:ilvl="0" w:tplc="FFA04D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24AE8"/>
    <w:multiLevelType w:val="hybridMultilevel"/>
    <w:tmpl w:val="E5660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0161"/>
    <w:multiLevelType w:val="hybridMultilevel"/>
    <w:tmpl w:val="38E29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D3C65"/>
    <w:multiLevelType w:val="hybridMultilevel"/>
    <w:tmpl w:val="19F04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C7C3A"/>
    <w:multiLevelType w:val="hybridMultilevel"/>
    <w:tmpl w:val="10E4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A7E73"/>
    <w:multiLevelType w:val="hybridMultilevel"/>
    <w:tmpl w:val="CD6AD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C5182"/>
    <w:multiLevelType w:val="hybridMultilevel"/>
    <w:tmpl w:val="139CC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D47CB"/>
    <w:multiLevelType w:val="hybridMultilevel"/>
    <w:tmpl w:val="19F04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815"/>
    <w:multiLevelType w:val="hybridMultilevel"/>
    <w:tmpl w:val="0B040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26E05"/>
    <w:multiLevelType w:val="multilevel"/>
    <w:tmpl w:val="2132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2621D"/>
    <w:multiLevelType w:val="hybridMultilevel"/>
    <w:tmpl w:val="9238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32C32"/>
    <w:multiLevelType w:val="hybridMultilevel"/>
    <w:tmpl w:val="CB5AB646"/>
    <w:lvl w:ilvl="0" w:tplc="4F480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44DFA"/>
    <w:multiLevelType w:val="hybridMultilevel"/>
    <w:tmpl w:val="A4B40432"/>
    <w:lvl w:ilvl="0" w:tplc="0E5AD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66D6D"/>
    <w:multiLevelType w:val="hybridMultilevel"/>
    <w:tmpl w:val="54DAB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23C0A"/>
    <w:multiLevelType w:val="hybridMultilevel"/>
    <w:tmpl w:val="19F04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0349"/>
    <w:multiLevelType w:val="multilevel"/>
    <w:tmpl w:val="5746A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593995"/>
    <w:multiLevelType w:val="hybridMultilevel"/>
    <w:tmpl w:val="7DD8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2C84"/>
    <w:multiLevelType w:val="hybridMultilevel"/>
    <w:tmpl w:val="54DAB654"/>
    <w:lvl w:ilvl="0" w:tplc="90909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07DBA"/>
    <w:multiLevelType w:val="hybridMultilevel"/>
    <w:tmpl w:val="0162854A"/>
    <w:lvl w:ilvl="0" w:tplc="8E3E6AE8">
      <w:start w:val="1"/>
      <w:numFmt w:val="bullet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11251"/>
    <w:multiLevelType w:val="hybridMultilevel"/>
    <w:tmpl w:val="42D43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96001">
    <w:abstractNumId w:val="2"/>
  </w:num>
  <w:num w:numId="2" w16cid:durableId="1700357812">
    <w:abstractNumId w:val="14"/>
  </w:num>
  <w:num w:numId="3" w16cid:durableId="802238004">
    <w:abstractNumId w:val="17"/>
  </w:num>
  <w:num w:numId="4" w16cid:durableId="1240871723">
    <w:abstractNumId w:val="23"/>
  </w:num>
  <w:num w:numId="5" w16cid:durableId="1261714704">
    <w:abstractNumId w:val="19"/>
  </w:num>
  <w:num w:numId="6" w16cid:durableId="1483041948">
    <w:abstractNumId w:val="15"/>
  </w:num>
  <w:num w:numId="7" w16cid:durableId="2005011524">
    <w:abstractNumId w:val="3"/>
  </w:num>
  <w:num w:numId="8" w16cid:durableId="1818917164">
    <w:abstractNumId w:val="20"/>
  </w:num>
  <w:num w:numId="9" w16cid:durableId="2115637424">
    <w:abstractNumId w:val="13"/>
  </w:num>
  <w:num w:numId="10" w16cid:durableId="477188942">
    <w:abstractNumId w:val="4"/>
  </w:num>
  <w:num w:numId="11" w16cid:durableId="261763900">
    <w:abstractNumId w:val="11"/>
  </w:num>
  <w:num w:numId="12" w16cid:durableId="846750107">
    <w:abstractNumId w:val="7"/>
  </w:num>
  <w:num w:numId="13" w16cid:durableId="247277867">
    <w:abstractNumId w:val="24"/>
  </w:num>
  <w:num w:numId="14" w16cid:durableId="801728136">
    <w:abstractNumId w:val="12"/>
  </w:num>
  <w:num w:numId="15" w16cid:durableId="227617842">
    <w:abstractNumId w:val="8"/>
  </w:num>
  <w:num w:numId="16" w16cid:durableId="73598122">
    <w:abstractNumId w:val="25"/>
  </w:num>
  <w:num w:numId="17" w16cid:durableId="2053114292">
    <w:abstractNumId w:val="5"/>
  </w:num>
  <w:num w:numId="18" w16cid:durableId="2012950008">
    <w:abstractNumId w:val="16"/>
  </w:num>
  <w:num w:numId="19" w16cid:durableId="1341011161">
    <w:abstractNumId w:val="22"/>
  </w:num>
  <w:num w:numId="20" w16cid:durableId="641152063">
    <w:abstractNumId w:val="10"/>
  </w:num>
  <w:num w:numId="21" w16cid:durableId="1034768622">
    <w:abstractNumId w:val="9"/>
  </w:num>
  <w:num w:numId="22" w16cid:durableId="694814359">
    <w:abstractNumId w:val="0"/>
  </w:num>
  <w:num w:numId="23" w16cid:durableId="402216228">
    <w:abstractNumId w:val="21"/>
  </w:num>
  <w:num w:numId="24" w16cid:durableId="1461454428">
    <w:abstractNumId w:val="1"/>
  </w:num>
  <w:num w:numId="25" w16cid:durableId="1444424511">
    <w:abstractNumId w:val="6"/>
  </w:num>
  <w:num w:numId="26" w16cid:durableId="2557970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C828DE"/>
    <w:rsid w:val="00003E34"/>
    <w:rsid w:val="0001379C"/>
    <w:rsid w:val="00017A4E"/>
    <w:rsid w:val="00031F95"/>
    <w:rsid w:val="00032CDF"/>
    <w:rsid w:val="000564AA"/>
    <w:rsid w:val="0008715D"/>
    <w:rsid w:val="000B726D"/>
    <w:rsid w:val="000C04B9"/>
    <w:rsid w:val="000D0103"/>
    <w:rsid w:val="000E0B8A"/>
    <w:rsid w:val="000E42AC"/>
    <w:rsid w:val="0010084A"/>
    <w:rsid w:val="00100D27"/>
    <w:rsid w:val="00102EEE"/>
    <w:rsid w:val="00180816"/>
    <w:rsid w:val="00185947"/>
    <w:rsid w:val="001D6E39"/>
    <w:rsid w:val="002278DB"/>
    <w:rsid w:val="0023023C"/>
    <w:rsid w:val="00245FC7"/>
    <w:rsid w:val="00282622"/>
    <w:rsid w:val="00284C92"/>
    <w:rsid w:val="00290277"/>
    <w:rsid w:val="002A7BCB"/>
    <w:rsid w:val="002E3525"/>
    <w:rsid w:val="002F44D9"/>
    <w:rsid w:val="00334CCA"/>
    <w:rsid w:val="00352114"/>
    <w:rsid w:val="00363E4D"/>
    <w:rsid w:val="003844AA"/>
    <w:rsid w:val="00385661"/>
    <w:rsid w:val="00387624"/>
    <w:rsid w:val="003B735D"/>
    <w:rsid w:val="003E0D9F"/>
    <w:rsid w:val="003F34EF"/>
    <w:rsid w:val="00420684"/>
    <w:rsid w:val="00472B7E"/>
    <w:rsid w:val="004D4A83"/>
    <w:rsid w:val="004E1D29"/>
    <w:rsid w:val="004F2F6F"/>
    <w:rsid w:val="00503204"/>
    <w:rsid w:val="00523443"/>
    <w:rsid w:val="00527879"/>
    <w:rsid w:val="00527CF9"/>
    <w:rsid w:val="0054701D"/>
    <w:rsid w:val="00553810"/>
    <w:rsid w:val="00563010"/>
    <w:rsid w:val="00582F60"/>
    <w:rsid w:val="00592957"/>
    <w:rsid w:val="005A0C8D"/>
    <w:rsid w:val="005C0B27"/>
    <w:rsid w:val="005C123F"/>
    <w:rsid w:val="005C7A20"/>
    <w:rsid w:val="00604585"/>
    <w:rsid w:val="00611814"/>
    <w:rsid w:val="00623B67"/>
    <w:rsid w:val="00630A6B"/>
    <w:rsid w:val="00630DC3"/>
    <w:rsid w:val="006C3500"/>
    <w:rsid w:val="006E214E"/>
    <w:rsid w:val="006E596B"/>
    <w:rsid w:val="006F14E4"/>
    <w:rsid w:val="00740783"/>
    <w:rsid w:val="00750C75"/>
    <w:rsid w:val="007513A4"/>
    <w:rsid w:val="00760E2F"/>
    <w:rsid w:val="00796DE4"/>
    <w:rsid w:val="007A3224"/>
    <w:rsid w:val="007A45E7"/>
    <w:rsid w:val="007D1BE5"/>
    <w:rsid w:val="007E581A"/>
    <w:rsid w:val="007E6032"/>
    <w:rsid w:val="00843CA9"/>
    <w:rsid w:val="008638BF"/>
    <w:rsid w:val="0087439F"/>
    <w:rsid w:val="00875327"/>
    <w:rsid w:val="008A3C2A"/>
    <w:rsid w:val="008B0A26"/>
    <w:rsid w:val="008D2494"/>
    <w:rsid w:val="008E6C0D"/>
    <w:rsid w:val="009036D9"/>
    <w:rsid w:val="00911994"/>
    <w:rsid w:val="00924A0A"/>
    <w:rsid w:val="00925E4E"/>
    <w:rsid w:val="0094316B"/>
    <w:rsid w:val="0096635F"/>
    <w:rsid w:val="00974481"/>
    <w:rsid w:val="009C779F"/>
    <w:rsid w:val="009D0CF0"/>
    <w:rsid w:val="009E2567"/>
    <w:rsid w:val="00A03828"/>
    <w:rsid w:val="00A0383C"/>
    <w:rsid w:val="00A13BC7"/>
    <w:rsid w:val="00A53A5F"/>
    <w:rsid w:val="00A6561E"/>
    <w:rsid w:val="00A821CC"/>
    <w:rsid w:val="00AC011E"/>
    <w:rsid w:val="00AD7BB4"/>
    <w:rsid w:val="00B13C94"/>
    <w:rsid w:val="00B40C94"/>
    <w:rsid w:val="00BB2990"/>
    <w:rsid w:val="00BC6E20"/>
    <w:rsid w:val="00BC7203"/>
    <w:rsid w:val="00BE387A"/>
    <w:rsid w:val="00C22AAF"/>
    <w:rsid w:val="00C349BF"/>
    <w:rsid w:val="00C34D9D"/>
    <w:rsid w:val="00C400F6"/>
    <w:rsid w:val="00C45168"/>
    <w:rsid w:val="00C46109"/>
    <w:rsid w:val="00C502B7"/>
    <w:rsid w:val="00C72A3E"/>
    <w:rsid w:val="00C82FF0"/>
    <w:rsid w:val="00C84CAA"/>
    <w:rsid w:val="00C917E8"/>
    <w:rsid w:val="00CA5235"/>
    <w:rsid w:val="00CB49EA"/>
    <w:rsid w:val="00CD7D07"/>
    <w:rsid w:val="00CF189A"/>
    <w:rsid w:val="00D1509B"/>
    <w:rsid w:val="00D361A2"/>
    <w:rsid w:val="00D37A08"/>
    <w:rsid w:val="00D93F6A"/>
    <w:rsid w:val="00DA0D0F"/>
    <w:rsid w:val="00DA2094"/>
    <w:rsid w:val="00DA4490"/>
    <w:rsid w:val="00DB77C8"/>
    <w:rsid w:val="00DD4261"/>
    <w:rsid w:val="00DD708A"/>
    <w:rsid w:val="00DE6B35"/>
    <w:rsid w:val="00E125D4"/>
    <w:rsid w:val="00E30255"/>
    <w:rsid w:val="00E332D8"/>
    <w:rsid w:val="00E44343"/>
    <w:rsid w:val="00E5141A"/>
    <w:rsid w:val="00E53C3B"/>
    <w:rsid w:val="00E71C60"/>
    <w:rsid w:val="00E7691A"/>
    <w:rsid w:val="00E76C36"/>
    <w:rsid w:val="00E818AA"/>
    <w:rsid w:val="00EA6F8B"/>
    <w:rsid w:val="00EC1FF9"/>
    <w:rsid w:val="00EE5CBD"/>
    <w:rsid w:val="00EE7D9A"/>
    <w:rsid w:val="00EF4500"/>
    <w:rsid w:val="00F07694"/>
    <w:rsid w:val="00F152D2"/>
    <w:rsid w:val="00F467FF"/>
    <w:rsid w:val="00F468F9"/>
    <w:rsid w:val="00F55E18"/>
    <w:rsid w:val="00FA4544"/>
    <w:rsid w:val="00FB39EA"/>
    <w:rsid w:val="00FC5821"/>
    <w:rsid w:val="00FC6722"/>
    <w:rsid w:val="00FE400F"/>
    <w:rsid w:val="40C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28DE"/>
  <w15:chartTrackingRefBased/>
  <w15:docId w15:val="{CBA440DE-433F-49BD-9BCF-A17D2571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14E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14E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1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2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12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123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rmalWeb">
    <w:name w:val="Normal (Web)"/>
    <w:basedOn w:val="Normal"/>
    <w:uiPriority w:val="99"/>
    <w:unhideWhenUsed/>
    <w:rsid w:val="005C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5C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23F"/>
    <w:pPr>
      <w:ind w:left="720"/>
      <w:contextualSpacing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23F"/>
    <w:rPr>
      <w:rFonts w:ascii="Times New Roman" w:hAnsi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C123F"/>
    <w:pPr>
      <w:spacing w:after="8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2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23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2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123F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C12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123F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C123F"/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C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C123F"/>
  </w:style>
  <w:style w:type="character" w:customStyle="1" w:styleId="eop">
    <w:name w:val="eop"/>
    <w:basedOn w:val="DefaultParagraphFont"/>
    <w:rsid w:val="005C123F"/>
  </w:style>
  <w:style w:type="character" w:styleId="PlaceholderText">
    <w:name w:val="Placeholder Text"/>
    <w:basedOn w:val="DefaultParagraphFont"/>
    <w:uiPriority w:val="99"/>
    <w:semiHidden/>
    <w:rsid w:val="005C123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1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2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C123F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C123F"/>
    <w:rPr>
      <w:b/>
      <w:bCs/>
    </w:rPr>
  </w:style>
  <w:style w:type="paragraph" w:styleId="Revision">
    <w:name w:val="Revision"/>
    <w:hidden/>
    <w:uiPriority w:val="99"/>
    <w:semiHidden/>
    <w:rsid w:val="005C123F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5C123F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D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46c4d-d263-4ebc-9848-f1782c9ac206" xsi:nil="true"/>
    <lcf76f155ced4ddcb4097134ff3c332f xmlns="8d973635-663e-44ce-8d6c-70fd171f49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5780FFF0FDF43AF9E88D3D0DD3F64" ma:contentTypeVersion="18" ma:contentTypeDescription="Create a new document." ma:contentTypeScope="" ma:versionID="c8d3d392d2c6b34e6cb436e03febce2c">
  <xsd:schema xmlns:xsd="http://www.w3.org/2001/XMLSchema" xmlns:xs="http://www.w3.org/2001/XMLSchema" xmlns:p="http://schemas.microsoft.com/office/2006/metadata/properties" xmlns:ns2="8d973635-663e-44ce-8d6c-70fd171f495a" xmlns:ns3="06846c4d-d263-4ebc-9848-f1782c9ac206" targetNamespace="http://schemas.microsoft.com/office/2006/metadata/properties" ma:root="true" ma:fieldsID="d49e9b49ec4a517168b299010f871b39" ns2:_="" ns3:_="">
    <xsd:import namespace="8d973635-663e-44ce-8d6c-70fd171f495a"/>
    <xsd:import namespace="06846c4d-d263-4ebc-9848-f1782c9ac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73635-663e-44ce-8d6c-70fd171f4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46c4d-d263-4ebc-9848-f1782c9ac2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ce7497-4c9d-49f4-be50-69d8d5a8aa29}" ma:internalName="TaxCatchAll" ma:showField="CatchAllData" ma:web="06846c4d-d263-4ebc-9848-f1782c9ac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D725F-F33D-47FD-AC16-8775D6C404B5}">
  <ds:schemaRefs>
    <ds:schemaRef ds:uri="http://schemas.microsoft.com/office/2006/metadata/properties"/>
    <ds:schemaRef ds:uri="http://schemas.microsoft.com/office/infopath/2007/PartnerControls"/>
    <ds:schemaRef ds:uri="06846c4d-d263-4ebc-9848-f1782c9ac206"/>
    <ds:schemaRef ds:uri="8d973635-663e-44ce-8d6c-70fd171f495a"/>
  </ds:schemaRefs>
</ds:datastoreItem>
</file>

<file path=customXml/itemProps2.xml><?xml version="1.0" encoding="utf-8"?>
<ds:datastoreItem xmlns:ds="http://schemas.openxmlformats.org/officeDocument/2006/customXml" ds:itemID="{FAE41D5F-7380-481D-82C9-C27319517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73635-663e-44ce-8d6c-70fd171f495a"/>
    <ds:schemaRef ds:uri="06846c4d-d263-4ebc-9848-f1782c9ac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6A357-4CDD-40D5-A76C-5AC93017C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L. Arndt</dc:creator>
  <cp:keywords/>
  <dc:description/>
  <cp:lastModifiedBy>Henriette Arndt</cp:lastModifiedBy>
  <cp:revision>152</cp:revision>
  <dcterms:created xsi:type="dcterms:W3CDTF">2023-10-20T14:30:00Z</dcterms:created>
  <dcterms:modified xsi:type="dcterms:W3CDTF">2024-06-04T15:09:00Z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0x010100E825780FFF0FDF43AF9E88D3D0DD3F64</vt:lpwstr>
  </property>
  <property fmtid="{D5CDD505-2E9C-101B-9397-08002B2CF9AE}" pid="3" name="MediaServiceImageTags">
    <vt:lpwstr/>
  </property>
</Properties>
</file>