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79A1" w14:textId="701D95C9" w:rsidR="00FB1B8A" w:rsidRPr="00F152E1" w:rsidRDefault="00FB1B8A" w:rsidP="00F152E1">
      <w:pPr>
        <w:spacing w:line="480" w:lineRule="auto"/>
        <w:jc w:val="center"/>
        <w:rPr>
          <w:rFonts w:ascii="Times New Roman" w:eastAsia="Arial" w:hAnsi="Times New Roman" w:cs="Times New Roman"/>
          <w:b/>
          <w:bCs/>
          <w:noProof/>
          <w:sz w:val="24"/>
          <w:szCs w:val="24"/>
          <w:u w:val="single"/>
          <w:lang w:eastAsia="en-GB"/>
        </w:rPr>
      </w:pPr>
      <w:bookmarkStart w:id="0" w:name="_GoBack"/>
      <w:bookmarkEnd w:id="0"/>
      <w:r w:rsidRPr="00F152E1">
        <w:rPr>
          <w:rFonts w:ascii="Times New Roman" w:eastAsia="Arial" w:hAnsi="Times New Roman" w:cs="Times New Roman"/>
          <w:b/>
          <w:bCs/>
          <w:noProof/>
          <w:sz w:val="24"/>
          <w:szCs w:val="24"/>
          <w:u w:val="single"/>
          <w:lang w:eastAsia="en-GB"/>
        </w:rPr>
        <w:t>Supplementary material</w:t>
      </w:r>
    </w:p>
    <w:p w14:paraId="1794F56A" w14:textId="72F97634" w:rsidR="00D51068" w:rsidRPr="00D51068" w:rsidRDefault="00D51068" w:rsidP="00D51068">
      <w:pPr>
        <w:spacing w:after="0" w:line="480" w:lineRule="auto"/>
        <w:rPr>
          <w:rFonts w:ascii="Times New Roman" w:eastAsia="Arial" w:hAnsi="Times New Roman" w:cs="Times New Roman"/>
          <w:sz w:val="24"/>
          <w:szCs w:val="24"/>
        </w:rPr>
      </w:pPr>
      <w:r>
        <w:rPr>
          <w:rFonts w:ascii="Times New Roman" w:eastAsia="Arial" w:hAnsi="Times New Roman" w:cs="Times New Roman"/>
          <w:sz w:val="24"/>
          <w:szCs w:val="24"/>
        </w:rPr>
        <w:t>Suppl</w:t>
      </w:r>
      <w:r w:rsidR="00A254F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02999">
        <w:rPr>
          <w:rFonts w:ascii="Times New Roman" w:eastAsia="Arial" w:hAnsi="Times New Roman" w:cs="Times New Roman"/>
          <w:sz w:val="24"/>
          <w:szCs w:val="24"/>
        </w:rPr>
        <w:t xml:space="preserve">Table </w:t>
      </w:r>
      <w:r>
        <w:rPr>
          <w:rFonts w:ascii="Times New Roman" w:eastAsia="Arial" w:hAnsi="Times New Roman" w:cs="Times New Roman"/>
          <w:sz w:val="24"/>
          <w:szCs w:val="24"/>
        </w:rPr>
        <w:t>1</w:t>
      </w:r>
      <w:r w:rsidRPr="00802999">
        <w:rPr>
          <w:rFonts w:ascii="Times New Roman" w:eastAsia="Arial" w:hAnsi="Times New Roman" w:cs="Times New Roman"/>
          <w:sz w:val="24"/>
          <w:szCs w:val="24"/>
        </w:rPr>
        <w:t xml:space="preserve">. </w:t>
      </w:r>
      <w:r w:rsidRPr="00802999">
        <w:rPr>
          <w:rFonts w:ascii="Times New Roman" w:eastAsia="Arial" w:hAnsi="Times New Roman" w:cs="Times New Roman"/>
          <w:i/>
          <w:iCs/>
          <w:sz w:val="24"/>
          <w:szCs w:val="24"/>
        </w:rPr>
        <w:t>Mean (and standard deviation) response times in the Language Switching task per condition for all older and young bilingual participants. Note that there was a significant difference between the overall (regardless of age group) average RT of L1 stay and L2 stay trials (</w:t>
      </w:r>
      <w:proofErr w:type="gramStart"/>
      <w:r w:rsidRPr="00802999">
        <w:rPr>
          <w:rFonts w:ascii="Times New Roman" w:eastAsia="Arial" w:hAnsi="Times New Roman" w:cs="Times New Roman"/>
          <w:i/>
          <w:iCs/>
          <w:sz w:val="24"/>
          <w:szCs w:val="24"/>
        </w:rPr>
        <w:t>t(</w:t>
      </w:r>
      <w:proofErr w:type="gramEnd"/>
      <w:r w:rsidRPr="00802999">
        <w:rPr>
          <w:rFonts w:ascii="Times New Roman" w:eastAsia="Arial" w:hAnsi="Times New Roman" w:cs="Times New Roman"/>
          <w:i/>
          <w:iCs/>
          <w:sz w:val="24"/>
          <w:szCs w:val="24"/>
        </w:rPr>
        <w:t>188) = 10.07, p &lt;.001) as well as L1 and L2 switch trials (t(188) = 10.76, p &lt;.001), whereas the L1 and L2 single language trials did not differ (t(188) = -1.01m p &gt; .05). Further, there was a significant difference between the overall (regardless of age group) average RT of L1 switch and L1 stay trials (</w:t>
      </w:r>
      <w:proofErr w:type="gramStart"/>
      <w:r w:rsidRPr="00802999">
        <w:rPr>
          <w:rFonts w:ascii="Times New Roman" w:eastAsia="Arial" w:hAnsi="Times New Roman" w:cs="Times New Roman"/>
          <w:i/>
          <w:iCs/>
          <w:sz w:val="24"/>
          <w:szCs w:val="24"/>
        </w:rPr>
        <w:t>t(</w:t>
      </w:r>
      <w:proofErr w:type="gramEnd"/>
      <w:r w:rsidRPr="00802999">
        <w:rPr>
          <w:rFonts w:ascii="Times New Roman" w:eastAsia="Arial" w:hAnsi="Times New Roman" w:cs="Times New Roman"/>
          <w:i/>
          <w:iCs/>
          <w:sz w:val="24"/>
          <w:szCs w:val="24"/>
        </w:rPr>
        <w:t xml:space="preserve">188) = 24.03, p &lt;.001), as well as L2 switch and L2 stay trials (t(188) = 24.61, p &lt;.001). This means that the language switching task worked as expected. </w:t>
      </w:r>
    </w:p>
    <w:tbl>
      <w:tblPr>
        <w:tblStyle w:val="TableGrid"/>
        <w:tblW w:w="0" w:type="auto"/>
        <w:tblLook w:val="06A0" w:firstRow="1" w:lastRow="0" w:firstColumn="1" w:lastColumn="0" w:noHBand="1" w:noVBand="1"/>
      </w:tblPr>
      <w:tblGrid>
        <w:gridCol w:w="684"/>
        <w:gridCol w:w="1351"/>
        <w:gridCol w:w="1351"/>
        <w:gridCol w:w="1351"/>
        <w:gridCol w:w="1351"/>
        <w:gridCol w:w="1469"/>
        <w:gridCol w:w="1469"/>
      </w:tblGrid>
      <w:tr w:rsidR="00D51068" w:rsidRPr="00802999" w14:paraId="24B067A6" w14:textId="77777777" w:rsidTr="005A4764">
        <w:trPr>
          <w:trHeight w:val="975"/>
        </w:trPr>
        <w:tc>
          <w:tcPr>
            <w:tcW w:w="0" w:type="auto"/>
            <w:tcBorders>
              <w:top w:val="single" w:sz="4" w:space="0" w:color="auto"/>
              <w:left w:val="nil"/>
              <w:bottom w:val="nil"/>
              <w:right w:val="nil"/>
            </w:tcBorders>
            <w:tcMar>
              <w:top w:w="15" w:type="dxa"/>
              <w:left w:w="15" w:type="dxa"/>
              <w:right w:w="15" w:type="dxa"/>
            </w:tcMar>
            <w:vAlign w:val="center"/>
          </w:tcPr>
          <w:p w14:paraId="4897AEA9" w14:textId="77777777" w:rsidR="00D51068" w:rsidRPr="00802999" w:rsidRDefault="00D51068" w:rsidP="005A4764">
            <w:pPr>
              <w:spacing w:line="480" w:lineRule="auto"/>
              <w:jc w:val="center"/>
              <w:rPr>
                <w:rFonts w:ascii="Times New Roman" w:eastAsia="Arial" w:hAnsi="Times New Roman" w:cs="Times New Roman"/>
                <w:sz w:val="24"/>
                <w:szCs w:val="24"/>
              </w:rPr>
            </w:pPr>
          </w:p>
        </w:tc>
        <w:tc>
          <w:tcPr>
            <w:tcW w:w="0" w:type="auto"/>
            <w:tcBorders>
              <w:top w:val="single" w:sz="4" w:space="0" w:color="auto"/>
              <w:left w:val="nil"/>
              <w:bottom w:val="single" w:sz="4" w:space="0" w:color="auto"/>
              <w:right w:val="nil"/>
            </w:tcBorders>
            <w:tcMar>
              <w:top w:w="15" w:type="dxa"/>
              <w:left w:w="15" w:type="dxa"/>
              <w:right w:w="15" w:type="dxa"/>
            </w:tcMar>
            <w:vAlign w:val="center"/>
          </w:tcPr>
          <w:p w14:paraId="7E146A59"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L1 switch</w:t>
            </w:r>
          </w:p>
        </w:tc>
        <w:tc>
          <w:tcPr>
            <w:tcW w:w="0" w:type="auto"/>
            <w:tcBorders>
              <w:top w:val="single" w:sz="4" w:space="0" w:color="auto"/>
              <w:left w:val="nil"/>
              <w:bottom w:val="single" w:sz="4" w:space="0" w:color="auto"/>
              <w:right w:val="nil"/>
            </w:tcBorders>
            <w:tcMar>
              <w:top w:w="15" w:type="dxa"/>
              <w:left w:w="15" w:type="dxa"/>
              <w:right w:w="15" w:type="dxa"/>
            </w:tcMar>
            <w:vAlign w:val="center"/>
          </w:tcPr>
          <w:p w14:paraId="7040DA2E"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L1 stay</w:t>
            </w:r>
          </w:p>
        </w:tc>
        <w:tc>
          <w:tcPr>
            <w:tcW w:w="0" w:type="auto"/>
            <w:tcBorders>
              <w:top w:val="single" w:sz="4" w:space="0" w:color="auto"/>
              <w:left w:val="nil"/>
              <w:bottom w:val="single" w:sz="4" w:space="0" w:color="auto"/>
              <w:right w:val="nil"/>
            </w:tcBorders>
            <w:tcMar>
              <w:top w:w="15" w:type="dxa"/>
              <w:left w:w="15" w:type="dxa"/>
              <w:right w:w="15" w:type="dxa"/>
            </w:tcMar>
            <w:vAlign w:val="center"/>
          </w:tcPr>
          <w:p w14:paraId="02FF0EAD"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L2 switch</w:t>
            </w:r>
          </w:p>
        </w:tc>
        <w:tc>
          <w:tcPr>
            <w:tcW w:w="0" w:type="auto"/>
            <w:tcBorders>
              <w:top w:val="single" w:sz="4" w:space="0" w:color="auto"/>
              <w:left w:val="nil"/>
              <w:bottom w:val="single" w:sz="4" w:space="0" w:color="auto"/>
              <w:right w:val="nil"/>
            </w:tcBorders>
            <w:tcMar>
              <w:top w:w="15" w:type="dxa"/>
              <w:left w:w="15" w:type="dxa"/>
              <w:right w:w="15" w:type="dxa"/>
            </w:tcMar>
            <w:vAlign w:val="center"/>
          </w:tcPr>
          <w:p w14:paraId="0DE2AEFC"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L2 stay</w:t>
            </w:r>
          </w:p>
        </w:tc>
        <w:tc>
          <w:tcPr>
            <w:tcW w:w="0" w:type="auto"/>
            <w:tcBorders>
              <w:top w:val="single" w:sz="4" w:space="0" w:color="auto"/>
              <w:left w:val="nil"/>
              <w:bottom w:val="single" w:sz="4" w:space="0" w:color="auto"/>
              <w:right w:val="nil"/>
            </w:tcBorders>
            <w:tcMar>
              <w:top w:w="15" w:type="dxa"/>
              <w:left w:w="15" w:type="dxa"/>
              <w:right w:w="15" w:type="dxa"/>
            </w:tcMar>
            <w:vAlign w:val="center"/>
          </w:tcPr>
          <w:p w14:paraId="4C5FAC80"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L1 single language</w:t>
            </w:r>
          </w:p>
        </w:tc>
        <w:tc>
          <w:tcPr>
            <w:tcW w:w="0" w:type="auto"/>
            <w:tcBorders>
              <w:top w:val="single" w:sz="4" w:space="0" w:color="auto"/>
              <w:left w:val="nil"/>
              <w:bottom w:val="single" w:sz="4" w:space="0" w:color="auto"/>
              <w:right w:val="nil"/>
            </w:tcBorders>
            <w:tcMar>
              <w:top w:w="15" w:type="dxa"/>
              <w:left w:w="15" w:type="dxa"/>
              <w:right w:w="15" w:type="dxa"/>
            </w:tcMar>
            <w:vAlign w:val="center"/>
          </w:tcPr>
          <w:p w14:paraId="0D6988C3"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L2 single language</w:t>
            </w:r>
          </w:p>
        </w:tc>
      </w:tr>
      <w:tr w:rsidR="00D51068" w:rsidRPr="00802999" w14:paraId="73B12409" w14:textId="77777777" w:rsidTr="005A4764">
        <w:trPr>
          <w:trHeight w:val="555"/>
        </w:trPr>
        <w:tc>
          <w:tcPr>
            <w:tcW w:w="0" w:type="auto"/>
            <w:tcBorders>
              <w:top w:val="nil"/>
              <w:left w:val="nil"/>
              <w:bottom w:val="nil"/>
              <w:right w:val="nil"/>
            </w:tcBorders>
            <w:tcMar>
              <w:top w:w="15" w:type="dxa"/>
              <w:left w:w="15" w:type="dxa"/>
              <w:right w:w="15" w:type="dxa"/>
            </w:tcMar>
            <w:vAlign w:val="center"/>
          </w:tcPr>
          <w:p w14:paraId="1E8517BC"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 xml:space="preserve">Older </w:t>
            </w:r>
          </w:p>
        </w:tc>
        <w:tc>
          <w:tcPr>
            <w:tcW w:w="0" w:type="auto"/>
            <w:tcBorders>
              <w:top w:val="single" w:sz="4" w:space="0" w:color="auto"/>
              <w:left w:val="nil"/>
              <w:bottom w:val="nil"/>
              <w:right w:val="nil"/>
            </w:tcBorders>
            <w:tcMar>
              <w:top w:w="15" w:type="dxa"/>
              <w:left w:w="15" w:type="dxa"/>
              <w:right w:w="15" w:type="dxa"/>
            </w:tcMar>
            <w:vAlign w:val="center"/>
          </w:tcPr>
          <w:p w14:paraId="72EC4543"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1311.90 (211.04)</w:t>
            </w:r>
          </w:p>
        </w:tc>
        <w:tc>
          <w:tcPr>
            <w:tcW w:w="0" w:type="auto"/>
            <w:tcBorders>
              <w:top w:val="single" w:sz="4" w:space="0" w:color="auto"/>
              <w:left w:val="nil"/>
              <w:bottom w:val="nil"/>
              <w:right w:val="nil"/>
            </w:tcBorders>
            <w:tcMar>
              <w:top w:w="15" w:type="dxa"/>
              <w:left w:w="15" w:type="dxa"/>
              <w:right w:w="15" w:type="dxa"/>
            </w:tcMar>
            <w:vAlign w:val="center"/>
          </w:tcPr>
          <w:p w14:paraId="6D29FD7E"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1138.18 (205.39)</w:t>
            </w:r>
          </w:p>
        </w:tc>
        <w:tc>
          <w:tcPr>
            <w:tcW w:w="0" w:type="auto"/>
            <w:tcBorders>
              <w:top w:val="single" w:sz="4" w:space="0" w:color="auto"/>
              <w:left w:val="nil"/>
              <w:bottom w:val="nil"/>
              <w:right w:val="nil"/>
            </w:tcBorders>
            <w:tcMar>
              <w:top w:w="15" w:type="dxa"/>
              <w:left w:w="15" w:type="dxa"/>
              <w:right w:w="15" w:type="dxa"/>
            </w:tcMar>
            <w:vAlign w:val="center"/>
          </w:tcPr>
          <w:p w14:paraId="7EEEC92D"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1241.72 (211.09)</w:t>
            </w:r>
          </w:p>
        </w:tc>
        <w:tc>
          <w:tcPr>
            <w:tcW w:w="0" w:type="auto"/>
            <w:tcBorders>
              <w:top w:val="single" w:sz="4" w:space="0" w:color="auto"/>
              <w:left w:val="nil"/>
              <w:bottom w:val="nil"/>
              <w:right w:val="nil"/>
            </w:tcBorders>
            <w:tcMar>
              <w:top w:w="15" w:type="dxa"/>
              <w:left w:w="15" w:type="dxa"/>
              <w:right w:w="15" w:type="dxa"/>
            </w:tcMar>
            <w:vAlign w:val="center"/>
          </w:tcPr>
          <w:p w14:paraId="29A8ADAC"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1066.03 (186.92)</w:t>
            </w:r>
          </w:p>
        </w:tc>
        <w:tc>
          <w:tcPr>
            <w:tcW w:w="0" w:type="auto"/>
            <w:tcBorders>
              <w:top w:val="single" w:sz="4" w:space="0" w:color="auto"/>
              <w:left w:val="nil"/>
              <w:bottom w:val="nil"/>
              <w:right w:val="nil"/>
            </w:tcBorders>
            <w:tcMar>
              <w:top w:w="15" w:type="dxa"/>
              <w:left w:w="15" w:type="dxa"/>
              <w:right w:w="15" w:type="dxa"/>
            </w:tcMar>
            <w:vAlign w:val="center"/>
          </w:tcPr>
          <w:p w14:paraId="471B6FBC"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956.65 (123.81)</w:t>
            </w:r>
          </w:p>
        </w:tc>
        <w:tc>
          <w:tcPr>
            <w:tcW w:w="0" w:type="auto"/>
            <w:tcBorders>
              <w:top w:val="single" w:sz="4" w:space="0" w:color="auto"/>
              <w:left w:val="nil"/>
              <w:bottom w:val="nil"/>
              <w:right w:val="nil"/>
            </w:tcBorders>
            <w:tcMar>
              <w:top w:w="15" w:type="dxa"/>
              <w:left w:w="15" w:type="dxa"/>
              <w:right w:w="15" w:type="dxa"/>
            </w:tcMar>
            <w:vAlign w:val="center"/>
          </w:tcPr>
          <w:p w14:paraId="029A4762"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977.08 (125.10)</w:t>
            </w:r>
          </w:p>
        </w:tc>
      </w:tr>
      <w:tr w:rsidR="00D51068" w:rsidRPr="00802999" w14:paraId="3D0AC893" w14:textId="77777777" w:rsidTr="005A4764">
        <w:trPr>
          <w:trHeight w:val="555"/>
        </w:trPr>
        <w:tc>
          <w:tcPr>
            <w:tcW w:w="0" w:type="auto"/>
            <w:tcBorders>
              <w:top w:val="nil"/>
              <w:left w:val="nil"/>
              <w:bottom w:val="nil"/>
              <w:right w:val="nil"/>
            </w:tcBorders>
            <w:tcMar>
              <w:top w:w="15" w:type="dxa"/>
              <w:left w:w="15" w:type="dxa"/>
              <w:right w:w="15" w:type="dxa"/>
            </w:tcMar>
            <w:vAlign w:val="center"/>
          </w:tcPr>
          <w:p w14:paraId="6DC05844"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 xml:space="preserve">Young </w:t>
            </w:r>
          </w:p>
        </w:tc>
        <w:tc>
          <w:tcPr>
            <w:tcW w:w="0" w:type="auto"/>
            <w:tcBorders>
              <w:top w:val="nil"/>
              <w:left w:val="nil"/>
              <w:bottom w:val="nil"/>
              <w:right w:val="nil"/>
            </w:tcBorders>
            <w:tcMar>
              <w:top w:w="15" w:type="dxa"/>
              <w:left w:w="15" w:type="dxa"/>
              <w:right w:w="15" w:type="dxa"/>
            </w:tcMar>
            <w:vAlign w:val="center"/>
          </w:tcPr>
          <w:p w14:paraId="0707284F"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1080.65 (169.14)</w:t>
            </w:r>
          </w:p>
        </w:tc>
        <w:tc>
          <w:tcPr>
            <w:tcW w:w="0" w:type="auto"/>
            <w:tcBorders>
              <w:top w:val="nil"/>
              <w:left w:val="nil"/>
              <w:bottom w:val="nil"/>
              <w:right w:val="nil"/>
            </w:tcBorders>
            <w:tcMar>
              <w:top w:w="15" w:type="dxa"/>
              <w:left w:w="15" w:type="dxa"/>
              <w:right w:w="15" w:type="dxa"/>
            </w:tcMar>
            <w:vAlign w:val="center"/>
          </w:tcPr>
          <w:p w14:paraId="38A21F10"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933.19 (136.71)</w:t>
            </w:r>
          </w:p>
        </w:tc>
        <w:tc>
          <w:tcPr>
            <w:tcW w:w="0" w:type="auto"/>
            <w:tcBorders>
              <w:top w:val="nil"/>
              <w:left w:val="nil"/>
              <w:bottom w:val="nil"/>
              <w:right w:val="nil"/>
            </w:tcBorders>
            <w:tcMar>
              <w:top w:w="15" w:type="dxa"/>
              <w:left w:w="15" w:type="dxa"/>
              <w:right w:w="15" w:type="dxa"/>
            </w:tcMar>
            <w:vAlign w:val="center"/>
          </w:tcPr>
          <w:p w14:paraId="3E8E83C7"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1019.93 (153.59)</w:t>
            </w:r>
          </w:p>
        </w:tc>
        <w:tc>
          <w:tcPr>
            <w:tcW w:w="0" w:type="auto"/>
            <w:tcBorders>
              <w:top w:val="nil"/>
              <w:left w:val="nil"/>
              <w:bottom w:val="nil"/>
              <w:right w:val="nil"/>
            </w:tcBorders>
            <w:tcMar>
              <w:top w:w="15" w:type="dxa"/>
              <w:left w:w="15" w:type="dxa"/>
              <w:right w:w="15" w:type="dxa"/>
            </w:tcMar>
            <w:vAlign w:val="center"/>
          </w:tcPr>
          <w:p w14:paraId="7C623066"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sz w:val="24"/>
                <w:szCs w:val="24"/>
              </w:rPr>
              <w:t>872.87 (122.56)</w:t>
            </w:r>
          </w:p>
        </w:tc>
        <w:tc>
          <w:tcPr>
            <w:tcW w:w="0" w:type="auto"/>
            <w:tcBorders>
              <w:top w:val="nil"/>
              <w:left w:val="nil"/>
              <w:bottom w:val="nil"/>
              <w:right w:val="nil"/>
            </w:tcBorders>
            <w:tcMar>
              <w:top w:w="15" w:type="dxa"/>
              <w:left w:w="15" w:type="dxa"/>
              <w:right w:w="15" w:type="dxa"/>
            </w:tcMar>
            <w:vAlign w:val="center"/>
          </w:tcPr>
          <w:p w14:paraId="5DE7A15A"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885.06 (105.52)</w:t>
            </w:r>
          </w:p>
        </w:tc>
        <w:tc>
          <w:tcPr>
            <w:tcW w:w="0" w:type="auto"/>
            <w:tcBorders>
              <w:top w:val="nil"/>
              <w:left w:val="nil"/>
              <w:bottom w:val="nil"/>
              <w:right w:val="nil"/>
            </w:tcBorders>
            <w:tcMar>
              <w:top w:w="15" w:type="dxa"/>
              <w:left w:w="15" w:type="dxa"/>
              <w:right w:w="15" w:type="dxa"/>
            </w:tcMar>
            <w:vAlign w:val="center"/>
          </w:tcPr>
          <w:p w14:paraId="1A25F3E8"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867.34 (107.14)</w:t>
            </w:r>
          </w:p>
        </w:tc>
      </w:tr>
      <w:tr w:rsidR="00D51068" w:rsidRPr="00802999" w14:paraId="3054A45B" w14:textId="77777777" w:rsidTr="005A4764">
        <w:trPr>
          <w:trHeight w:val="555"/>
        </w:trPr>
        <w:tc>
          <w:tcPr>
            <w:tcW w:w="0" w:type="auto"/>
            <w:tcBorders>
              <w:top w:val="nil"/>
              <w:left w:val="nil"/>
              <w:bottom w:val="single" w:sz="4" w:space="0" w:color="auto"/>
              <w:right w:val="nil"/>
            </w:tcBorders>
            <w:tcMar>
              <w:top w:w="15" w:type="dxa"/>
              <w:left w:w="15" w:type="dxa"/>
              <w:right w:w="15" w:type="dxa"/>
            </w:tcMar>
            <w:vAlign w:val="center"/>
          </w:tcPr>
          <w:p w14:paraId="61BD7934"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 xml:space="preserve">Total </w:t>
            </w:r>
          </w:p>
        </w:tc>
        <w:tc>
          <w:tcPr>
            <w:tcW w:w="0" w:type="auto"/>
            <w:tcBorders>
              <w:top w:val="nil"/>
              <w:left w:val="nil"/>
              <w:bottom w:val="single" w:sz="4" w:space="0" w:color="auto"/>
              <w:right w:val="nil"/>
            </w:tcBorders>
            <w:tcMar>
              <w:top w:w="15" w:type="dxa"/>
              <w:left w:w="15" w:type="dxa"/>
              <w:right w:w="15" w:type="dxa"/>
            </w:tcMar>
            <w:vAlign w:val="center"/>
          </w:tcPr>
          <w:p w14:paraId="3CDFBCDF"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1225.02 (225.79)</w:t>
            </w:r>
          </w:p>
        </w:tc>
        <w:tc>
          <w:tcPr>
            <w:tcW w:w="0" w:type="auto"/>
            <w:tcBorders>
              <w:top w:val="nil"/>
              <w:left w:val="nil"/>
              <w:bottom w:val="single" w:sz="4" w:space="0" w:color="auto"/>
              <w:right w:val="nil"/>
            </w:tcBorders>
            <w:tcMar>
              <w:top w:w="15" w:type="dxa"/>
              <w:left w:w="15" w:type="dxa"/>
              <w:right w:w="15" w:type="dxa"/>
            </w:tcMar>
            <w:vAlign w:val="center"/>
          </w:tcPr>
          <w:p w14:paraId="6E5D8FF3"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1061.18 (207.66)</w:t>
            </w:r>
          </w:p>
        </w:tc>
        <w:tc>
          <w:tcPr>
            <w:tcW w:w="0" w:type="auto"/>
            <w:tcBorders>
              <w:top w:val="nil"/>
              <w:left w:val="nil"/>
              <w:bottom w:val="single" w:sz="4" w:space="0" w:color="auto"/>
              <w:right w:val="nil"/>
            </w:tcBorders>
            <w:tcMar>
              <w:top w:w="15" w:type="dxa"/>
              <w:left w:w="15" w:type="dxa"/>
              <w:right w:w="15" w:type="dxa"/>
            </w:tcMar>
            <w:vAlign w:val="center"/>
          </w:tcPr>
          <w:p w14:paraId="16684E6C"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1158.40 (219.35)</w:t>
            </w:r>
          </w:p>
        </w:tc>
        <w:tc>
          <w:tcPr>
            <w:tcW w:w="0" w:type="auto"/>
            <w:tcBorders>
              <w:top w:val="nil"/>
              <w:left w:val="nil"/>
              <w:bottom w:val="single" w:sz="4" w:space="0" w:color="auto"/>
              <w:right w:val="nil"/>
            </w:tcBorders>
            <w:tcMar>
              <w:top w:w="15" w:type="dxa"/>
              <w:left w:w="15" w:type="dxa"/>
              <w:right w:w="15" w:type="dxa"/>
            </w:tcMar>
            <w:vAlign w:val="center"/>
          </w:tcPr>
          <w:p w14:paraId="3A954380"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993.47 (190.09)</w:t>
            </w:r>
          </w:p>
        </w:tc>
        <w:tc>
          <w:tcPr>
            <w:tcW w:w="0" w:type="auto"/>
            <w:tcBorders>
              <w:top w:val="nil"/>
              <w:left w:val="nil"/>
              <w:bottom w:val="single" w:sz="4" w:space="0" w:color="auto"/>
              <w:right w:val="nil"/>
            </w:tcBorders>
            <w:tcMar>
              <w:top w:w="15" w:type="dxa"/>
              <w:left w:w="15" w:type="dxa"/>
              <w:right w:w="15" w:type="dxa"/>
            </w:tcMar>
            <w:vAlign w:val="center"/>
          </w:tcPr>
          <w:p w14:paraId="0B4B5D2B"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929.76 (122.04)</w:t>
            </w:r>
          </w:p>
        </w:tc>
        <w:tc>
          <w:tcPr>
            <w:tcW w:w="0" w:type="auto"/>
            <w:tcBorders>
              <w:top w:val="nil"/>
              <w:left w:val="nil"/>
              <w:bottom w:val="single" w:sz="4" w:space="0" w:color="auto"/>
              <w:right w:val="nil"/>
            </w:tcBorders>
            <w:tcMar>
              <w:top w:w="15" w:type="dxa"/>
              <w:left w:w="15" w:type="dxa"/>
              <w:right w:w="15" w:type="dxa"/>
            </w:tcMar>
            <w:vAlign w:val="center"/>
          </w:tcPr>
          <w:p w14:paraId="65420207" w14:textId="77777777" w:rsidR="00D51068" w:rsidRPr="00802999" w:rsidRDefault="00D51068" w:rsidP="005A4764">
            <w:pPr>
              <w:spacing w:line="480" w:lineRule="auto"/>
              <w:rPr>
                <w:rFonts w:ascii="Times New Roman" w:hAnsi="Times New Roman" w:cs="Times New Roman"/>
                <w:sz w:val="24"/>
                <w:szCs w:val="24"/>
              </w:rPr>
            </w:pPr>
            <w:r w:rsidRPr="00802999">
              <w:rPr>
                <w:rFonts w:ascii="Times New Roman" w:eastAsia="Arial" w:hAnsi="Times New Roman" w:cs="Times New Roman"/>
                <w:color w:val="000000" w:themeColor="text1"/>
                <w:sz w:val="24"/>
                <w:szCs w:val="24"/>
              </w:rPr>
              <w:t>935.85 (129.82)</w:t>
            </w:r>
          </w:p>
        </w:tc>
      </w:tr>
    </w:tbl>
    <w:p w14:paraId="3A31FA6B" w14:textId="77777777" w:rsidR="00D51068" w:rsidRPr="00802999" w:rsidRDefault="00D51068" w:rsidP="00D51068">
      <w:pPr>
        <w:spacing w:after="0" w:line="480" w:lineRule="auto"/>
        <w:rPr>
          <w:rFonts w:ascii="Times New Roman" w:eastAsia="Arial" w:hAnsi="Times New Roman" w:cs="Times New Roman"/>
          <w:i/>
          <w:iCs/>
          <w:sz w:val="24"/>
          <w:szCs w:val="24"/>
        </w:rPr>
      </w:pPr>
    </w:p>
    <w:p w14:paraId="1AA96DCD" w14:textId="77777777" w:rsidR="00D51068" w:rsidRDefault="00D51068" w:rsidP="00F152E1">
      <w:pPr>
        <w:spacing w:after="0" w:line="480" w:lineRule="auto"/>
        <w:rPr>
          <w:rFonts w:ascii="Times New Roman" w:eastAsia="Arial" w:hAnsi="Times New Roman" w:cs="Times New Roman"/>
          <w:sz w:val="24"/>
          <w:szCs w:val="24"/>
        </w:rPr>
      </w:pPr>
    </w:p>
    <w:p w14:paraId="66923F1C" w14:textId="143043E5" w:rsidR="00FB1B8A" w:rsidRPr="00F152E1" w:rsidRDefault="00FB1B8A" w:rsidP="00F152E1">
      <w:pPr>
        <w:spacing w:after="0" w:line="480" w:lineRule="auto"/>
        <w:rPr>
          <w:rFonts w:ascii="Times New Roman" w:eastAsia="Arial" w:hAnsi="Times New Roman" w:cs="Times New Roman"/>
          <w:sz w:val="24"/>
          <w:szCs w:val="24"/>
        </w:rPr>
      </w:pPr>
      <w:r w:rsidRPr="00F152E1">
        <w:rPr>
          <w:rFonts w:ascii="Times New Roman" w:eastAsia="Arial" w:hAnsi="Times New Roman" w:cs="Times New Roman"/>
          <w:sz w:val="24"/>
          <w:szCs w:val="24"/>
        </w:rPr>
        <w:t xml:space="preserve">In line with </w:t>
      </w:r>
      <w:r w:rsidRPr="00F152E1">
        <w:rPr>
          <w:rFonts w:ascii="Times New Roman" w:eastAsia="Arial" w:hAnsi="Times New Roman" w:cs="Times New Roman"/>
          <w:sz w:val="24"/>
          <w:szCs w:val="24"/>
        </w:rPr>
        <w:fldChar w:fldCharType="begin" w:fldLock="1"/>
      </w:r>
      <w:r w:rsidRPr="00F152E1">
        <w:rPr>
          <w:rFonts w:ascii="Times New Roman" w:eastAsia="Arial" w:hAnsi="Times New Roman" w:cs="Times New Roman"/>
          <w:sz w:val="24"/>
          <w:szCs w:val="24"/>
        </w:rPr>
        <w:instrText>ADDIN CSL_CITATION {"citationItems":[{"id":"ITEM-1","itemData":{"DOI":"10.1016/j.cognition.2006.12.013","ISSN":"00100277","PMID":"17275801","abstract":"The need of bilinguals to continuously control two languages during speech production may exert general effects on their attentional networks. To explore this issue we compared the performance of bilinguals and monolinguals in the attentional network task (ANT) developed by Fan et al. [Fan, J., McCandliss, B.D. Sommer, T., Raz, A., Posner, M.I. (2002). Testing the efficiency and independence of attentional networks. Journal of Cognitive Neuroscience, 14, 340-347]. This task is supposed to tap into three different attentional networks: alerting, orienting and executive control. The results revealed that bilingual participants were not only faster in performing the task, but also more efficient in the alerting and executive control networks. In particular, bilinguals were aided more by the presentation of an alerting cue, and were also better at resolving conflicting information. Furthermore, bilinguals experienced a reduced switching cost between the different type of trials compared to monolinguals. These results show that bilingualism exerts an influence in the attainment of efficient attentional mechanisms by young adults that are supposed to be at the peak of their attentional capabilities. © 2007.","author":[{"dropping-particle":"","family":"Costa","given":"Albert","non-dropping-particle":"","parse-names":false,"suffix":""},{"dropping-particle":"","family":"Hernández","given":"Mireia","non-dropping-particle":"","parse-names":false,"suffix":""},{"dropping-particle":"","family":"Sebastián-Gallés","given":"Núria","non-dropping-particle":"","parse-names":false,"suffix":""}],"container-title":"Cognition","id":"ITEM-1","issue":"1","issued":{"date-parts":[["2008"]]},"page":"59-86","title":"Bilingualism aids conflict resolution: Evidence from the ANT task","type":"article-journal","volume":"106"},"uris":["http://www.mendeley.com/documents/?uuid=bc473e90-0662-436a-8cde-144ee6d956a7"]}],"mendeley":{"formattedCitation":"(Costa et al., 2008)","manualFormatting":"Costa et al. (2008)","plainTextFormattedCitation":"(Costa et al., 2008)"},"properties":{"noteIndex":0},"schema":"https://github.com/citation-style-language/schema/raw/master/csl-citation.json"}</w:instrText>
      </w:r>
      <w:r w:rsidRPr="00F152E1">
        <w:rPr>
          <w:rFonts w:ascii="Times New Roman" w:eastAsia="Arial" w:hAnsi="Times New Roman" w:cs="Times New Roman"/>
          <w:sz w:val="24"/>
          <w:szCs w:val="24"/>
        </w:rPr>
        <w:fldChar w:fldCharType="separate"/>
      </w:r>
      <w:r w:rsidRPr="00F152E1">
        <w:rPr>
          <w:rFonts w:ascii="Times New Roman" w:eastAsia="Arial" w:hAnsi="Times New Roman" w:cs="Times New Roman"/>
          <w:noProof/>
          <w:sz w:val="24"/>
          <w:szCs w:val="24"/>
        </w:rPr>
        <w:t>Costa et al. (2008)</w:t>
      </w:r>
      <w:r w:rsidRPr="00F152E1">
        <w:rPr>
          <w:rFonts w:ascii="Times New Roman" w:eastAsia="Arial" w:hAnsi="Times New Roman" w:cs="Times New Roman"/>
          <w:sz w:val="24"/>
          <w:szCs w:val="24"/>
        </w:rPr>
        <w:fldChar w:fldCharType="end"/>
      </w:r>
      <w:r w:rsidRPr="00F152E1">
        <w:rPr>
          <w:rFonts w:ascii="Times New Roman" w:eastAsia="Arial" w:hAnsi="Times New Roman" w:cs="Times New Roman"/>
          <w:sz w:val="24"/>
          <w:szCs w:val="24"/>
        </w:rPr>
        <w:t xml:space="preserve"> we carried out a three-way mixed ANOVA with the following factors: age group (older vs young), language status (bilinguals vs. monolinguals), and trial type (overall switch vs. overall stay). There was a main effect of trial type, F(1,148) = 27.79, p &lt; .001 revealing that transformed proportion RTs on switch trials were longer than on stay trials. However, neither the interaction between age group and trial type (p = .99), nor </w:t>
      </w:r>
      <w:r w:rsidRPr="00F152E1">
        <w:rPr>
          <w:rFonts w:ascii="Times New Roman" w:eastAsia="Arial" w:hAnsi="Times New Roman" w:cs="Times New Roman"/>
          <w:sz w:val="24"/>
          <w:szCs w:val="24"/>
        </w:rPr>
        <w:lastRenderedPageBreak/>
        <w:t>language status and trial type were significant (p = 90). Further, in order to examine the effect of age group, language status and the difficulty of switching (</w:t>
      </w:r>
      <w:r w:rsidRPr="00F152E1">
        <w:rPr>
          <w:rFonts w:ascii="Times New Roman" w:eastAsia="Arial" w:hAnsi="Times New Roman" w:cs="Times New Roman"/>
          <w:i/>
          <w:sz w:val="24"/>
          <w:szCs w:val="24"/>
        </w:rPr>
        <w:t xml:space="preserve">easy switch: </w:t>
      </w:r>
      <w:r w:rsidRPr="00F152E1">
        <w:rPr>
          <w:rFonts w:ascii="Times New Roman" w:eastAsia="Arial" w:hAnsi="Times New Roman" w:cs="Times New Roman"/>
          <w:sz w:val="24"/>
          <w:szCs w:val="24"/>
        </w:rPr>
        <w:t xml:space="preserve">incongruent into incongruent vs. congruent into incongruent; and </w:t>
      </w:r>
      <w:r w:rsidRPr="00F152E1">
        <w:rPr>
          <w:rFonts w:ascii="Times New Roman" w:eastAsia="Arial" w:hAnsi="Times New Roman" w:cs="Times New Roman"/>
          <w:i/>
          <w:sz w:val="24"/>
          <w:szCs w:val="24"/>
        </w:rPr>
        <w:t>hard switch</w:t>
      </w:r>
      <w:r w:rsidRPr="00F152E1">
        <w:rPr>
          <w:rFonts w:ascii="Times New Roman" w:eastAsia="Arial" w:hAnsi="Times New Roman" w:cs="Times New Roman"/>
          <w:sz w:val="24"/>
          <w:szCs w:val="24"/>
        </w:rPr>
        <w:t xml:space="preserve"> trial type: congruent into congruent vs. incongruent into congruent) on the transformed proportion RTs, we carried out additional ANOVAs. For the </w:t>
      </w:r>
      <w:r w:rsidRPr="00F152E1">
        <w:rPr>
          <w:rFonts w:ascii="Times New Roman" w:eastAsia="Arial" w:hAnsi="Times New Roman" w:cs="Times New Roman"/>
          <w:i/>
          <w:sz w:val="24"/>
          <w:szCs w:val="24"/>
        </w:rPr>
        <w:t xml:space="preserve">easy switch </w:t>
      </w:r>
      <w:r w:rsidRPr="00F152E1">
        <w:rPr>
          <w:rFonts w:ascii="Times New Roman" w:eastAsia="Arial" w:hAnsi="Times New Roman" w:cs="Times New Roman"/>
          <w:sz w:val="24"/>
          <w:szCs w:val="24"/>
        </w:rPr>
        <w:t xml:space="preserve">trial type (i.e. factors included: age group, language status, and easy switch trials: incongruent into incongruent trials vs. congruent into incongruent trials), the analysis revealed no significant effect of trial type (p = .81) and no significant interactions, neither between age group and trial type (p = .44), nor between language status and trial type (p = .87). For the </w:t>
      </w:r>
      <w:r w:rsidRPr="00F152E1">
        <w:rPr>
          <w:rFonts w:ascii="Times New Roman" w:eastAsia="Arial" w:hAnsi="Times New Roman" w:cs="Times New Roman"/>
          <w:i/>
          <w:sz w:val="24"/>
          <w:szCs w:val="24"/>
        </w:rPr>
        <w:t>hard switch</w:t>
      </w:r>
      <w:r w:rsidRPr="00F152E1">
        <w:rPr>
          <w:rFonts w:ascii="Times New Roman" w:eastAsia="Arial" w:hAnsi="Times New Roman" w:cs="Times New Roman"/>
          <w:sz w:val="24"/>
          <w:szCs w:val="24"/>
        </w:rPr>
        <w:t xml:space="preserve"> trial type (i.e. factors included: age group, language status, and hard switch trials: congruent into congruent trials vs. incongruent into congruent trials), the analysis revealed a significant main effect of trial type </w:t>
      </w:r>
      <w:proofErr w:type="gramStart"/>
      <w:r w:rsidRPr="00F152E1">
        <w:rPr>
          <w:rFonts w:ascii="Times New Roman" w:eastAsia="Arial" w:hAnsi="Times New Roman" w:cs="Times New Roman"/>
          <w:sz w:val="24"/>
          <w:szCs w:val="24"/>
        </w:rPr>
        <w:t>F(</w:t>
      </w:r>
      <w:proofErr w:type="gramEnd"/>
      <w:r w:rsidRPr="00F152E1">
        <w:rPr>
          <w:rFonts w:ascii="Times New Roman" w:eastAsia="Arial" w:hAnsi="Times New Roman" w:cs="Times New Roman"/>
          <w:sz w:val="24"/>
          <w:szCs w:val="24"/>
        </w:rPr>
        <w:t>1,148) = 80.44, p &lt; .001 revealing that transformed proportion RTs on switch trials (into congruent) were longer than on congruent stay trials. Findings are illustrated in Suppl. Figure 1.</w:t>
      </w:r>
    </w:p>
    <w:p w14:paraId="3A082C24" w14:textId="77777777" w:rsidR="00FB1B8A" w:rsidRPr="00F152E1" w:rsidRDefault="00FB1B8A" w:rsidP="00F152E1">
      <w:pPr>
        <w:spacing w:line="480" w:lineRule="auto"/>
        <w:jc w:val="center"/>
        <w:rPr>
          <w:rFonts w:ascii="Times New Roman" w:eastAsia="Arial" w:hAnsi="Times New Roman" w:cs="Times New Roman"/>
          <w:b/>
          <w:bCs/>
          <w:noProof/>
          <w:sz w:val="24"/>
          <w:szCs w:val="24"/>
          <w:u w:val="single"/>
          <w:lang w:eastAsia="en-GB"/>
        </w:rPr>
      </w:pPr>
    </w:p>
    <w:p w14:paraId="6DB21BFF" w14:textId="350689F0" w:rsidR="00540A39" w:rsidRPr="00F152E1" w:rsidRDefault="00FB1B8A" w:rsidP="00F152E1">
      <w:pPr>
        <w:spacing w:line="480" w:lineRule="auto"/>
        <w:rPr>
          <w:rFonts w:ascii="Times New Roman" w:hAnsi="Times New Roman" w:cs="Times New Roman"/>
          <w:sz w:val="24"/>
          <w:szCs w:val="24"/>
        </w:rPr>
      </w:pPr>
      <w:r w:rsidRPr="00F152E1">
        <w:rPr>
          <w:rFonts w:ascii="Times New Roman" w:eastAsia="Arial" w:hAnsi="Times New Roman" w:cs="Times New Roman"/>
          <w:noProof/>
          <w:sz w:val="24"/>
          <w:szCs w:val="24"/>
          <w:lang w:eastAsia="en-GB"/>
        </w:rPr>
        <w:lastRenderedPageBreak/>
        <w:drawing>
          <wp:inline distT="0" distB="0" distL="0" distR="0" wp14:anchorId="2DAE1E25" wp14:editId="0BC73CAC">
            <wp:extent cx="4857663" cy="5991149"/>
            <wp:effectExtent l="0" t="0" r="635" b="0"/>
            <wp:docPr id="1" name="Picture 1" descr="Z:\Roxy2019\FAB_bilingual_project\Figures\Fig3_ANT_task_switch_mon_vs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xy2019\FAB_bilingual_project\Figures\Fig3_ANT_task_switch_mon_vs_b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0859" cy="5995090"/>
                    </a:xfrm>
                    <a:prstGeom prst="rect">
                      <a:avLst/>
                    </a:prstGeom>
                    <a:noFill/>
                    <a:ln>
                      <a:noFill/>
                    </a:ln>
                  </pic:spPr>
                </pic:pic>
              </a:graphicData>
            </a:graphic>
          </wp:inline>
        </w:drawing>
      </w:r>
    </w:p>
    <w:p w14:paraId="49BD63B0" w14:textId="57DED216" w:rsidR="00FB1B8A" w:rsidRPr="00F152E1" w:rsidRDefault="00FB1B8A" w:rsidP="00F152E1">
      <w:pPr>
        <w:spacing w:after="0" w:line="480" w:lineRule="auto"/>
        <w:rPr>
          <w:rFonts w:ascii="Times New Roman" w:eastAsia="Arial" w:hAnsi="Times New Roman" w:cs="Times New Roman"/>
          <w:sz w:val="24"/>
          <w:szCs w:val="24"/>
          <w:u w:val="single"/>
        </w:rPr>
      </w:pPr>
      <w:r w:rsidRPr="00F152E1">
        <w:rPr>
          <w:rFonts w:ascii="Times New Roman" w:eastAsia="Arial" w:hAnsi="Times New Roman" w:cs="Times New Roman"/>
          <w:i/>
          <w:iCs/>
          <w:sz w:val="24"/>
          <w:szCs w:val="24"/>
        </w:rPr>
        <w:t xml:space="preserve">Suppl. Figure 1. </w:t>
      </w:r>
      <w:r w:rsidRPr="00F152E1">
        <w:rPr>
          <w:rFonts w:ascii="Times New Roman" w:eastAsia="Arial" w:hAnsi="Times New Roman" w:cs="Times New Roman"/>
          <w:sz w:val="24"/>
          <w:szCs w:val="24"/>
        </w:rPr>
        <w:t xml:space="preserve">Distributions and means of transformed proportion RTs of switch trials (left) and stay trials (right) from the ANT task per age group (older vs. younger) and language status (bilingual in blue, and monolingual in orange). The switch trials are further divided into </w:t>
      </w:r>
      <w:r w:rsidRPr="00F152E1">
        <w:rPr>
          <w:rFonts w:ascii="Times New Roman" w:eastAsia="Arial" w:hAnsi="Times New Roman" w:cs="Times New Roman"/>
          <w:i/>
          <w:sz w:val="24"/>
          <w:szCs w:val="24"/>
        </w:rPr>
        <w:t xml:space="preserve">easy </w:t>
      </w:r>
      <w:r w:rsidRPr="00F152E1">
        <w:rPr>
          <w:rFonts w:ascii="Times New Roman" w:eastAsia="Arial" w:hAnsi="Times New Roman" w:cs="Times New Roman"/>
          <w:sz w:val="24"/>
          <w:szCs w:val="24"/>
        </w:rPr>
        <w:t xml:space="preserve">(switch into incongruent) and </w:t>
      </w:r>
      <w:r w:rsidRPr="00F152E1">
        <w:rPr>
          <w:rFonts w:ascii="Times New Roman" w:eastAsia="Arial" w:hAnsi="Times New Roman" w:cs="Times New Roman"/>
          <w:i/>
          <w:sz w:val="24"/>
          <w:szCs w:val="24"/>
        </w:rPr>
        <w:t xml:space="preserve">hard </w:t>
      </w:r>
      <w:r w:rsidRPr="00F152E1">
        <w:rPr>
          <w:rFonts w:ascii="Times New Roman" w:eastAsia="Arial" w:hAnsi="Times New Roman" w:cs="Times New Roman"/>
          <w:sz w:val="24"/>
          <w:szCs w:val="24"/>
        </w:rPr>
        <w:t>(switch into congruent),</w:t>
      </w:r>
      <w:r w:rsidRPr="00F152E1">
        <w:rPr>
          <w:rFonts w:ascii="Times New Roman" w:eastAsia="Arial" w:hAnsi="Times New Roman" w:cs="Times New Roman"/>
          <w:i/>
          <w:sz w:val="24"/>
          <w:szCs w:val="24"/>
        </w:rPr>
        <w:t xml:space="preserve"> </w:t>
      </w:r>
      <w:r w:rsidRPr="00F152E1">
        <w:rPr>
          <w:rFonts w:ascii="Times New Roman" w:eastAsia="Arial" w:hAnsi="Times New Roman" w:cs="Times New Roman"/>
          <w:sz w:val="24"/>
          <w:szCs w:val="24"/>
        </w:rPr>
        <w:t xml:space="preserve">the stay trials are also further divided into stay incongruent and stay congruent. The solid lines within the violin plots represent the average transformed proportion RT, the dashed lines represent the quartiles of the distribution. Note that there was a main effect of trial type in the overall </w:t>
      </w:r>
      <w:r w:rsidRPr="00F152E1">
        <w:rPr>
          <w:rFonts w:ascii="Times New Roman" w:eastAsia="Arial" w:hAnsi="Times New Roman" w:cs="Times New Roman"/>
          <w:sz w:val="24"/>
          <w:szCs w:val="24"/>
        </w:rPr>
        <w:lastRenderedPageBreak/>
        <w:t xml:space="preserve">switch vs. overall stay trials as well as the </w:t>
      </w:r>
      <w:r w:rsidRPr="00F152E1">
        <w:rPr>
          <w:rFonts w:ascii="Times New Roman" w:eastAsia="Arial" w:hAnsi="Times New Roman" w:cs="Times New Roman"/>
          <w:i/>
          <w:iCs/>
          <w:sz w:val="24"/>
          <w:szCs w:val="24"/>
        </w:rPr>
        <w:t xml:space="preserve">hard </w:t>
      </w:r>
      <w:r w:rsidRPr="00F152E1">
        <w:rPr>
          <w:rFonts w:ascii="Times New Roman" w:eastAsia="Arial" w:hAnsi="Times New Roman" w:cs="Times New Roman"/>
          <w:sz w:val="24"/>
          <w:szCs w:val="24"/>
        </w:rPr>
        <w:t xml:space="preserve">switch (switch into congruent vs. stay congruent trials), but not the </w:t>
      </w:r>
      <w:r w:rsidRPr="00F152E1">
        <w:rPr>
          <w:rFonts w:ascii="Times New Roman" w:eastAsia="Arial" w:hAnsi="Times New Roman" w:cs="Times New Roman"/>
          <w:i/>
          <w:iCs/>
          <w:sz w:val="24"/>
          <w:szCs w:val="24"/>
        </w:rPr>
        <w:t xml:space="preserve">easy </w:t>
      </w:r>
      <w:r w:rsidRPr="00F152E1">
        <w:rPr>
          <w:rFonts w:ascii="Times New Roman" w:eastAsia="Arial" w:hAnsi="Times New Roman" w:cs="Times New Roman"/>
          <w:sz w:val="24"/>
          <w:szCs w:val="24"/>
        </w:rPr>
        <w:t xml:space="preserve">switch (switch into incongruent vs. stay incongruent trials). There were no significant age-related or language status-related group differences.  </w:t>
      </w:r>
    </w:p>
    <w:sectPr w:rsidR="00FB1B8A" w:rsidRPr="00F1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8A"/>
    <w:rsid w:val="000B2A28"/>
    <w:rsid w:val="00540A39"/>
    <w:rsid w:val="00782936"/>
    <w:rsid w:val="00A254F5"/>
    <w:rsid w:val="00D25324"/>
    <w:rsid w:val="00D51068"/>
    <w:rsid w:val="00F152E1"/>
    <w:rsid w:val="00FB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15F0"/>
  <w15:chartTrackingRefBased/>
  <w15:docId w15:val="{A17C3543-C65A-4F72-ADFC-88FCF54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B1B8A"/>
    <w:pPr>
      <w:spacing w:line="240" w:lineRule="auto"/>
    </w:pPr>
    <w:rPr>
      <w:sz w:val="20"/>
      <w:szCs w:val="20"/>
    </w:rPr>
  </w:style>
  <w:style w:type="character" w:customStyle="1" w:styleId="CommentTextChar">
    <w:name w:val="Comment Text Char"/>
    <w:basedOn w:val="DefaultParagraphFont"/>
    <w:link w:val="CommentText"/>
    <w:uiPriority w:val="99"/>
    <w:rsid w:val="00FB1B8A"/>
    <w:rPr>
      <w:sz w:val="20"/>
      <w:szCs w:val="20"/>
    </w:rPr>
  </w:style>
  <w:style w:type="character" w:styleId="CommentReference">
    <w:name w:val="annotation reference"/>
    <w:basedOn w:val="DefaultParagraphFont"/>
    <w:uiPriority w:val="99"/>
    <w:semiHidden/>
    <w:unhideWhenUsed/>
    <w:rsid w:val="00FB1B8A"/>
    <w:rPr>
      <w:sz w:val="16"/>
      <w:szCs w:val="16"/>
    </w:rPr>
  </w:style>
  <w:style w:type="table" w:styleId="TableGrid">
    <w:name w:val="Table Grid"/>
    <w:basedOn w:val="TableNormal"/>
    <w:uiPriority w:val="59"/>
    <w:rsid w:val="00D510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Markiewicz (PhD Psychology Lab PT)</dc:creator>
  <cp:keywords/>
  <dc:description/>
  <cp:lastModifiedBy>Roksana Markiewicz</cp:lastModifiedBy>
  <cp:revision>2</cp:revision>
  <dcterms:created xsi:type="dcterms:W3CDTF">2024-01-24T13:24:00Z</dcterms:created>
  <dcterms:modified xsi:type="dcterms:W3CDTF">2024-01-24T13:24:00Z</dcterms:modified>
</cp:coreProperties>
</file>