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9A9" w:rsidRDefault="00CD39A9"/>
    <w:p w:rsidR="00CD39A9" w:rsidRDefault="00CD39A9" w:rsidP="00CD39A9">
      <w:pPr>
        <w:pStyle w:val="Tekstpodstawowy"/>
        <w:keepNext/>
        <w:jc w:val="center"/>
      </w:pPr>
      <w:r w:rsidRPr="003249E2">
        <w:rPr>
          <w:rFonts w:cs="Times New Roman"/>
          <w:i/>
          <w:noProof/>
          <w:sz w:val="20"/>
          <w:szCs w:val="20"/>
          <w:lang w:val="en-GB"/>
        </w:rPr>
        <w:drawing>
          <wp:inline distT="0" distB="0" distL="0" distR="0" wp14:anchorId="774B3233" wp14:editId="1AD1BD33">
            <wp:extent cx="3870000" cy="28800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A9" w:rsidRPr="002E1C2C" w:rsidRDefault="00574523" w:rsidP="00CD39A9">
      <w:pPr>
        <w:pStyle w:val="Legenda"/>
        <w:rPr>
          <w:rFonts w:ascii="Garamond" w:hAnsi="Garamond"/>
          <w:i w:val="0"/>
          <w:sz w:val="20"/>
          <w:szCs w:val="20"/>
        </w:rPr>
      </w:pPr>
      <w:r>
        <w:rPr>
          <w:rFonts w:ascii="Garamond" w:hAnsi="Garamond"/>
          <w:i w:val="0"/>
          <w:sz w:val="20"/>
          <w:szCs w:val="20"/>
        </w:rPr>
        <w:t xml:space="preserve">Supplementary </w:t>
      </w:r>
      <w:r w:rsidR="00CD39A9" w:rsidRPr="002E1C2C">
        <w:rPr>
          <w:rFonts w:ascii="Garamond" w:hAnsi="Garamond"/>
          <w:i w:val="0"/>
          <w:sz w:val="20"/>
          <w:szCs w:val="20"/>
        </w:rPr>
        <w:t xml:space="preserve">Figure </w:t>
      </w:r>
      <w:r w:rsidR="00CD39A9" w:rsidRPr="002E1C2C">
        <w:rPr>
          <w:rFonts w:ascii="Garamond" w:hAnsi="Garamond"/>
          <w:i w:val="0"/>
          <w:sz w:val="20"/>
          <w:szCs w:val="20"/>
        </w:rPr>
        <w:fldChar w:fldCharType="begin"/>
      </w:r>
      <w:r w:rsidR="00CD39A9" w:rsidRPr="002E1C2C">
        <w:rPr>
          <w:rFonts w:ascii="Garamond" w:hAnsi="Garamond"/>
          <w:i w:val="0"/>
          <w:sz w:val="20"/>
          <w:szCs w:val="20"/>
        </w:rPr>
        <w:instrText xml:space="preserve"> SEQ Figure \* ARABIC </w:instrText>
      </w:r>
      <w:r w:rsidR="00CD39A9" w:rsidRPr="002E1C2C">
        <w:rPr>
          <w:rFonts w:ascii="Garamond" w:hAnsi="Garamond"/>
          <w:i w:val="0"/>
          <w:sz w:val="20"/>
          <w:szCs w:val="20"/>
        </w:rPr>
        <w:fldChar w:fldCharType="separate"/>
      </w:r>
      <w:r w:rsidR="00CD39A9">
        <w:rPr>
          <w:rFonts w:ascii="Garamond" w:hAnsi="Garamond"/>
          <w:i w:val="0"/>
          <w:noProof/>
          <w:sz w:val="20"/>
          <w:szCs w:val="20"/>
        </w:rPr>
        <w:t>1</w:t>
      </w:r>
      <w:r w:rsidR="00CD39A9" w:rsidRPr="002E1C2C">
        <w:rPr>
          <w:rFonts w:ascii="Garamond" w:hAnsi="Garamond"/>
          <w:i w:val="0"/>
          <w:sz w:val="20"/>
          <w:szCs w:val="20"/>
        </w:rPr>
        <w:fldChar w:fldCharType="end"/>
      </w:r>
      <w:r w:rsidR="00CD39A9" w:rsidRPr="002E1C2C">
        <w:rPr>
          <w:rFonts w:ascii="Garamond" w:hAnsi="Garamond"/>
          <w:i w:val="0"/>
          <w:sz w:val="20"/>
          <w:szCs w:val="20"/>
        </w:rPr>
        <w:t xml:space="preserve">. </w:t>
      </w:r>
      <w:r w:rsidR="00CD39A9" w:rsidRPr="002E1C2C">
        <w:rPr>
          <w:rFonts w:ascii="Garamond" w:hAnsi="Garamond"/>
          <w:i w:val="0"/>
          <w:sz w:val="20"/>
          <w:szCs w:val="20"/>
          <w:lang w:val="en-GB"/>
        </w:rPr>
        <w:t>Schematic visualisation of the experimental procedure in Experiment 1 (neutral context). Task (orally translate vs. read aloud) was colour coded and task-colour assignment was counterbalanced across participants.</w:t>
      </w:r>
    </w:p>
    <w:p w:rsidR="00CD39A9" w:rsidRDefault="00CD39A9" w:rsidP="00CD39A9">
      <w:pPr>
        <w:pStyle w:val="Tekstpodstawowy"/>
        <w:keepNext/>
        <w:jc w:val="center"/>
      </w:pPr>
      <w:r>
        <w:rPr>
          <w:noProof/>
        </w:rPr>
        <w:drawing>
          <wp:inline distT="0" distB="0" distL="0" distR="0" wp14:anchorId="02BCB613" wp14:editId="1CA1AAAE">
            <wp:extent cx="5969002" cy="29870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2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9A9" w:rsidRPr="00BC6B14" w:rsidRDefault="00574523" w:rsidP="00CD39A9">
      <w:pPr>
        <w:pStyle w:val="Legenda"/>
        <w:rPr>
          <w:rFonts w:ascii="Garamond" w:hAnsi="Garamond"/>
          <w:i w:val="0"/>
          <w:sz w:val="20"/>
          <w:szCs w:val="20"/>
        </w:rPr>
      </w:pPr>
      <w:r>
        <w:rPr>
          <w:rFonts w:ascii="Garamond" w:hAnsi="Garamond"/>
          <w:i w:val="0"/>
          <w:sz w:val="20"/>
          <w:szCs w:val="20"/>
        </w:rPr>
        <w:t xml:space="preserve">Supplementary </w:t>
      </w:r>
      <w:r w:rsidR="00CD39A9" w:rsidRPr="32FA0D4A">
        <w:rPr>
          <w:rFonts w:ascii="Garamond" w:hAnsi="Garamond"/>
          <w:i w:val="0"/>
          <w:sz w:val="20"/>
          <w:szCs w:val="20"/>
        </w:rPr>
        <w:t xml:space="preserve">Figure </w:t>
      </w:r>
      <w:r w:rsidR="00CD39A9" w:rsidRPr="32FA0D4A">
        <w:rPr>
          <w:rFonts w:ascii="Garamond" w:hAnsi="Garamond"/>
          <w:i w:val="0"/>
          <w:sz w:val="20"/>
          <w:szCs w:val="20"/>
        </w:rPr>
        <w:fldChar w:fldCharType="begin"/>
      </w:r>
      <w:r w:rsidR="00CD39A9" w:rsidRPr="32FA0D4A">
        <w:rPr>
          <w:rFonts w:ascii="Garamond" w:hAnsi="Garamond"/>
          <w:i w:val="0"/>
          <w:sz w:val="20"/>
          <w:szCs w:val="20"/>
        </w:rPr>
        <w:instrText xml:space="preserve"> SEQ Figure \* ARABIC </w:instrText>
      </w:r>
      <w:r w:rsidR="00CD39A9" w:rsidRPr="32FA0D4A">
        <w:rPr>
          <w:rFonts w:ascii="Garamond" w:hAnsi="Garamond"/>
          <w:i w:val="0"/>
          <w:sz w:val="20"/>
          <w:szCs w:val="20"/>
        </w:rPr>
        <w:fldChar w:fldCharType="separate"/>
      </w:r>
      <w:r w:rsidR="00CD39A9" w:rsidRPr="32FA0D4A">
        <w:rPr>
          <w:rFonts w:ascii="Garamond" w:hAnsi="Garamond"/>
          <w:i w:val="0"/>
          <w:noProof/>
          <w:sz w:val="20"/>
          <w:szCs w:val="20"/>
        </w:rPr>
        <w:t>2</w:t>
      </w:r>
      <w:r w:rsidR="00CD39A9" w:rsidRPr="32FA0D4A">
        <w:rPr>
          <w:rFonts w:ascii="Garamond" w:hAnsi="Garamond"/>
          <w:i w:val="0"/>
          <w:sz w:val="20"/>
          <w:szCs w:val="20"/>
        </w:rPr>
        <w:fldChar w:fldCharType="end"/>
      </w:r>
      <w:r w:rsidR="00CD39A9" w:rsidRPr="32FA0D4A">
        <w:rPr>
          <w:rFonts w:ascii="Garamond" w:hAnsi="Garamond"/>
          <w:i w:val="0"/>
          <w:sz w:val="20"/>
          <w:szCs w:val="20"/>
        </w:rPr>
        <w:t>. Mean reaction times when translating or reading aloud English and Polish (left panel) and negative and neutral (right panel) words (Experiment 1). Error bars represent 95% confidence intervals (CI).</w:t>
      </w:r>
    </w:p>
    <w:p w:rsidR="00CD39A9" w:rsidRDefault="00CD39A9" w:rsidP="00CD39A9">
      <w:pPr>
        <w:pStyle w:val="Tekstpodstawowy"/>
        <w:keepNext/>
        <w:jc w:val="center"/>
      </w:pPr>
      <w:r>
        <w:rPr>
          <w:noProof/>
        </w:rPr>
        <w:lastRenderedPageBreak/>
        <w:drawing>
          <wp:inline distT="0" distB="0" distL="0" distR="0" wp14:anchorId="70827B5F" wp14:editId="58C3CF9D">
            <wp:extent cx="4114800" cy="2743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A9" w:rsidRDefault="00574523" w:rsidP="00CD39A9">
      <w:pPr>
        <w:pStyle w:val="Legenda"/>
        <w:rPr>
          <w:rFonts w:ascii="Garamond" w:hAnsi="Garamond"/>
          <w:i w:val="0"/>
          <w:sz w:val="20"/>
          <w:szCs w:val="20"/>
        </w:rPr>
      </w:pPr>
      <w:r>
        <w:rPr>
          <w:rFonts w:ascii="Garamond" w:hAnsi="Garamond"/>
          <w:i w:val="0"/>
          <w:sz w:val="20"/>
          <w:szCs w:val="20"/>
        </w:rPr>
        <w:t xml:space="preserve">Supplementary </w:t>
      </w:r>
      <w:r w:rsidR="00CD39A9" w:rsidRPr="32FA0D4A">
        <w:rPr>
          <w:rFonts w:ascii="Garamond" w:hAnsi="Garamond"/>
          <w:i w:val="0"/>
          <w:sz w:val="20"/>
          <w:szCs w:val="20"/>
        </w:rPr>
        <w:t xml:space="preserve">Figure </w:t>
      </w:r>
      <w:r w:rsidR="00CD39A9" w:rsidRPr="32FA0D4A">
        <w:rPr>
          <w:rFonts w:ascii="Garamond" w:hAnsi="Garamond"/>
          <w:i w:val="0"/>
          <w:sz w:val="20"/>
          <w:szCs w:val="20"/>
        </w:rPr>
        <w:fldChar w:fldCharType="begin"/>
      </w:r>
      <w:r w:rsidR="00CD39A9" w:rsidRPr="32FA0D4A">
        <w:rPr>
          <w:rFonts w:ascii="Garamond" w:hAnsi="Garamond"/>
          <w:i w:val="0"/>
          <w:sz w:val="20"/>
          <w:szCs w:val="20"/>
        </w:rPr>
        <w:instrText xml:space="preserve"> SEQ Figure \* ARABIC </w:instrText>
      </w:r>
      <w:r w:rsidR="00CD39A9" w:rsidRPr="32FA0D4A">
        <w:rPr>
          <w:rFonts w:ascii="Garamond" w:hAnsi="Garamond"/>
          <w:i w:val="0"/>
          <w:sz w:val="20"/>
          <w:szCs w:val="20"/>
        </w:rPr>
        <w:fldChar w:fldCharType="separate"/>
      </w:r>
      <w:r w:rsidR="00CD39A9" w:rsidRPr="32FA0D4A">
        <w:rPr>
          <w:rFonts w:ascii="Garamond" w:hAnsi="Garamond"/>
          <w:i w:val="0"/>
          <w:noProof/>
          <w:sz w:val="20"/>
          <w:szCs w:val="20"/>
        </w:rPr>
        <w:t>3</w:t>
      </w:r>
      <w:r w:rsidR="00CD39A9" w:rsidRPr="32FA0D4A">
        <w:rPr>
          <w:rFonts w:ascii="Garamond" w:hAnsi="Garamond"/>
          <w:i w:val="0"/>
          <w:sz w:val="20"/>
          <w:szCs w:val="20"/>
        </w:rPr>
        <w:fldChar w:fldCharType="end"/>
      </w:r>
      <w:r w:rsidR="00CD39A9" w:rsidRPr="32FA0D4A">
        <w:rPr>
          <w:rFonts w:ascii="Garamond" w:hAnsi="Garamond"/>
          <w:i w:val="0"/>
          <w:sz w:val="20"/>
          <w:szCs w:val="20"/>
        </w:rPr>
        <w:t>. Mean accuracy when translating or reading aloud English and Polish (left panel) and negative and neutral (right panel) words (Experiment 1). Error bars represent 95% confidence intervals (CI).</w:t>
      </w:r>
    </w:p>
    <w:p w:rsidR="00526582" w:rsidRDefault="00526582" w:rsidP="00526582"/>
    <w:p w:rsidR="00526582" w:rsidRPr="00526582" w:rsidRDefault="00526582" w:rsidP="00526582">
      <w:r>
        <w:rPr>
          <w:noProof/>
        </w:rPr>
        <w:drawing>
          <wp:inline distT="0" distB="0" distL="0" distR="0">
            <wp:extent cx="5760720" cy="28803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582" w:rsidRDefault="00526582" w:rsidP="00526582">
      <w:pPr>
        <w:pStyle w:val="Legenda"/>
        <w:rPr>
          <w:rFonts w:cs="Times New Roman"/>
          <w:i w:val="0"/>
        </w:rPr>
      </w:pPr>
      <w:r>
        <w:rPr>
          <w:rFonts w:cs="Times New Roman"/>
          <w:i w:val="0"/>
        </w:rPr>
        <w:t xml:space="preserve">Supplementary </w:t>
      </w:r>
      <w:r w:rsidRPr="00072154">
        <w:rPr>
          <w:rFonts w:cs="Times New Roman"/>
          <w:i w:val="0"/>
        </w:rPr>
        <w:t xml:space="preserve">Figure </w:t>
      </w:r>
      <w:r>
        <w:rPr>
          <w:rFonts w:cs="Times New Roman"/>
          <w:i w:val="0"/>
        </w:rPr>
        <w:t>4</w:t>
      </w:r>
      <w:r w:rsidRPr="00072154">
        <w:rPr>
          <w:rFonts w:cs="Times New Roman"/>
          <w:i w:val="0"/>
        </w:rPr>
        <w:t xml:space="preserve">. EPN elicited by negative and neutral words (Experiment 1). Waveforms illustrate brain potential variations computed via linear derivation from ten </w:t>
      </w:r>
      <w:proofErr w:type="spellStart"/>
      <w:r w:rsidRPr="00072154">
        <w:rPr>
          <w:rFonts w:cs="Times New Roman"/>
          <w:i w:val="0"/>
        </w:rPr>
        <w:t>parieto</w:t>
      </w:r>
      <w:proofErr w:type="spellEnd"/>
      <w:r w:rsidRPr="00072154">
        <w:rPr>
          <w:rFonts w:cs="Times New Roman"/>
          <w:i w:val="0"/>
        </w:rPr>
        <w:t xml:space="preserve">–occipital electrodes (O1, PO3, P3, P5, P7, O2, PO4, P4, P6, and P8). Time 0 coincides with word presentation onset. The topographic map represents the difference in EPN amplitude between negative and neutral words in the 200–300 </w:t>
      </w:r>
      <w:proofErr w:type="spellStart"/>
      <w:r w:rsidRPr="00072154">
        <w:rPr>
          <w:rFonts w:cs="Times New Roman"/>
          <w:i w:val="0"/>
        </w:rPr>
        <w:t>ms</w:t>
      </w:r>
      <w:proofErr w:type="spellEnd"/>
      <w:r w:rsidRPr="00072154">
        <w:rPr>
          <w:rFonts w:cs="Times New Roman"/>
          <w:i w:val="0"/>
        </w:rPr>
        <w:t xml:space="preserve"> window. The line plot represents mean EPN amplitude averaged over the electrodes of interest in the 200–300 window. Shaded areas (ERP plot) and error bars (line plot) depict 95% confidence intervals (CI).</w:t>
      </w:r>
    </w:p>
    <w:p w:rsidR="00CD39A9" w:rsidRPr="00CD39A9" w:rsidRDefault="00CD39A9" w:rsidP="00CD39A9"/>
    <w:p w:rsidR="00CD39A9" w:rsidRDefault="00CD39A9" w:rsidP="00CD39A9">
      <w:pPr>
        <w:pStyle w:val="Tekstpodstawowy"/>
        <w:keepNext/>
        <w:jc w:val="center"/>
      </w:pPr>
      <w:r w:rsidRPr="003249E2">
        <w:rPr>
          <w:rFonts w:cs="Times New Roman"/>
          <w:noProof/>
          <w:sz w:val="20"/>
          <w:szCs w:val="20"/>
          <w:lang w:val="en-GB"/>
        </w:rPr>
        <w:lastRenderedPageBreak/>
        <w:drawing>
          <wp:inline distT="0" distB="0" distL="0" distR="0" wp14:anchorId="60501D4E" wp14:editId="7C812767">
            <wp:extent cx="3870000" cy="28800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A9" w:rsidRPr="00C913FD" w:rsidRDefault="00574523" w:rsidP="00CD39A9">
      <w:pPr>
        <w:pStyle w:val="Legenda"/>
        <w:rPr>
          <w:rFonts w:ascii="Garamond" w:hAnsi="Garamond"/>
          <w:i w:val="0"/>
          <w:sz w:val="20"/>
          <w:szCs w:val="20"/>
        </w:rPr>
      </w:pPr>
      <w:r>
        <w:rPr>
          <w:rFonts w:ascii="Garamond" w:hAnsi="Garamond"/>
          <w:i w:val="0"/>
          <w:sz w:val="20"/>
          <w:szCs w:val="20"/>
        </w:rPr>
        <w:t xml:space="preserve">Supplementary </w:t>
      </w:r>
      <w:r w:rsidR="00CD39A9" w:rsidRPr="00C913FD">
        <w:rPr>
          <w:rFonts w:ascii="Garamond" w:hAnsi="Garamond"/>
          <w:i w:val="0"/>
          <w:sz w:val="20"/>
          <w:szCs w:val="20"/>
        </w:rPr>
        <w:t xml:space="preserve">Figure </w:t>
      </w:r>
      <w:r w:rsidR="00526582">
        <w:rPr>
          <w:rFonts w:ascii="Garamond" w:hAnsi="Garamond"/>
          <w:i w:val="0"/>
          <w:sz w:val="20"/>
          <w:szCs w:val="20"/>
        </w:rPr>
        <w:t>5</w:t>
      </w:r>
      <w:r w:rsidR="00CD39A9" w:rsidRPr="00C913FD">
        <w:rPr>
          <w:rFonts w:ascii="Garamond" w:hAnsi="Garamond"/>
          <w:i w:val="0"/>
          <w:sz w:val="20"/>
          <w:szCs w:val="20"/>
        </w:rPr>
        <w:t xml:space="preserve">. </w:t>
      </w:r>
      <w:r w:rsidR="00CD39A9" w:rsidRPr="00C913FD">
        <w:rPr>
          <w:rFonts w:ascii="Garamond" w:hAnsi="Garamond"/>
          <w:i w:val="0"/>
          <w:sz w:val="20"/>
          <w:szCs w:val="20"/>
          <w:lang w:val="en-GB"/>
        </w:rPr>
        <w:t>Schematic visualisation of the experimental procedure in Experiment 2 (emotional context). Task (orally translate vs. read aloud) was colour coded and task-colour assignment was counterbalanced across participants.</w:t>
      </w:r>
    </w:p>
    <w:p w:rsidR="00CD39A9" w:rsidRDefault="00CD39A9" w:rsidP="00CD39A9">
      <w:pPr>
        <w:pStyle w:val="Tekstpodstawowy"/>
        <w:keepNext/>
      </w:pPr>
      <w:r>
        <w:rPr>
          <w:noProof/>
        </w:rPr>
        <w:drawing>
          <wp:inline distT="0" distB="0" distL="0" distR="0" wp14:anchorId="7B5779D0" wp14:editId="65E91E37">
            <wp:extent cx="5969000" cy="29870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A9" w:rsidRPr="004B02EA" w:rsidRDefault="00574523" w:rsidP="00CD39A9">
      <w:pPr>
        <w:pStyle w:val="Legenda"/>
        <w:rPr>
          <w:rFonts w:ascii="Garamond" w:hAnsi="Garamond"/>
          <w:i w:val="0"/>
          <w:sz w:val="20"/>
          <w:szCs w:val="20"/>
        </w:rPr>
      </w:pPr>
      <w:r>
        <w:rPr>
          <w:rFonts w:ascii="Garamond" w:hAnsi="Garamond"/>
          <w:i w:val="0"/>
          <w:sz w:val="20"/>
          <w:szCs w:val="20"/>
        </w:rPr>
        <w:t xml:space="preserve">Supplementary </w:t>
      </w:r>
      <w:r w:rsidR="00CD39A9" w:rsidRPr="32FA0D4A">
        <w:rPr>
          <w:rFonts w:ascii="Garamond" w:hAnsi="Garamond"/>
          <w:i w:val="0"/>
          <w:sz w:val="20"/>
          <w:szCs w:val="20"/>
        </w:rPr>
        <w:t xml:space="preserve">Figure </w:t>
      </w:r>
      <w:r w:rsidR="00526582">
        <w:rPr>
          <w:rFonts w:ascii="Garamond" w:hAnsi="Garamond"/>
          <w:i w:val="0"/>
          <w:sz w:val="20"/>
          <w:szCs w:val="20"/>
        </w:rPr>
        <w:t>6</w:t>
      </w:r>
      <w:r w:rsidR="00CD39A9" w:rsidRPr="32FA0D4A">
        <w:rPr>
          <w:rFonts w:ascii="Garamond" w:hAnsi="Garamond"/>
          <w:i w:val="0"/>
          <w:sz w:val="20"/>
          <w:szCs w:val="20"/>
        </w:rPr>
        <w:t>. Mean reaction times when translating or reading aloud English and Polish (left panel) and negative and neutral (right panel) words (Experiment 2). Error bars represent 95% confidence intervals (CI).</w:t>
      </w:r>
    </w:p>
    <w:p w:rsidR="00CD39A9" w:rsidRDefault="00CD39A9" w:rsidP="00CD39A9">
      <w:pPr>
        <w:pStyle w:val="Tekstpodstawowy"/>
        <w:keepNext/>
        <w:jc w:val="center"/>
      </w:pPr>
      <w:r>
        <w:rPr>
          <w:noProof/>
        </w:rPr>
        <w:lastRenderedPageBreak/>
        <w:drawing>
          <wp:inline distT="0" distB="0" distL="0" distR="0" wp14:anchorId="344ABCDC" wp14:editId="323C082F">
            <wp:extent cx="3657600" cy="3657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15" w:rsidRPr="00BD4708" w:rsidRDefault="00574523" w:rsidP="00043C15">
      <w:pPr>
        <w:pStyle w:val="Legenda"/>
        <w:rPr>
          <w:rFonts w:ascii="Garamond" w:hAnsi="Garamond"/>
          <w:i w:val="0"/>
          <w:sz w:val="20"/>
          <w:szCs w:val="20"/>
        </w:rPr>
      </w:pPr>
      <w:r>
        <w:rPr>
          <w:rFonts w:ascii="Garamond" w:hAnsi="Garamond"/>
          <w:i w:val="0"/>
          <w:sz w:val="20"/>
          <w:szCs w:val="20"/>
        </w:rPr>
        <w:t xml:space="preserve">Supplementary </w:t>
      </w:r>
      <w:r w:rsidR="00CD39A9" w:rsidRPr="32FA0D4A">
        <w:rPr>
          <w:rFonts w:ascii="Garamond" w:hAnsi="Garamond"/>
          <w:i w:val="0"/>
          <w:sz w:val="20"/>
          <w:szCs w:val="20"/>
        </w:rPr>
        <w:t xml:space="preserve">Figure </w:t>
      </w:r>
      <w:r w:rsidR="00526582">
        <w:rPr>
          <w:rFonts w:ascii="Garamond" w:hAnsi="Garamond"/>
          <w:i w:val="0"/>
          <w:sz w:val="20"/>
          <w:szCs w:val="20"/>
        </w:rPr>
        <w:t>7</w:t>
      </w:r>
      <w:r w:rsidR="00CD39A9" w:rsidRPr="32FA0D4A">
        <w:rPr>
          <w:rFonts w:ascii="Garamond" w:hAnsi="Garamond"/>
          <w:i w:val="0"/>
          <w:sz w:val="20"/>
          <w:szCs w:val="20"/>
        </w:rPr>
        <w:t>. Mean accuracy to negative and neutral (right panel) words (Experiment 2). Error bars represent 95% confidence intervals (CI).</w:t>
      </w:r>
    </w:p>
    <w:p w:rsidR="00CD39A9" w:rsidRDefault="00526582">
      <w:bookmarkStart w:id="0" w:name="_GoBack"/>
      <w:r>
        <w:rPr>
          <w:noProof/>
        </w:rPr>
        <w:drawing>
          <wp:inline distT="0" distB="0" distL="0" distR="0" wp14:anchorId="014F6D44" wp14:editId="5F1F7D67">
            <wp:extent cx="5760720" cy="28803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6582" w:rsidRPr="00072154" w:rsidRDefault="00526582" w:rsidP="00526582">
      <w:pPr>
        <w:pStyle w:val="Legenda"/>
        <w:rPr>
          <w:rFonts w:cs="Times New Roman"/>
        </w:rPr>
      </w:pPr>
      <w:r>
        <w:rPr>
          <w:rFonts w:cs="Times New Roman"/>
          <w:i w:val="0"/>
        </w:rPr>
        <w:t xml:space="preserve">Supplementary </w:t>
      </w:r>
      <w:r w:rsidRPr="00072154">
        <w:rPr>
          <w:rFonts w:cs="Times New Roman"/>
          <w:i w:val="0"/>
        </w:rPr>
        <w:t xml:space="preserve">Figure </w:t>
      </w:r>
      <w:r>
        <w:rPr>
          <w:rFonts w:cs="Times New Roman"/>
          <w:i w:val="0"/>
        </w:rPr>
        <w:t>8</w:t>
      </w:r>
      <w:r w:rsidRPr="00072154">
        <w:rPr>
          <w:rFonts w:cs="Times New Roman"/>
          <w:i w:val="0"/>
        </w:rPr>
        <w:t xml:space="preserve">. EPN elicited by English and Polish words (Experiment 2). Waveforms illustrate brain potential variations computed via linear derivation from ten </w:t>
      </w:r>
      <w:proofErr w:type="spellStart"/>
      <w:r w:rsidRPr="00072154">
        <w:rPr>
          <w:rFonts w:cs="Times New Roman"/>
          <w:i w:val="0"/>
        </w:rPr>
        <w:t>parieto</w:t>
      </w:r>
      <w:proofErr w:type="spellEnd"/>
      <w:r w:rsidRPr="00072154">
        <w:rPr>
          <w:rFonts w:cs="Times New Roman"/>
          <w:i w:val="0"/>
        </w:rPr>
        <w:t xml:space="preserve">–occipital electrodes (O1, PO3, P3, P5, P7, O2, PO4, P4, P6, and P8). Time 0 coincides with word presentation onset. The topographic map represents the difference in EPN amplitude between negative and neutral words in the 200–300 </w:t>
      </w:r>
      <w:proofErr w:type="spellStart"/>
      <w:r w:rsidRPr="00072154">
        <w:rPr>
          <w:rFonts w:cs="Times New Roman"/>
          <w:i w:val="0"/>
        </w:rPr>
        <w:t>ms</w:t>
      </w:r>
      <w:proofErr w:type="spellEnd"/>
      <w:r w:rsidRPr="00072154">
        <w:rPr>
          <w:rFonts w:cs="Times New Roman"/>
          <w:i w:val="0"/>
        </w:rPr>
        <w:t xml:space="preserve"> window. The line plot represents mean EPN amplitude averaged over the electrodes of interest in the 200–300 window. Shaded areas (ERP plot) and error bars (line plot) depict 95% confidence intervals (CI).</w:t>
      </w:r>
    </w:p>
    <w:p w:rsidR="00526582" w:rsidRDefault="00526582"/>
    <w:sectPr w:rsidR="0052658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A9"/>
    <w:rsid w:val="00043C15"/>
    <w:rsid w:val="00526582"/>
    <w:rsid w:val="00574523"/>
    <w:rsid w:val="00A16324"/>
    <w:rsid w:val="00C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8FBB"/>
  <w15:chartTrackingRefBased/>
  <w15:docId w15:val="{8E08F21C-78AD-417C-8ACB-3451290C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39A9"/>
    <w:pPr>
      <w:spacing w:before="120" w:after="240" w:line="48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CD39A9"/>
    <w:pPr>
      <w:spacing w:before="180"/>
      <w:ind w:firstLine="680"/>
    </w:pPr>
  </w:style>
  <w:style w:type="character" w:customStyle="1" w:styleId="TekstpodstawowyZnak">
    <w:name w:val="Tekst podstawowy Znak"/>
    <w:basedOn w:val="Domylnaczcionkaakapitu"/>
    <w:link w:val="Tekstpodstawowy"/>
    <w:rsid w:val="00CD39A9"/>
    <w:rPr>
      <w:rFonts w:ascii="Times New Roman" w:hAnsi="Times New Roman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D39A9"/>
    <w:pPr>
      <w:spacing w:after="180" w:line="240" w:lineRule="auto"/>
      <w:ind w:firstLine="0"/>
    </w:pPr>
  </w:style>
  <w:style w:type="table" w:customStyle="1" w:styleId="Table">
    <w:name w:val="Table"/>
    <w:basedOn w:val="Standardowy"/>
    <w:uiPriority w:val="99"/>
    <w:rsid w:val="00CD39A9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12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top w:val="single" w:sz="8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TableCaption">
    <w:name w:val="Table Caption"/>
    <w:basedOn w:val="Legenda"/>
    <w:rsid w:val="00CD39A9"/>
    <w:pPr>
      <w:keepNext/>
      <w:spacing w:before="120" w:after="120" w:line="480" w:lineRule="auto"/>
    </w:pPr>
    <w:rPr>
      <w:iCs w:val="0"/>
      <w:color w:val="auto"/>
      <w:sz w:val="24"/>
      <w:szCs w:val="24"/>
    </w:rPr>
  </w:style>
  <w:style w:type="paragraph" w:styleId="Legenda">
    <w:name w:val="caption"/>
    <w:basedOn w:val="Normalny"/>
    <w:next w:val="Normalny"/>
    <w:link w:val="LegendaZnak"/>
    <w:unhideWhenUsed/>
    <w:qFormat/>
    <w:rsid w:val="00CD39A9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egendaZnak">
    <w:name w:val="Legenda Znak"/>
    <w:basedOn w:val="Domylnaczcionkaakapitu"/>
    <w:link w:val="Legenda"/>
    <w:rsid w:val="00CD39A9"/>
    <w:rPr>
      <w:rFonts w:ascii="Times New Roman" w:hAnsi="Times New Roman"/>
      <w:i/>
      <w:iCs/>
      <w:color w:val="44546A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png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40C8-041A-4710-993A-FB301754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Jończyk</dc:creator>
  <cp:keywords/>
  <dc:description/>
  <cp:lastModifiedBy>Rafał Jończyk</cp:lastModifiedBy>
  <cp:revision>2</cp:revision>
  <dcterms:created xsi:type="dcterms:W3CDTF">2023-05-08T08:01:00Z</dcterms:created>
  <dcterms:modified xsi:type="dcterms:W3CDTF">2024-01-24T20:30:00Z</dcterms:modified>
</cp:coreProperties>
</file>