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i w:val="1"/>
          <w:iCs w:val="1"/>
        </w:rPr>
      </w:pPr>
      <w:r>
        <w:rPr>
          <w:i w:val="1"/>
          <w:iCs w:val="1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-294497</wp:posOffset>
                </wp:positionH>
                <wp:positionV relativeFrom="line">
                  <wp:posOffset>-330200</wp:posOffset>
                </wp:positionV>
                <wp:extent cx="6670158" cy="8519180"/>
                <wp:effectExtent l="0" t="0" r="0" b="0"/>
                <wp:wrapTopAndBottom distT="152400" distB="152400"/>
                <wp:docPr id="1073741833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158" cy="8519180"/>
                          <a:chOff x="19447" y="177800"/>
                          <a:chExt cx="6670157" cy="8519179"/>
                        </a:xfrm>
                      </wpg:grpSpPr>
                      <wps:wsp>
                        <wps:cNvPr id="1073741825" name="A01"/>
                        <wps:cNvSpPr txBox="1"/>
                        <wps:spPr>
                          <a:xfrm>
                            <a:off x="19447" y="1399419"/>
                            <a:ext cx="621181" cy="2944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spacing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sz w:val="30"/>
                                  <w:szCs w:val="30"/>
                                  <w:rtl w:val="0"/>
                                  <w:lang w:val="fr-FR"/>
                                </w:rPr>
                                <w:t>A01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6" name="B02"/>
                        <wps:cNvSpPr txBox="1"/>
                        <wps:spPr>
                          <a:xfrm>
                            <a:off x="19447" y="3045362"/>
                            <a:ext cx="621181" cy="2944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spacing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sz w:val="30"/>
                                  <w:szCs w:val="30"/>
                                  <w:rtl w:val="0"/>
                                  <w:lang w:val="fr-FR"/>
                                </w:rPr>
                                <w:t>B02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7" name="C03"/>
                        <wps:cNvSpPr txBox="1"/>
                        <wps:spPr>
                          <a:xfrm>
                            <a:off x="19447" y="4606185"/>
                            <a:ext cx="621181" cy="2944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spacing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sz w:val="30"/>
                                  <w:szCs w:val="30"/>
                                  <w:rtl w:val="0"/>
                                  <w:lang w:val="fr-FR"/>
                                </w:rPr>
                                <w:t>C03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8" name="D04"/>
                        <wps:cNvSpPr txBox="1"/>
                        <wps:spPr>
                          <a:xfrm>
                            <a:off x="19447" y="6239578"/>
                            <a:ext cx="627215" cy="2972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spacing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sz w:val="30"/>
                                  <w:szCs w:val="30"/>
                                  <w:rtl w:val="0"/>
                                  <w:lang w:val="fr-FR"/>
                                </w:rPr>
                                <w:t>D04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E05"/>
                        <wps:cNvSpPr txBox="1"/>
                        <wps:spPr>
                          <a:xfrm>
                            <a:off x="19447" y="7705690"/>
                            <a:ext cx="627215" cy="2972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spacing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sz w:val="30"/>
                                  <w:szCs w:val="30"/>
                                  <w:rtl w:val="0"/>
                                  <w:lang w:val="fr-FR"/>
                                </w:rPr>
                                <w:t>E05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0" name="Fig 2. Weekly measures of mood instability (Internal State Scale), emotional dysregulation (DERS-16) and anxiety (BAI) scores in 10 subjects undergoing Imagery focused cognitive therapy during the baseline (B1-B4), treatment (T1-T10) and follow-up (F1-F4"/>
                        <wps:cNvSpPr txBox="1"/>
                        <wps:spPr>
                          <a:xfrm>
                            <a:off x="19447" y="177800"/>
                            <a:ext cx="6670158" cy="10245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spacing w:line="240" w:lineRule="auto"/>
                                <w:ind w:left="0" w:right="0" w:firstLine="0"/>
                              </w:pPr>
                              <w:r>
                                <w:rPr>
                                  <w:b w:val="1"/>
                                  <w:bCs w:val="1"/>
                                  <w:sz w:val="26"/>
                                  <w:szCs w:val="26"/>
                                  <w:rtl w:val="0"/>
                                  <w:lang w:val="fr-FR"/>
                                </w:rPr>
                                <w:t>Fig 2. W</w:t>
                              </w:r>
                              <w:r>
                                <w:rPr>
                                  <w:b w:val="1"/>
                                  <w:b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eekly measures of</w:t>
                              </w:r>
                              <w:r>
                                <w:rPr>
                                  <w:b w:val="1"/>
                                  <w:bCs w:val="1"/>
                                  <w:sz w:val="26"/>
                                  <w:szCs w:val="26"/>
                                  <w:rtl w:val="0"/>
                                  <w:lang w:val="fr-FR"/>
                                </w:rPr>
                                <w:t xml:space="preserve"> mood instability</w:t>
                              </w:r>
                              <w:r>
                                <w:rPr>
                                  <w:b w:val="1"/>
                                  <w:b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 (Internal State Scale), emotional dysregulation (DERS-16) and anxiety (BAI) scores in 10 subjects undergoing </w:t>
                              </w:r>
                              <w:r>
                                <w:rPr>
                                  <w:b w:val="1"/>
                                  <w:bCs w:val="1"/>
                                  <w:sz w:val="26"/>
                                  <w:szCs w:val="26"/>
                                  <w:rtl w:val="0"/>
                                  <w:lang w:val="fr-FR"/>
                                </w:rPr>
                                <w:t>Imagery focused</w:t>
                              </w:r>
                              <w:r>
                                <w:rPr>
                                  <w:b w:val="1"/>
                                  <w:bCs w:val="1"/>
                                  <w:sz w:val="26"/>
                                  <w:szCs w:val="26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26"/>
                                  <w:szCs w:val="26"/>
                                  <w:rtl w:val="0"/>
                                  <w:lang w:val="fr-FR"/>
                                </w:rPr>
                                <w:t xml:space="preserve">cognitive </w:t>
                              </w:r>
                              <w:r>
                                <w:rPr>
                                  <w:b w:val="1"/>
                                  <w:b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therapy during the baseline (B1-B4), treatment (T1-T10) and follow-up (F1-F4) phases </w:t>
                              </w:r>
                              <w:r>
                                <w:rPr>
                                  <w:rStyle w:val="Aucun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1" name="image-collée.png" descr="image-collé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4792" y="4079437"/>
                            <a:ext cx="5885366" cy="461754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2" name="image-collée.png" descr="image-collé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4792" y="942512"/>
                            <a:ext cx="5885366" cy="302637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23.2pt;margin-top:-26.0pt;width:525.2pt;height:670.8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19447,177800" coordsize="6670157,8519180">
                <w10:wrap type="topAndBottom" side="bothSides" anchorx="margin"/>
                <v:shape id="_x0000_s1027" type="#_x0000_t202" style="position:absolute;left:19447;top:1399419;width:621181;height:2944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spacing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sz w:val="30"/>
                            <w:szCs w:val="30"/>
                            <w:rtl w:val="0"/>
                            <w:lang w:val="fr-FR"/>
                          </w:rPr>
                          <w:t>A01</w:t>
                        </w:r>
                      </w:p>
                    </w:txbxContent>
                  </v:textbox>
                </v:shape>
                <v:shape id="_x0000_s1028" type="#_x0000_t202" style="position:absolute;left:19447;top:3045363;width:621181;height:2944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spacing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sz w:val="30"/>
                            <w:szCs w:val="30"/>
                            <w:rtl w:val="0"/>
                            <w:lang w:val="fr-FR"/>
                          </w:rPr>
                          <w:t>B02</w:t>
                        </w:r>
                      </w:p>
                    </w:txbxContent>
                  </v:textbox>
                </v:shape>
                <v:shape id="_x0000_s1029" type="#_x0000_t202" style="position:absolute;left:19447;top:4606185;width:621181;height:2944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spacing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sz w:val="30"/>
                            <w:szCs w:val="30"/>
                            <w:rtl w:val="0"/>
                            <w:lang w:val="fr-FR"/>
                          </w:rPr>
                          <w:t>C03</w:t>
                        </w:r>
                      </w:p>
                    </w:txbxContent>
                  </v:textbox>
                </v:shape>
                <v:shape id="_x0000_s1030" type="#_x0000_t202" style="position:absolute;left:19447;top:6239578;width:627215;height:29725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spacing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sz w:val="30"/>
                            <w:szCs w:val="30"/>
                            <w:rtl w:val="0"/>
                            <w:lang w:val="fr-FR"/>
                          </w:rPr>
                          <w:t>D04</w:t>
                        </w:r>
                      </w:p>
                    </w:txbxContent>
                  </v:textbox>
                </v:shape>
                <v:shape id="_x0000_s1031" type="#_x0000_t202" style="position:absolute;left:19447;top:7705691;width:627215;height:29725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spacing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sz w:val="30"/>
                            <w:szCs w:val="30"/>
                            <w:rtl w:val="0"/>
                            <w:lang w:val="fr-FR"/>
                          </w:rPr>
                          <w:t>E05</w:t>
                        </w:r>
                      </w:p>
                    </w:txbxContent>
                  </v:textbox>
                </v:shape>
                <v:shape id="_x0000_s1032" type="#_x0000_t202" style="position:absolute;left:19447;top:177800;width:6670157;height:102451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spacing w:line="240" w:lineRule="auto"/>
                          <w:ind w:left="0" w:right="0" w:firstLine="0"/>
                        </w:pPr>
                        <w:r>
                          <w:rPr>
                            <w:b w:val="1"/>
                            <w:bCs w:val="1"/>
                            <w:sz w:val="26"/>
                            <w:szCs w:val="26"/>
                            <w:rtl w:val="0"/>
                            <w:lang w:val="fr-FR"/>
                          </w:rPr>
                          <w:t>Fig 2. W</w:t>
                        </w:r>
                        <w:r>
                          <w:rPr>
                            <w:b w:val="1"/>
                            <w:bCs w:val="1"/>
                            <w:sz w:val="26"/>
                            <w:szCs w:val="26"/>
                            <w:rtl w:val="0"/>
                            <w:lang w:val="en-US"/>
                          </w:rPr>
                          <w:t>eekly measures of</w:t>
                        </w:r>
                        <w:r>
                          <w:rPr>
                            <w:b w:val="1"/>
                            <w:bCs w:val="1"/>
                            <w:sz w:val="26"/>
                            <w:szCs w:val="26"/>
                            <w:rtl w:val="0"/>
                            <w:lang w:val="fr-FR"/>
                          </w:rPr>
                          <w:t xml:space="preserve"> mood instability</w:t>
                        </w:r>
                        <w:r>
                          <w:rPr>
                            <w:b w:val="1"/>
                            <w:b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 (Internal State Scale), emotional dysregulation (DERS-16) and anxiety (BAI) scores in 10 subjects undergoing </w:t>
                        </w:r>
                        <w:r>
                          <w:rPr>
                            <w:b w:val="1"/>
                            <w:bCs w:val="1"/>
                            <w:sz w:val="26"/>
                            <w:szCs w:val="26"/>
                            <w:rtl w:val="0"/>
                            <w:lang w:val="fr-FR"/>
                          </w:rPr>
                          <w:t>Imagery focused</w:t>
                        </w:r>
                        <w:r>
                          <w:rPr>
                            <w:b w:val="1"/>
                            <w:bCs w:val="1"/>
                            <w:sz w:val="26"/>
                            <w:szCs w:val="26"/>
                            <w:rtl w:val="0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26"/>
                            <w:szCs w:val="26"/>
                            <w:rtl w:val="0"/>
                            <w:lang w:val="fr-FR"/>
                          </w:rPr>
                          <w:t xml:space="preserve">cognitive </w:t>
                        </w:r>
                        <w:r>
                          <w:rPr>
                            <w:b w:val="1"/>
                            <w:b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therapy during the baseline (B1-B4), treatment (T1-T10) and follow-up (F1-F4) phases </w:t>
                        </w:r>
                        <w:r>
                          <w:rPr>
                            <w:rStyle w:val="Aucun"/>
                            <w:b w:val="0"/>
                            <w:bCs w:val="0"/>
                            <w:sz w:val="24"/>
                            <w:szCs w:val="24"/>
                          </w:rPr>
                        </w:r>
                      </w:p>
                    </w:txbxContent>
                  </v:textbox>
                </v:shape>
                <v:shape id="_x0000_s1033" type="#_x0000_t75" style="position:absolute;left:784793;top:4079437;width:5885365;height:4617543;">
                  <v:imagedata r:id="rId4" o:title="image-collée.png"/>
                </v:shape>
                <v:shape id="_x0000_s1034" type="#_x0000_t75" style="position:absolute;left:784793;top:942513;width:5885365;height:3026377;">
                  <v:imagedata r:id="rId5" o:title="image-collée.png"/>
                </v:shape>
              </v:group>
            </w:pict>
          </mc:Fallback>
        </mc:AlternateContent>
      </w:r>
      <w:bookmarkStart w:name="FIG1" w:id="0"/>
      <w:bookmarkEnd w:id="0"/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-327221</wp:posOffset>
                </wp:positionH>
                <wp:positionV relativeFrom="line">
                  <wp:posOffset>-72980</wp:posOffset>
                </wp:positionV>
                <wp:extent cx="6841669" cy="9108874"/>
                <wp:effectExtent l="0" t="0" r="0" b="0"/>
                <wp:wrapNone/>
                <wp:docPr id="1073741843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669" cy="9108874"/>
                          <a:chOff x="0" y="0"/>
                          <a:chExt cx="6841668" cy="9108873"/>
                        </a:xfrm>
                      </wpg:grpSpPr>
                      <wps:wsp>
                        <wps:cNvPr id="1073741834" name="J10"/>
                        <wps:cNvSpPr txBox="1"/>
                        <wps:spPr>
                          <a:xfrm>
                            <a:off x="138069" y="7217576"/>
                            <a:ext cx="498340" cy="30039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spacing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sz w:val="30"/>
                                  <w:szCs w:val="30"/>
                                  <w:rtl w:val="0"/>
                                  <w:lang w:val="fr-FR"/>
                                </w:rPr>
                                <w:t>J10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5" name="F06"/>
                        <wps:cNvSpPr txBox="1"/>
                        <wps:spPr>
                          <a:xfrm>
                            <a:off x="0" y="548708"/>
                            <a:ext cx="636409" cy="3016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spacing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sz w:val="30"/>
                                  <w:szCs w:val="30"/>
                                  <w:rtl w:val="0"/>
                                  <w:lang w:val="fr-FR"/>
                                </w:rPr>
                                <w:t>F06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6" name="D07"/>
                        <wps:cNvSpPr txBox="1"/>
                        <wps:spPr>
                          <a:xfrm>
                            <a:off x="87051" y="2106416"/>
                            <a:ext cx="485614" cy="3083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spacing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sz w:val="30"/>
                                  <w:szCs w:val="30"/>
                                  <w:rtl w:val="0"/>
                                  <w:lang w:val="fr-FR"/>
                                </w:rPr>
                                <w:t>D07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7" name="H08"/>
                        <wps:cNvSpPr txBox="1"/>
                        <wps:spPr>
                          <a:xfrm>
                            <a:off x="1905" y="3920655"/>
                            <a:ext cx="650632" cy="3083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spacing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sz w:val="30"/>
                                  <w:szCs w:val="30"/>
                                  <w:rtl w:val="0"/>
                                  <w:lang w:val="fr-FR"/>
                                </w:rPr>
                                <w:t>H08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8" name="I09"/>
                        <wps:cNvSpPr txBox="1"/>
                        <wps:spPr>
                          <a:xfrm>
                            <a:off x="1905" y="5468165"/>
                            <a:ext cx="650632" cy="3083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spacing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sz w:val="30"/>
                                  <w:szCs w:val="30"/>
                                  <w:rtl w:val="0"/>
                                  <w:lang w:val="fr-FR"/>
                                </w:rPr>
                                <w:t>I09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9" name="The scoring method of the ISS uses the activation and the well-being subscales as measures of euthymia, depression, (hypo)mania or mixed state. Hypomania (ACT &gt; 155, WB &gt; 125), mixed state (ACT &gt; 155, WB &lt; 125), euthymia (ACT &lt; 155, WB &gt; 125), and depres"/>
                        <wps:cNvSpPr txBox="1"/>
                        <wps:spPr>
                          <a:xfrm>
                            <a:off x="87051" y="8149668"/>
                            <a:ext cx="6663674" cy="9592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Style de tableau 2"/>
                                <w:jc w:val="left"/>
                              </w:pPr>
                              <w:r>
                                <w:rPr>
                                  <w:rFonts w:ascii="Times Roman" w:hAnsi="Times Roman"/>
                                  <w:i w:val="1"/>
                                  <w:iCs w:val="1"/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The scoring method of the ISS uses the activation and the well-being subscales as measures of euthymia, depression, (hypo)mania or mixed state. Hypomania (ACT &gt; 155, WB &gt; 125), mixed state (ACT &gt; 155, WB &lt; 125), euthymia (ACT &lt; 155, WB &gt; 125), and depression (ACT &lt; 155, WB &lt; 125)</w:t>
                              </w:r>
                              <w:r>
                                <w:rPr>
                                  <w:rStyle w:val="Aucun"/>
                                  <w:rFonts w:ascii="Times Roman" w:hAnsi="Times Roman"/>
                                  <w:i w:val="1"/>
                                  <w:iCs w:val="1"/>
                                  <w:sz w:val="24"/>
                                  <w:szCs w:val="24"/>
                                  <w:rtl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40" name="image-collée.png" descr="image-collé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6408" y="0"/>
                            <a:ext cx="6205261" cy="814966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41" name="Rectangle"/>
                        <wps:cNvSpPr/>
                        <wps:spPr>
                          <a:xfrm>
                            <a:off x="87051" y="6585878"/>
                            <a:ext cx="6754618" cy="1563791"/>
                          </a:xfrm>
                          <a:prstGeom prst="rect">
                            <a:avLst/>
                          </a:prstGeom>
                          <a:solidFill>
                            <a:srgbClr val="8A8A8A">
                              <a:alpha val="1500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Rectangle"/>
                        <wps:cNvSpPr/>
                        <wps:spPr>
                          <a:xfrm>
                            <a:off x="87051" y="1632879"/>
                            <a:ext cx="6754618" cy="1563790"/>
                          </a:xfrm>
                          <a:prstGeom prst="rect">
                            <a:avLst/>
                          </a:prstGeom>
                          <a:solidFill>
                            <a:srgbClr val="8A8A8A">
                              <a:alpha val="1500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-25.8pt;margin-top:-5.7pt;width:538.7pt;height:717.2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6841668,9108873">
                <w10:wrap type="none" side="bothSides" anchorx="margin"/>
                <v:shape id="_x0000_s1036" type="#_x0000_t202" style="position:absolute;left:138070;top:7217577;width:498338;height:30039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spacing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sz w:val="30"/>
                            <w:szCs w:val="30"/>
                            <w:rtl w:val="0"/>
                            <w:lang w:val="fr-FR"/>
                          </w:rPr>
                          <w:t>J10</w:t>
                        </w:r>
                      </w:p>
                    </w:txbxContent>
                  </v:textbox>
                </v:shape>
                <v:shape id="_x0000_s1037" type="#_x0000_t202" style="position:absolute;left:0;top:548708;width:636408;height:30161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spacing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sz w:val="30"/>
                            <w:szCs w:val="30"/>
                            <w:rtl w:val="0"/>
                            <w:lang w:val="fr-FR"/>
                          </w:rPr>
                          <w:t>F06</w:t>
                        </w:r>
                      </w:p>
                    </w:txbxContent>
                  </v:textbox>
                </v:shape>
                <v:shape id="_x0000_s1038" type="#_x0000_t202" style="position:absolute;left:87051;top:2106416;width:485613;height:30835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spacing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sz w:val="30"/>
                            <w:szCs w:val="30"/>
                            <w:rtl w:val="0"/>
                            <w:lang w:val="fr-FR"/>
                          </w:rPr>
                          <w:t>D07</w:t>
                        </w:r>
                      </w:p>
                    </w:txbxContent>
                  </v:textbox>
                </v:shape>
                <v:shape id="_x0000_s1039" type="#_x0000_t202" style="position:absolute;left:1905;top:3920655;width:650631;height:30835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spacing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sz w:val="30"/>
                            <w:szCs w:val="30"/>
                            <w:rtl w:val="0"/>
                            <w:lang w:val="fr-FR"/>
                          </w:rPr>
                          <w:t>H08</w:t>
                        </w:r>
                      </w:p>
                    </w:txbxContent>
                  </v:textbox>
                </v:shape>
                <v:shape id="_x0000_s1040" type="#_x0000_t202" style="position:absolute;left:1905;top:5468165;width:650631;height:30835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spacing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sz w:val="30"/>
                            <w:szCs w:val="30"/>
                            <w:rtl w:val="0"/>
                            <w:lang w:val="fr-FR"/>
                          </w:rPr>
                          <w:t>I09</w:t>
                        </w:r>
                      </w:p>
                    </w:txbxContent>
                  </v:textbox>
                </v:shape>
                <v:shape id="_x0000_s1041" type="#_x0000_t202" style="position:absolute;left:87051;top:8149668;width:6663673;height:95920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Style de tableau 2"/>
                          <w:jc w:val="left"/>
                        </w:pPr>
                        <w:r>
                          <w:rPr>
                            <w:rFonts w:ascii="Times Roman" w:hAnsi="Times Roman"/>
                            <w:i w:val="1"/>
                            <w:iCs w:val="1"/>
                            <w:sz w:val="18"/>
                            <w:szCs w:val="18"/>
                            <w:rtl w:val="0"/>
                            <w:lang w:val="en-US"/>
                          </w:rPr>
                          <w:t>The scoring method of the ISS uses the activation and the well-being subscales as measures of euthymia, depression, (hypo)mania or mixed state. Hypomania (ACT &gt; 155, WB &gt; 125), mixed state (ACT &gt; 155, WB &lt; 125), euthymia (ACT &lt; 155, WB &gt; 125), and depression (ACT &lt; 155, WB &lt; 125)</w:t>
                        </w:r>
                        <w:r>
                          <w:rPr>
                            <w:rStyle w:val="Aucun"/>
                            <w:rFonts w:ascii="Times Roman" w:hAnsi="Times Roman"/>
                            <w:i w:val="1"/>
                            <w:iCs w:val="1"/>
                            <w:sz w:val="24"/>
                            <w:szCs w:val="24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2" type="#_x0000_t75" style="position:absolute;left:636408;top:0;width:6205260;height:8149668;">
                  <v:imagedata r:id="rId6" o:title="image-collée.png"/>
                </v:shape>
                <v:rect id="_x0000_s1043" style="position:absolute;left:87051;top:6585879;width:6754617;height:1563790;">
                  <v:fill color="#8A8A8A" opacity="15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4" style="position:absolute;left:87051;top:1632879;width:6754617;height:1563790;">
                  <v:fill color="#8A8A8A" opacity="15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</w:p>
    <w:p>
      <w:pPr>
        <w:pStyle w:val="Style de tableau 2"/>
        <w:jc w:val="left"/>
        <w:rPr>
          <w:rFonts w:ascii="Times Roman" w:cs="Times Roman" w:hAnsi="Times Roman" w:eastAsia="Times Roman"/>
          <w:i w:val="1"/>
          <w:iCs w:val="1"/>
          <w:sz w:val="18"/>
          <w:szCs w:val="18"/>
        </w:rPr>
      </w:pPr>
    </w:p>
    <w:p>
      <w:pPr>
        <w:pStyle w:val="Corps"/>
        <w:ind w:left="567" w:right="567" w:firstLine="0"/>
      </w:pPr>
    </w:p>
    <w:p>
      <w:pPr>
        <w:pStyle w:val="Corps"/>
        <w:ind w:left="567" w:right="567" w:firstLine="0"/>
      </w:pPr>
      <w:r/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283" w:right="284" w:firstLine="0"/>
      <w:jc w:val="both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Blank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179999" marR="180056" indent="0" algn="just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