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4F34" w14:textId="7470B4CC" w:rsidR="00DA3E20" w:rsidRPr="008D65FD" w:rsidRDefault="00DA3E20" w:rsidP="00B16C69">
      <w:pPr>
        <w:rPr>
          <w:b/>
          <w:color w:val="000000" w:themeColor="text1"/>
        </w:rPr>
      </w:pPr>
      <w:bookmarkStart w:id="0" w:name="_GoBack"/>
      <w:r w:rsidRPr="008D65FD">
        <w:rPr>
          <w:b/>
          <w:color w:val="000000" w:themeColor="text1"/>
        </w:rPr>
        <w:t>Supplementary Material</w:t>
      </w:r>
    </w:p>
    <w:p w14:paraId="22D4F351" w14:textId="5E8731FB" w:rsidR="00DA3E20" w:rsidRPr="008D65FD" w:rsidRDefault="00DA3E20" w:rsidP="00B16C69">
      <w:pPr>
        <w:rPr>
          <w:b/>
          <w:color w:val="000000" w:themeColor="text1"/>
        </w:rPr>
      </w:pPr>
    </w:p>
    <w:p w14:paraId="098F11CC" w14:textId="447D94DE" w:rsidR="007915B3" w:rsidRPr="008D65FD" w:rsidRDefault="00DA3E20" w:rsidP="0091744A">
      <w:pPr>
        <w:spacing w:line="480" w:lineRule="auto"/>
        <w:ind w:firstLine="720"/>
        <w:rPr>
          <w:color w:val="000000" w:themeColor="text1"/>
        </w:rPr>
      </w:pPr>
      <w:r w:rsidRPr="008D65FD">
        <w:rPr>
          <w:color w:val="000000" w:themeColor="text1"/>
        </w:rPr>
        <w:t xml:space="preserve">To determine if the results of the present </w:t>
      </w:r>
      <w:r w:rsidR="006E4D50" w:rsidRPr="008D65FD">
        <w:rPr>
          <w:color w:val="000000" w:themeColor="text1"/>
        </w:rPr>
        <w:t xml:space="preserve">study </w:t>
      </w:r>
      <w:r w:rsidRPr="008D65FD">
        <w:rPr>
          <w:color w:val="000000" w:themeColor="text1"/>
        </w:rPr>
        <w:t>were significantly affected by treatment modality (i.e.,</w:t>
      </w:r>
      <w:r w:rsidR="00B733B1" w:rsidRPr="008D65FD">
        <w:rPr>
          <w:color w:val="000000" w:themeColor="text1"/>
        </w:rPr>
        <w:t xml:space="preserve"> in-person treatment versus virtual treatment via videoconferencing)</w:t>
      </w:r>
      <w:r w:rsidRPr="008D65FD">
        <w:rPr>
          <w:color w:val="000000" w:themeColor="text1"/>
        </w:rPr>
        <w:t xml:space="preserve"> </w:t>
      </w:r>
      <w:r w:rsidR="00B733B1" w:rsidRPr="008D65FD">
        <w:rPr>
          <w:color w:val="000000" w:themeColor="text1"/>
        </w:rPr>
        <w:t>we reconducted the analyses</w:t>
      </w:r>
      <w:r w:rsidRPr="008D65FD">
        <w:rPr>
          <w:color w:val="000000" w:themeColor="text1"/>
        </w:rPr>
        <w:t>. Individuals that received hybrid treatment (</w:t>
      </w:r>
      <w:r w:rsidRPr="008D65FD">
        <w:rPr>
          <w:i/>
          <w:color w:val="000000" w:themeColor="text1"/>
        </w:rPr>
        <w:t>n</w:t>
      </w:r>
      <w:r w:rsidRPr="008D65FD">
        <w:rPr>
          <w:color w:val="000000" w:themeColor="text1"/>
        </w:rPr>
        <w:t xml:space="preserve"> = 3) were removed from these analyses. </w:t>
      </w:r>
    </w:p>
    <w:p w14:paraId="1DC67174" w14:textId="20C4D959" w:rsidR="007915B3" w:rsidRPr="008D65FD" w:rsidRDefault="009D7B57" w:rsidP="0091744A">
      <w:pPr>
        <w:spacing w:line="480" w:lineRule="auto"/>
        <w:ind w:firstLine="720"/>
        <w:rPr>
          <w:color w:val="000000" w:themeColor="text1"/>
        </w:rPr>
      </w:pPr>
      <w:r w:rsidRPr="008D65FD">
        <w:rPr>
          <w:color w:val="000000" w:themeColor="text1"/>
        </w:rPr>
        <w:t>Three</w:t>
      </w:r>
      <w:r w:rsidR="004D6C6F" w:rsidRPr="008D65FD">
        <w:rPr>
          <w:color w:val="000000" w:themeColor="text1"/>
        </w:rPr>
        <w:t xml:space="preserve"> </w:t>
      </w:r>
      <w:r w:rsidRPr="008D65FD">
        <w:rPr>
          <w:color w:val="000000" w:themeColor="text1"/>
        </w:rPr>
        <w:t xml:space="preserve">2 (in-person treatment, virtual treatment) x 2 (pre-treatment, post-treatment) </w:t>
      </w:r>
      <w:r w:rsidR="004D6C6F" w:rsidRPr="008D65FD">
        <w:rPr>
          <w:color w:val="000000" w:themeColor="text1"/>
        </w:rPr>
        <w:t>mixed ANOVAs</w:t>
      </w:r>
      <w:r w:rsidR="00663D62" w:rsidRPr="008D65FD">
        <w:rPr>
          <w:color w:val="000000" w:themeColor="text1"/>
        </w:rPr>
        <w:t xml:space="preserve">, with one between-subjects factor (treatment modality) and one within </w:t>
      </w:r>
      <w:proofErr w:type="gramStart"/>
      <w:r w:rsidR="00663D62" w:rsidRPr="008D65FD">
        <w:rPr>
          <w:color w:val="000000" w:themeColor="text1"/>
        </w:rPr>
        <w:t>subjects</w:t>
      </w:r>
      <w:proofErr w:type="gramEnd"/>
      <w:r w:rsidR="00663D62" w:rsidRPr="008D65FD">
        <w:rPr>
          <w:color w:val="000000" w:themeColor="text1"/>
        </w:rPr>
        <w:t xml:space="preserve"> factor (time) </w:t>
      </w:r>
      <w:r w:rsidRPr="008D65FD">
        <w:rPr>
          <w:color w:val="000000" w:themeColor="text1"/>
        </w:rPr>
        <w:t>were conducted to investigate whether changes in questionnaire</w:t>
      </w:r>
      <w:r w:rsidR="00663D62" w:rsidRPr="008D65FD">
        <w:rPr>
          <w:color w:val="000000" w:themeColor="text1"/>
        </w:rPr>
        <w:t xml:space="preserve"> (i.e., YBOCS-SR, HA, INC)</w:t>
      </w:r>
      <w:r w:rsidRPr="008D65FD">
        <w:rPr>
          <w:color w:val="000000" w:themeColor="text1"/>
        </w:rPr>
        <w:t xml:space="preserve"> scores over time differed by treatment modality.</w:t>
      </w:r>
      <w:r w:rsidR="00663D62" w:rsidRPr="008D65FD">
        <w:rPr>
          <w:color w:val="000000" w:themeColor="text1"/>
        </w:rPr>
        <w:t xml:space="preserve"> There w</w:t>
      </w:r>
      <w:r w:rsidR="007E69DD" w:rsidRPr="008D65FD">
        <w:rPr>
          <w:color w:val="000000" w:themeColor="text1"/>
        </w:rPr>
        <w:t>ere</w:t>
      </w:r>
      <w:r w:rsidR="00663D62" w:rsidRPr="008D65FD">
        <w:rPr>
          <w:color w:val="000000" w:themeColor="text1"/>
        </w:rPr>
        <w:t xml:space="preserve"> significant main effect</w:t>
      </w:r>
      <w:r w:rsidR="007E69DD" w:rsidRPr="008D65FD">
        <w:rPr>
          <w:color w:val="000000" w:themeColor="text1"/>
        </w:rPr>
        <w:t>s</w:t>
      </w:r>
      <w:r w:rsidR="00663D62" w:rsidRPr="008D65FD">
        <w:rPr>
          <w:color w:val="000000" w:themeColor="text1"/>
        </w:rPr>
        <w:t xml:space="preserve"> of time for YBOCS-SR </w:t>
      </w:r>
      <w:r w:rsidR="00EC5046" w:rsidRPr="008D65FD">
        <w:rPr>
          <w:color w:val="000000" w:themeColor="text1"/>
        </w:rPr>
        <w:t>[</w:t>
      </w:r>
      <w:r w:rsidR="00663D62" w:rsidRPr="008D65FD">
        <w:rPr>
          <w:i/>
          <w:color w:val="000000" w:themeColor="text1"/>
        </w:rPr>
        <w:t>F</w:t>
      </w:r>
      <w:r w:rsidR="00663D62" w:rsidRPr="008D65FD">
        <w:rPr>
          <w:color w:val="000000" w:themeColor="text1"/>
        </w:rPr>
        <w:t>(</w:t>
      </w:r>
      <w:r w:rsidR="007E69DD" w:rsidRPr="008D65FD">
        <w:rPr>
          <w:color w:val="000000" w:themeColor="text1"/>
        </w:rPr>
        <w:t>1,60) = 81.21</w:t>
      </w:r>
      <w:r w:rsidR="00663D62" w:rsidRPr="008D65FD">
        <w:rPr>
          <w:color w:val="000000" w:themeColor="text1"/>
        </w:rPr>
        <w:t>,</w:t>
      </w:r>
      <w:r w:rsidR="007E69DD" w:rsidRPr="008D65FD">
        <w:rPr>
          <w:color w:val="000000" w:themeColor="text1"/>
        </w:rPr>
        <w:t xml:space="preserve"> </w:t>
      </w:r>
      <w:r w:rsidR="007E69DD" w:rsidRPr="008D65FD">
        <w:rPr>
          <w:i/>
          <w:color w:val="000000" w:themeColor="text1"/>
        </w:rPr>
        <w:t>p</w:t>
      </w:r>
      <w:r w:rsidR="007E69DD" w:rsidRPr="008D65FD">
        <w:rPr>
          <w:color w:val="000000" w:themeColor="text1"/>
        </w:rPr>
        <w:t xml:space="preserve"> &lt; .0001, </w:t>
      </w:r>
      <w:r w:rsidR="00663D62" w:rsidRPr="008D65FD">
        <w:rPr>
          <w:color w:val="000000" w:themeColor="text1"/>
        </w:rPr>
        <w:t xml:space="preserve"> </w:t>
      </w:r>
      <w:r w:rsidR="007E69DD" w:rsidRPr="008D65FD">
        <w:rPr>
          <w:color w:val="000000" w:themeColor="text1"/>
        </w:rPr>
        <w:t>η</w:t>
      </w:r>
      <w:r w:rsidR="007E69DD" w:rsidRPr="008D65FD">
        <w:rPr>
          <w:color w:val="000000" w:themeColor="text1"/>
          <w:vertAlign w:val="superscript"/>
        </w:rPr>
        <w:t>2</w:t>
      </w:r>
      <w:r w:rsidR="007E69DD" w:rsidRPr="008D65FD">
        <w:rPr>
          <w:color w:val="000000" w:themeColor="text1"/>
        </w:rPr>
        <w:t xml:space="preserve"> = .575]</w:t>
      </w:r>
      <w:r w:rsidR="0091744A" w:rsidRPr="008D65FD">
        <w:rPr>
          <w:color w:val="000000" w:themeColor="text1"/>
        </w:rPr>
        <w:t xml:space="preserve">, </w:t>
      </w:r>
      <w:r w:rsidR="00663D62" w:rsidRPr="008D65FD">
        <w:rPr>
          <w:color w:val="000000" w:themeColor="text1"/>
        </w:rPr>
        <w:t>HA</w:t>
      </w:r>
      <w:r w:rsidR="00B56A68" w:rsidRPr="008D65FD">
        <w:rPr>
          <w:color w:val="000000" w:themeColor="text1"/>
        </w:rPr>
        <w:t xml:space="preserve"> [</w:t>
      </w:r>
      <w:r w:rsidR="00B56A68" w:rsidRPr="008D65FD">
        <w:rPr>
          <w:i/>
          <w:color w:val="000000" w:themeColor="text1"/>
        </w:rPr>
        <w:t>F</w:t>
      </w:r>
      <w:r w:rsidR="00B56A68" w:rsidRPr="008D65FD">
        <w:rPr>
          <w:color w:val="000000" w:themeColor="text1"/>
        </w:rPr>
        <w:t xml:space="preserve">(1,60) = </w:t>
      </w:r>
      <w:r w:rsidR="003F5CCB" w:rsidRPr="008D65FD">
        <w:rPr>
          <w:color w:val="000000" w:themeColor="text1"/>
        </w:rPr>
        <w:t>9</w:t>
      </w:r>
      <w:r w:rsidR="00B56A68" w:rsidRPr="008D65FD">
        <w:rPr>
          <w:color w:val="000000" w:themeColor="text1"/>
        </w:rPr>
        <w:t>.</w:t>
      </w:r>
      <w:r w:rsidR="003F5CCB" w:rsidRPr="008D65FD">
        <w:rPr>
          <w:color w:val="000000" w:themeColor="text1"/>
        </w:rPr>
        <w:t>03</w:t>
      </w:r>
      <w:r w:rsidR="00B56A68" w:rsidRPr="008D65FD">
        <w:rPr>
          <w:color w:val="000000" w:themeColor="text1"/>
        </w:rPr>
        <w:t xml:space="preserve">, </w:t>
      </w:r>
      <w:r w:rsidR="00B56A68" w:rsidRPr="008D65FD">
        <w:rPr>
          <w:i/>
          <w:color w:val="000000" w:themeColor="text1"/>
        </w:rPr>
        <w:t>p</w:t>
      </w:r>
      <w:r w:rsidR="003F5CCB" w:rsidRPr="008D65FD">
        <w:rPr>
          <w:color w:val="000000" w:themeColor="text1"/>
        </w:rPr>
        <w:t xml:space="preserve"> =</w:t>
      </w:r>
      <w:r w:rsidR="00B56A68" w:rsidRPr="008D65FD">
        <w:rPr>
          <w:color w:val="000000" w:themeColor="text1"/>
        </w:rPr>
        <w:t xml:space="preserve"> .00</w:t>
      </w:r>
      <w:r w:rsidR="003F5CCB" w:rsidRPr="008D65FD">
        <w:rPr>
          <w:color w:val="000000" w:themeColor="text1"/>
        </w:rPr>
        <w:t>4</w:t>
      </w:r>
      <w:r w:rsidR="00B56A68" w:rsidRPr="008D65FD">
        <w:rPr>
          <w:color w:val="000000" w:themeColor="text1"/>
        </w:rPr>
        <w:t>,  η</w:t>
      </w:r>
      <w:r w:rsidR="00B56A68" w:rsidRPr="008D65FD">
        <w:rPr>
          <w:color w:val="000000" w:themeColor="text1"/>
          <w:vertAlign w:val="superscript"/>
        </w:rPr>
        <w:t>2</w:t>
      </w:r>
      <w:r w:rsidR="00B56A68" w:rsidRPr="008D65FD">
        <w:rPr>
          <w:color w:val="000000" w:themeColor="text1"/>
        </w:rPr>
        <w:t xml:space="preserve"> = .</w:t>
      </w:r>
      <w:r w:rsidR="003F5CCB" w:rsidRPr="008D65FD">
        <w:rPr>
          <w:color w:val="000000" w:themeColor="text1"/>
        </w:rPr>
        <w:t>131</w:t>
      </w:r>
      <w:r w:rsidR="00B56A68" w:rsidRPr="008D65FD">
        <w:rPr>
          <w:color w:val="000000" w:themeColor="text1"/>
        </w:rPr>
        <w:t>]</w:t>
      </w:r>
      <w:r w:rsidR="00663D62" w:rsidRPr="008D65FD">
        <w:rPr>
          <w:color w:val="000000" w:themeColor="text1"/>
        </w:rPr>
        <w:t xml:space="preserve">, and INC </w:t>
      </w:r>
      <w:r w:rsidR="00B56A68" w:rsidRPr="008D65FD">
        <w:rPr>
          <w:color w:val="000000" w:themeColor="text1"/>
        </w:rPr>
        <w:t>[</w:t>
      </w:r>
      <w:r w:rsidR="00B56A68" w:rsidRPr="008D65FD">
        <w:rPr>
          <w:i/>
          <w:color w:val="000000" w:themeColor="text1"/>
        </w:rPr>
        <w:t>F</w:t>
      </w:r>
      <w:r w:rsidR="00B56A68" w:rsidRPr="008D65FD">
        <w:rPr>
          <w:color w:val="000000" w:themeColor="text1"/>
        </w:rPr>
        <w:t xml:space="preserve">(1,60) = </w:t>
      </w:r>
      <w:r w:rsidR="003079C2" w:rsidRPr="008D65FD">
        <w:rPr>
          <w:color w:val="000000" w:themeColor="text1"/>
        </w:rPr>
        <w:t>6</w:t>
      </w:r>
      <w:r w:rsidR="00B56A68" w:rsidRPr="008D65FD">
        <w:rPr>
          <w:color w:val="000000" w:themeColor="text1"/>
        </w:rPr>
        <w:t>.</w:t>
      </w:r>
      <w:r w:rsidR="003079C2" w:rsidRPr="008D65FD">
        <w:rPr>
          <w:color w:val="000000" w:themeColor="text1"/>
        </w:rPr>
        <w:t>83</w:t>
      </w:r>
      <w:r w:rsidR="00B56A68" w:rsidRPr="008D65FD">
        <w:rPr>
          <w:color w:val="000000" w:themeColor="text1"/>
        </w:rPr>
        <w:t xml:space="preserve">, </w:t>
      </w:r>
      <w:r w:rsidR="00B56A68" w:rsidRPr="008D65FD">
        <w:rPr>
          <w:i/>
          <w:color w:val="000000" w:themeColor="text1"/>
        </w:rPr>
        <w:t>p</w:t>
      </w:r>
      <w:r w:rsidR="00B56A68" w:rsidRPr="008D65FD">
        <w:rPr>
          <w:color w:val="000000" w:themeColor="text1"/>
        </w:rPr>
        <w:t xml:space="preserve"> </w:t>
      </w:r>
      <w:r w:rsidR="003079C2" w:rsidRPr="008D65FD">
        <w:rPr>
          <w:color w:val="000000" w:themeColor="text1"/>
        </w:rPr>
        <w:t>=</w:t>
      </w:r>
      <w:r w:rsidR="00B56A68" w:rsidRPr="008D65FD">
        <w:rPr>
          <w:color w:val="000000" w:themeColor="text1"/>
        </w:rPr>
        <w:t xml:space="preserve"> .</w:t>
      </w:r>
      <w:r w:rsidR="003079C2" w:rsidRPr="008D65FD">
        <w:rPr>
          <w:color w:val="000000" w:themeColor="text1"/>
        </w:rPr>
        <w:t>011</w:t>
      </w:r>
      <w:r w:rsidR="00B56A68" w:rsidRPr="008D65FD">
        <w:rPr>
          <w:color w:val="000000" w:themeColor="text1"/>
        </w:rPr>
        <w:t>,  η</w:t>
      </w:r>
      <w:r w:rsidR="00B56A68" w:rsidRPr="008D65FD">
        <w:rPr>
          <w:color w:val="000000" w:themeColor="text1"/>
          <w:vertAlign w:val="superscript"/>
        </w:rPr>
        <w:t>2</w:t>
      </w:r>
      <w:r w:rsidR="00B56A68" w:rsidRPr="008D65FD">
        <w:rPr>
          <w:color w:val="000000" w:themeColor="text1"/>
        </w:rPr>
        <w:t xml:space="preserve"> = .</w:t>
      </w:r>
      <w:r w:rsidR="003079C2" w:rsidRPr="008D65FD">
        <w:rPr>
          <w:color w:val="000000" w:themeColor="text1"/>
        </w:rPr>
        <w:t>102</w:t>
      </w:r>
      <w:r w:rsidR="00B56A68" w:rsidRPr="008D65FD">
        <w:rPr>
          <w:color w:val="000000" w:themeColor="text1"/>
        </w:rPr>
        <w:t>]</w:t>
      </w:r>
      <w:r w:rsidR="00663D62" w:rsidRPr="008D65FD">
        <w:rPr>
          <w:color w:val="000000" w:themeColor="text1"/>
        </w:rPr>
        <w:t>, which indicated there w</w:t>
      </w:r>
      <w:r w:rsidR="007E69DD" w:rsidRPr="008D65FD">
        <w:rPr>
          <w:color w:val="000000" w:themeColor="text1"/>
        </w:rPr>
        <w:t xml:space="preserve">ere </w:t>
      </w:r>
      <w:r w:rsidR="00663D62" w:rsidRPr="008D65FD">
        <w:rPr>
          <w:color w:val="000000" w:themeColor="text1"/>
        </w:rPr>
        <w:t>significant decrease</w:t>
      </w:r>
      <w:r w:rsidR="007E69DD" w:rsidRPr="008D65FD">
        <w:rPr>
          <w:color w:val="000000" w:themeColor="text1"/>
        </w:rPr>
        <w:t xml:space="preserve">s </w:t>
      </w:r>
      <w:r w:rsidR="00663D62" w:rsidRPr="008D65FD">
        <w:rPr>
          <w:color w:val="000000" w:themeColor="text1"/>
        </w:rPr>
        <w:t xml:space="preserve">in questionnaire scores over time. There was no significant main effect of treatment modality for YBOCS-SR </w:t>
      </w:r>
      <w:r w:rsidR="00B56A68" w:rsidRPr="008D65FD">
        <w:rPr>
          <w:color w:val="000000" w:themeColor="text1"/>
        </w:rPr>
        <w:t>[</w:t>
      </w:r>
      <w:r w:rsidR="00B56A68" w:rsidRPr="008D65FD">
        <w:rPr>
          <w:i/>
          <w:color w:val="000000" w:themeColor="text1"/>
        </w:rPr>
        <w:t>F</w:t>
      </w:r>
      <w:r w:rsidR="00B56A68" w:rsidRPr="008D65FD">
        <w:rPr>
          <w:color w:val="000000" w:themeColor="text1"/>
        </w:rPr>
        <w:t xml:space="preserve">(1,60) = .23, </w:t>
      </w:r>
      <w:r w:rsidR="00B56A68" w:rsidRPr="008D65FD">
        <w:rPr>
          <w:i/>
          <w:color w:val="000000" w:themeColor="text1"/>
        </w:rPr>
        <w:t>p</w:t>
      </w:r>
      <w:r w:rsidR="00B56A68" w:rsidRPr="008D65FD">
        <w:rPr>
          <w:color w:val="000000" w:themeColor="text1"/>
        </w:rPr>
        <w:t xml:space="preserve"> = .626,  η</w:t>
      </w:r>
      <w:r w:rsidR="00B56A68" w:rsidRPr="008D65FD">
        <w:rPr>
          <w:color w:val="000000" w:themeColor="text1"/>
          <w:vertAlign w:val="superscript"/>
        </w:rPr>
        <w:t>2</w:t>
      </w:r>
      <w:r w:rsidR="00B56A68" w:rsidRPr="008D65FD">
        <w:rPr>
          <w:color w:val="000000" w:themeColor="text1"/>
        </w:rPr>
        <w:t xml:space="preserve"> = .004] </w:t>
      </w:r>
      <w:r w:rsidR="00663D62" w:rsidRPr="008D65FD">
        <w:rPr>
          <w:color w:val="000000" w:themeColor="text1"/>
        </w:rPr>
        <w:t>or HA</w:t>
      </w:r>
      <w:r w:rsidR="003079C2" w:rsidRPr="008D65FD">
        <w:rPr>
          <w:color w:val="000000" w:themeColor="text1"/>
        </w:rPr>
        <w:t xml:space="preserve"> [</w:t>
      </w:r>
      <w:r w:rsidR="003079C2" w:rsidRPr="008D65FD">
        <w:rPr>
          <w:i/>
          <w:color w:val="000000" w:themeColor="text1"/>
        </w:rPr>
        <w:t>F</w:t>
      </w:r>
      <w:r w:rsidR="003079C2" w:rsidRPr="008D65FD">
        <w:rPr>
          <w:color w:val="000000" w:themeColor="text1"/>
        </w:rPr>
        <w:t xml:space="preserve">(1,60) = 2.77, </w:t>
      </w:r>
      <w:r w:rsidR="003079C2" w:rsidRPr="008D65FD">
        <w:rPr>
          <w:i/>
          <w:color w:val="000000" w:themeColor="text1"/>
        </w:rPr>
        <w:t>p</w:t>
      </w:r>
      <w:r w:rsidR="003079C2" w:rsidRPr="008D65FD">
        <w:rPr>
          <w:color w:val="000000" w:themeColor="text1"/>
        </w:rPr>
        <w:t xml:space="preserve"> = .101,  η</w:t>
      </w:r>
      <w:r w:rsidR="003079C2" w:rsidRPr="008D65FD">
        <w:rPr>
          <w:color w:val="000000" w:themeColor="text1"/>
          <w:vertAlign w:val="superscript"/>
        </w:rPr>
        <w:t>2</w:t>
      </w:r>
      <w:r w:rsidR="003079C2" w:rsidRPr="008D65FD">
        <w:rPr>
          <w:color w:val="000000" w:themeColor="text1"/>
        </w:rPr>
        <w:t xml:space="preserve"> = .044]</w:t>
      </w:r>
      <w:r w:rsidR="00663D62" w:rsidRPr="008D65FD">
        <w:rPr>
          <w:color w:val="000000" w:themeColor="text1"/>
        </w:rPr>
        <w:t>, however, there was for INC</w:t>
      </w:r>
      <w:r w:rsidR="00170596" w:rsidRPr="008D65FD">
        <w:rPr>
          <w:color w:val="000000" w:themeColor="text1"/>
        </w:rPr>
        <w:t xml:space="preserve"> </w:t>
      </w:r>
      <w:r w:rsidR="002F28ED" w:rsidRPr="008D65FD">
        <w:rPr>
          <w:color w:val="000000" w:themeColor="text1"/>
        </w:rPr>
        <w:t>[</w:t>
      </w:r>
      <w:r w:rsidR="002F28ED" w:rsidRPr="008D65FD">
        <w:rPr>
          <w:i/>
          <w:color w:val="000000" w:themeColor="text1"/>
        </w:rPr>
        <w:t>F</w:t>
      </w:r>
      <w:r w:rsidR="002F28ED" w:rsidRPr="008D65FD">
        <w:rPr>
          <w:color w:val="000000" w:themeColor="text1"/>
        </w:rPr>
        <w:t xml:space="preserve">(1,60) = 5.36, </w:t>
      </w:r>
      <w:r w:rsidR="002F28ED" w:rsidRPr="008D65FD">
        <w:rPr>
          <w:i/>
          <w:color w:val="000000" w:themeColor="text1"/>
        </w:rPr>
        <w:t>p</w:t>
      </w:r>
      <w:r w:rsidR="002F28ED" w:rsidRPr="008D65FD">
        <w:rPr>
          <w:color w:val="000000" w:themeColor="text1"/>
        </w:rPr>
        <w:t xml:space="preserve"> = .024,  η</w:t>
      </w:r>
      <w:r w:rsidR="002F28ED" w:rsidRPr="008D65FD">
        <w:rPr>
          <w:color w:val="000000" w:themeColor="text1"/>
          <w:vertAlign w:val="superscript"/>
        </w:rPr>
        <w:t>2</w:t>
      </w:r>
      <w:r w:rsidR="002F28ED" w:rsidRPr="008D65FD">
        <w:rPr>
          <w:color w:val="000000" w:themeColor="text1"/>
        </w:rPr>
        <w:t xml:space="preserve"> = .082]</w:t>
      </w:r>
      <w:r w:rsidR="00663D62" w:rsidRPr="008D65FD">
        <w:rPr>
          <w:color w:val="000000" w:themeColor="text1"/>
        </w:rPr>
        <w:t xml:space="preserve">. </w:t>
      </w:r>
      <w:r w:rsidR="006B084D" w:rsidRPr="008D65FD">
        <w:rPr>
          <w:color w:val="000000" w:themeColor="text1"/>
        </w:rPr>
        <w:t>Average scores on INC were significantly higher for those that completed treatment virtually (</w:t>
      </w:r>
      <w:r w:rsidR="006B084D" w:rsidRPr="008D65FD">
        <w:rPr>
          <w:i/>
          <w:color w:val="000000" w:themeColor="text1"/>
        </w:rPr>
        <w:t>M</w:t>
      </w:r>
      <w:r w:rsidR="006B084D" w:rsidRPr="008D65FD">
        <w:rPr>
          <w:color w:val="000000" w:themeColor="text1"/>
        </w:rPr>
        <w:t xml:space="preserve"> = 24.42, </w:t>
      </w:r>
      <w:r w:rsidR="006B084D" w:rsidRPr="008D65FD">
        <w:rPr>
          <w:i/>
          <w:color w:val="000000" w:themeColor="text1"/>
        </w:rPr>
        <w:t>SE</w:t>
      </w:r>
      <w:r w:rsidR="006B084D" w:rsidRPr="008D65FD">
        <w:rPr>
          <w:color w:val="000000" w:themeColor="text1"/>
        </w:rPr>
        <w:t xml:space="preserve"> = 1.29) than in-person (</w:t>
      </w:r>
      <w:r w:rsidR="006B084D" w:rsidRPr="008D65FD">
        <w:rPr>
          <w:i/>
          <w:color w:val="000000" w:themeColor="text1"/>
        </w:rPr>
        <w:t>M</w:t>
      </w:r>
      <w:r w:rsidR="006B084D" w:rsidRPr="008D65FD">
        <w:rPr>
          <w:color w:val="000000" w:themeColor="text1"/>
        </w:rPr>
        <w:t xml:space="preserve"> = 18.74, </w:t>
      </w:r>
      <w:r w:rsidR="006B084D" w:rsidRPr="008D65FD">
        <w:rPr>
          <w:i/>
          <w:color w:val="000000" w:themeColor="text1"/>
        </w:rPr>
        <w:t>SE</w:t>
      </w:r>
      <w:r w:rsidR="006B084D" w:rsidRPr="008D65FD">
        <w:rPr>
          <w:color w:val="000000" w:themeColor="text1"/>
        </w:rPr>
        <w:t xml:space="preserve"> = 2.09)</w:t>
      </w:r>
      <w:r w:rsidR="00B965B8" w:rsidRPr="008D65FD">
        <w:rPr>
          <w:color w:val="000000" w:themeColor="text1"/>
        </w:rPr>
        <w:t xml:space="preserve">. </w:t>
      </w:r>
      <w:r w:rsidR="00663D62" w:rsidRPr="008D65FD">
        <w:rPr>
          <w:color w:val="000000" w:themeColor="text1"/>
        </w:rPr>
        <w:t xml:space="preserve">Importantly, there were no significant interaction effects between </w:t>
      </w:r>
      <w:r w:rsidR="004F6148" w:rsidRPr="008D65FD">
        <w:rPr>
          <w:color w:val="000000" w:themeColor="text1"/>
        </w:rPr>
        <w:t xml:space="preserve">time and treatment modality for all questionnaires (all </w:t>
      </w:r>
      <w:proofErr w:type="spellStart"/>
      <w:r w:rsidR="004F6148" w:rsidRPr="008D65FD">
        <w:rPr>
          <w:i/>
          <w:color w:val="000000" w:themeColor="text1"/>
        </w:rPr>
        <w:t>p</w:t>
      </w:r>
      <w:r w:rsidR="004F6148" w:rsidRPr="008D65FD">
        <w:rPr>
          <w:color w:val="000000" w:themeColor="text1"/>
        </w:rPr>
        <w:t>s</w:t>
      </w:r>
      <w:proofErr w:type="spellEnd"/>
      <w:r w:rsidR="004F6148" w:rsidRPr="008D65FD">
        <w:rPr>
          <w:color w:val="000000" w:themeColor="text1"/>
        </w:rPr>
        <w:t xml:space="preserve"> &gt; .05)</w:t>
      </w:r>
      <w:r w:rsidR="00D54050" w:rsidRPr="008D65FD">
        <w:rPr>
          <w:color w:val="000000" w:themeColor="text1"/>
        </w:rPr>
        <w:t xml:space="preserve"> which indicated that changes in questionnaire scores over time did not significantly differ by treatment modality. </w:t>
      </w:r>
    </w:p>
    <w:p w14:paraId="1A2B68D4" w14:textId="6E57F9B0" w:rsidR="00C80C79" w:rsidRPr="008D65FD" w:rsidRDefault="009D7B57" w:rsidP="0091744A">
      <w:pPr>
        <w:spacing w:line="480" w:lineRule="auto"/>
        <w:ind w:firstLine="720"/>
        <w:rPr>
          <w:color w:val="000000" w:themeColor="text1"/>
        </w:rPr>
      </w:pPr>
      <w:r w:rsidRPr="008D65FD">
        <w:rPr>
          <w:color w:val="000000" w:themeColor="text1"/>
        </w:rPr>
        <w:t>When treatment modality was added into the four series of hierarchical linear mixed models</w:t>
      </w:r>
      <w:r w:rsidR="00170596" w:rsidRPr="008D65FD">
        <w:rPr>
          <w:color w:val="000000" w:themeColor="text1"/>
        </w:rPr>
        <w:t xml:space="preserve">, the findings indicated </w:t>
      </w:r>
      <w:r w:rsidR="00B733B1" w:rsidRPr="008D65FD">
        <w:rPr>
          <w:color w:val="000000" w:themeColor="text1"/>
        </w:rPr>
        <w:t xml:space="preserve">that </w:t>
      </w:r>
      <w:r w:rsidR="00C80C79" w:rsidRPr="008D65FD">
        <w:rPr>
          <w:color w:val="000000" w:themeColor="text1"/>
        </w:rPr>
        <w:t>there were no significant effects</w:t>
      </w:r>
      <w:r w:rsidR="008C18CE" w:rsidRPr="008D65FD">
        <w:rPr>
          <w:color w:val="000000" w:themeColor="text1"/>
        </w:rPr>
        <w:t xml:space="preserve">, </w:t>
      </w:r>
      <w:r w:rsidR="00C80C79" w:rsidRPr="008D65FD">
        <w:rPr>
          <w:color w:val="000000" w:themeColor="text1"/>
        </w:rPr>
        <w:t xml:space="preserve">across </w:t>
      </w:r>
      <w:r w:rsidR="00D9683B" w:rsidRPr="008D65FD">
        <w:rPr>
          <w:color w:val="000000" w:themeColor="text1"/>
        </w:rPr>
        <w:t xml:space="preserve">all four </w:t>
      </w:r>
      <w:r w:rsidR="00C80C79" w:rsidRPr="008D65FD">
        <w:rPr>
          <w:color w:val="000000" w:themeColor="text1"/>
        </w:rPr>
        <w:t>models</w:t>
      </w:r>
      <w:r w:rsidR="008C18CE" w:rsidRPr="008D65FD">
        <w:rPr>
          <w:color w:val="000000" w:themeColor="text1"/>
        </w:rPr>
        <w:t>,</w:t>
      </w:r>
      <w:r w:rsidR="00C80C79" w:rsidRPr="008D65FD">
        <w:rPr>
          <w:color w:val="000000" w:themeColor="text1"/>
        </w:rPr>
        <w:t xml:space="preserve"> of treatment modality or</w:t>
      </w:r>
      <w:r w:rsidR="008C18CE" w:rsidRPr="008D65FD">
        <w:rPr>
          <w:color w:val="000000" w:themeColor="text1"/>
        </w:rPr>
        <w:t xml:space="preserve"> modality x HA or INC interactions on OCD treatment outcome (see Table 5). </w:t>
      </w:r>
      <w:r w:rsidR="00802DA5" w:rsidRPr="008D65FD">
        <w:rPr>
          <w:color w:val="000000" w:themeColor="text1"/>
        </w:rPr>
        <w:t xml:space="preserve">Therefore, the results of this present study do not appear to be significantly affected by treatment modality, </w:t>
      </w:r>
    </w:p>
    <w:p w14:paraId="4598CE5A" w14:textId="77777777" w:rsidR="00B733B1" w:rsidRPr="008D65FD" w:rsidRDefault="00B733B1" w:rsidP="0091744A">
      <w:pPr>
        <w:spacing w:line="480" w:lineRule="auto"/>
        <w:rPr>
          <w:color w:val="000000" w:themeColor="text1"/>
        </w:rPr>
      </w:pPr>
    </w:p>
    <w:p w14:paraId="674435AB" w14:textId="3AD2F6DC" w:rsidR="00B733B1" w:rsidRPr="008D65FD" w:rsidRDefault="00C80C79" w:rsidP="0091744A">
      <w:pPr>
        <w:spacing w:line="480" w:lineRule="auto"/>
        <w:rPr>
          <w:b/>
          <w:color w:val="000000" w:themeColor="text1"/>
        </w:rPr>
      </w:pPr>
      <w:r w:rsidRPr="008D65FD">
        <w:rPr>
          <w:b/>
          <w:color w:val="000000" w:themeColor="text1"/>
        </w:rPr>
        <w:t>Table 5</w:t>
      </w:r>
    </w:p>
    <w:p w14:paraId="7CF17864" w14:textId="4A55335B" w:rsidR="00BF5EE8" w:rsidRPr="008D65FD" w:rsidRDefault="00CD076A" w:rsidP="0091744A">
      <w:pPr>
        <w:spacing w:line="480" w:lineRule="auto"/>
        <w:rPr>
          <w:i/>
          <w:color w:val="000000" w:themeColor="text1"/>
        </w:rPr>
      </w:pPr>
      <w:r w:rsidRPr="008D65FD">
        <w:rPr>
          <w:i/>
          <w:color w:val="000000" w:themeColor="text1"/>
        </w:rPr>
        <w:t xml:space="preserve">Updated </w:t>
      </w:r>
      <w:r w:rsidR="00C80C79" w:rsidRPr="008D65FD">
        <w:rPr>
          <w:i/>
          <w:color w:val="000000" w:themeColor="text1"/>
        </w:rPr>
        <w:t xml:space="preserve">hierarchical linear mixed </w:t>
      </w:r>
      <w:r w:rsidRPr="008D65FD">
        <w:rPr>
          <w:i/>
          <w:color w:val="000000" w:themeColor="text1"/>
        </w:rPr>
        <w:t>models</w:t>
      </w:r>
      <w:r w:rsidR="008C18CE" w:rsidRPr="008D65FD">
        <w:rPr>
          <w:i/>
          <w:color w:val="000000" w:themeColor="text1"/>
        </w:rPr>
        <w:t xml:space="preserve"> that</w:t>
      </w:r>
      <w:r w:rsidRPr="008D65FD">
        <w:rPr>
          <w:i/>
          <w:color w:val="000000" w:themeColor="text1"/>
        </w:rPr>
        <w:t xml:space="preserve"> include </w:t>
      </w:r>
      <w:r w:rsidR="008C18CE" w:rsidRPr="008D65FD">
        <w:rPr>
          <w:i/>
          <w:color w:val="000000" w:themeColor="text1"/>
        </w:rPr>
        <w:t>m</w:t>
      </w:r>
      <w:r w:rsidRPr="008D65FD">
        <w:rPr>
          <w:i/>
          <w:color w:val="000000" w:themeColor="text1"/>
        </w:rPr>
        <w:t xml:space="preserve">odality, </w:t>
      </w:r>
      <w:r w:rsidR="008C18CE" w:rsidRPr="008D65FD">
        <w:rPr>
          <w:i/>
          <w:color w:val="000000" w:themeColor="text1"/>
        </w:rPr>
        <w:t>m</w:t>
      </w:r>
      <w:r w:rsidRPr="008D65FD">
        <w:rPr>
          <w:i/>
          <w:color w:val="000000" w:themeColor="text1"/>
        </w:rPr>
        <w:t xml:space="preserve">odality x HA and </w:t>
      </w:r>
      <w:r w:rsidR="008C18CE" w:rsidRPr="008D65FD">
        <w:rPr>
          <w:i/>
          <w:color w:val="000000" w:themeColor="text1"/>
        </w:rPr>
        <w:t>m</w:t>
      </w:r>
      <w:r w:rsidRPr="008D65FD">
        <w:rPr>
          <w:i/>
          <w:color w:val="000000" w:themeColor="text1"/>
        </w:rPr>
        <w:t xml:space="preserve">odality x INC interactions.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2768"/>
        <w:gridCol w:w="2022"/>
        <w:gridCol w:w="1490"/>
        <w:gridCol w:w="1170"/>
      </w:tblGrid>
      <w:tr w:rsidR="008D65FD" w:rsidRPr="008D65FD" w14:paraId="3C26E104" w14:textId="77777777" w:rsidTr="0091744A"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14:paraId="56A48F6F" w14:textId="77777777" w:rsidR="001B7777" w:rsidRPr="008D65FD" w:rsidRDefault="001B7777" w:rsidP="00B16C69">
            <w:pPr>
              <w:rPr>
                <w:color w:val="000000" w:themeColor="text1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</w:tcPr>
          <w:p w14:paraId="021F7FF4" w14:textId="77777777" w:rsidR="001B7777" w:rsidRPr="008D65FD" w:rsidRDefault="001B7777" w:rsidP="00B16C69">
            <w:pPr>
              <w:rPr>
                <w:color w:val="000000" w:themeColor="text1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14:paraId="0D7C52F7" w14:textId="77777777" w:rsidR="001B7777" w:rsidRPr="008D65FD" w:rsidRDefault="001B7777" w:rsidP="00C03615">
            <w:pPr>
              <w:jc w:val="center"/>
              <w:rPr>
                <w:b/>
                <w:color w:val="000000" w:themeColor="text1"/>
              </w:rPr>
            </w:pPr>
            <w:r w:rsidRPr="008D65FD">
              <w:rPr>
                <w:b/>
                <w:color w:val="000000" w:themeColor="text1"/>
              </w:rPr>
              <w:t>Beta (SE)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75877E5C" w14:textId="77777777" w:rsidR="001B7777" w:rsidRPr="008D65FD" w:rsidRDefault="001B7777" w:rsidP="00C03615">
            <w:pPr>
              <w:jc w:val="center"/>
              <w:rPr>
                <w:b/>
                <w:color w:val="000000" w:themeColor="text1"/>
              </w:rPr>
            </w:pPr>
            <w:r w:rsidRPr="008D65FD">
              <w:rPr>
                <w:b/>
                <w:color w:val="000000" w:themeColor="text1"/>
              </w:rPr>
              <w:t>Wald χ</w:t>
            </w:r>
            <w:r w:rsidRPr="008D65FD">
              <w:rPr>
                <w:b/>
                <w:color w:val="000000" w:themeColor="text1"/>
                <w:vertAlign w:val="superscript"/>
              </w:rPr>
              <w:t>2</w:t>
            </w:r>
            <w:r w:rsidRPr="008D65FD">
              <w:rPr>
                <w:b/>
                <w:color w:val="000000" w:themeColor="text1"/>
              </w:rPr>
              <w:t xml:space="preserve"> (df)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6A077BD7" w14:textId="77777777" w:rsidR="001B7777" w:rsidRPr="008D65FD" w:rsidRDefault="001B7777" w:rsidP="00C03615">
            <w:pPr>
              <w:jc w:val="center"/>
              <w:rPr>
                <w:b/>
                <w:i/>
                <w:color w:val="000000" w:themeColor="text1"/>
              </w:rPr>
            </w:pPr>
            <w:r w:rsidRPr="008D65FD">
              <w:rPr>
                <w:b/>
                <w:i/>
                <w:color w:val="000000" w:themeColor="text1"/>
              </w:rPr>
              <w:t>p</w:t>
            </w:r>
          </w:p>
        </w:tc>
      </w:tr>
      <w:tr w:rsidR="008D65FD" w:rsidRPr="008D65FD" w14:paraId="64CBC1FC" w14:textId="77777777" w:rsidTr="0091744A">
        <w:tc>
          <w:tcPr>
            <w:tcW w:w="1020" w:type="pct"/>
            <w:vMerge w:val="restart"/>
            <w:tcBorders>
              <w:top w:val="single" w:sz="4" w:space="0" w:color="auto"/>
            </w:tcBorders>
          </w:tcPr>
          <w:p w14:paraId="3A931E3C" w14:textId="77777777" w:rsidR="001B7777" w:rsidRPr="008D65FD" w:rsidRDefault="001B7777" w:rsidP="005B042B">
            <w:pPr>
              <w:rPr>
                <w:color w:val="000000" w:themeColor="text1"/>
              </w:rPr>
            </w:pPr>
            <w:bookmarkStart w:id="1" w:name="_Hlk153455228"/>
            <w:r w:rsidRPr="008D65FD">
              <w:rPr>
                <w:color w:val="000000" w:themeColor="text1"/>
              </w:rPr>
              <w:t>Model 1: Pre-Treatment HA and INC scores</w:t>
            </w:r>
          </w:p>
        </w:tc>
        <w:tc>
          <w:tcPr>
            <w:tcW w:w="1478" w:type="pct"/>
            <w:tcBorders>
              <w:top w:val="single" w:sz="4" w:space="0" w:color="auto"/>
            </w:tcBorders>
          </w:tcPr>
          <w:p w14:paraId="38FBBE16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YBOCS-pre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vAlign w:val="bottom"/>
          </w:tcPr>
          <w:p w14:paraId="2CB8271D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0.6280 (0.117)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bottom"/>
          </w:tcPr>
          <w:p w14:paraId="2FC14433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29.0 (1)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14:paraId="24622901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&lt; 0.0001</w:t>
            </w:r>
          </w:p>
        </w:tc>
      </w:tr>
      <w:tr w:rsidR="008D65FD" w:rsidRPr="008D65FD" w14:paraId="3D2E31EF" w14:textId="77777777" w:rsidTr="0091744A">
        <w:tc>
          <w:tcPr>
            <w:tcW w:w="1020" w:type="pct"/>
            <w:vMerge/>
          </w:tcPr>
          <w:p w14:paraId="77DDCA58" w14:textId="77777777" w:rsidR="001B7777" w:rsidRPr="008D65FD" w:rsidRDefault="001B7777" w:rsidP="005B042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12A87E18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HA-pre</w:t>
            </w:r>
          </w:p>
        </w:tc>
        <w:tc>
          <w:tcPr>
            <w:tcW w:w="1080" w:type="pct"/>
            <w:vAlign w:val="bottom"/>
          </w:tcPr>
          <w:p w14:paraId="64FA1663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-0.00432 (0.131)</w:t>
            </w:r>
          </w:p>
        </w:tc>
        <w:tc>
          <w:tcPr>
            <w:tcW w:w="796" w:type="pct"/>
            <w:vAlign w:val="bottom"/>
          </w:tcPr>
          <w:p w14:paraId="6939D297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0.0011 (1)</w:t>
            </w:r>
          </w:p>
        </w:tc>
        <w:tc>
          <w:tcPr>
            <w:tcW w:w="625" w:type="pct"/>
            <w:vAlign w:val="bottom"/>
          </w:tcPr>
          <w:p w14:paraId="6A50EA02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0.974</w:t>
            </w:r>
          </w:p>
        </w:tc>
      </w:tr>
      <w:tr w:rsidR="008D65FD" w:rsidRPr="008D65FD" w14:paraId="5EC1A1B6" w14:textId="77777777" w:rsidTr="0091744A">
        <w:tc>
          <w:tcPr>
            <w:tcW w:w="1020" w:type="pct"/>
            <w:vMerge/>
          </w:tcPr>
          <w:p w14:paraId="303E642F" w14:textId="77777777" w:rsidR="001B7777" w:rsidRPr="008D65FD" w:rsidRDefault="001B7777" w:rsidP="005B042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6496280D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INC-pre</w:t>
            </w:r>
          </w:p>
        </w:tc>
        <w:tc>
          <w:tcPr>
            <w:tcW w:w="1080" w:type="pct"/>
            <w:vAlign w:val="bottom"/>
          </w:tcPr>
          <w:p w14:paraId="6F8B77C7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0.0210 (0.126)</w:t>
            </w:r>
          </w:p>
        </w:tc>
        <w:tc>
          <w:tcPr>
            <w:tcW w:w="796" w:type="pct"/>
            <w:vAlign w:val="bottom"/>
          </w:tcPr>
          <w:p w14:paraId="547EED33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0.0277 (1)</w:t>
            </w:r>
          </w:p>
        </w:tc>
        <w:tc>
          <w:tcPr>
            <w:tcW w:w="625" w:type="pct"/>
            <w:vAlign w:val="bottom"/>
          </w:tcPr>
          <w:p w14:paraId="245EAA8D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0.868</w:t>
            </w:r>
          </w:p>
        </w:tc>
      </w:tr>
      <w:tr w:rsidR="008D65FD" w:rsidRPr="008D65FD" w14:paraId="531B462C" w14:textId="77777777" w:rsidTr="0091744A">
        <w:tc>
          <w:tcPr>
            <w:tcW w:w="1020" w:type="pct"/>
            <w:vMerge/>
          </w:tcPr>
          <w:p w14:paraId="4565AFB0" w14:textId="77777777" w:rsidR="001B7777" w:rsidRPr="008D65FD" w:rsidRDefault="001B7777" w:rsidP="005B042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6911D458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Modality</w:t>
            </w:r>
          </w:p>
        </w:tc>
        <w:tc>
          <w:tcPr>
            <w:tcW w:w="1080" w:type="pct"/>
            <w:vAlign w:val="bottom"/>
          </w:tcPr>
          <w:p w14:paraId="6C0C12E7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0.179 (0.131)</w:t>
            </w:r>
          </w:p>
        </w:tc>
        <w:tc>
          <w:tcPr>
            <w:tcW w:w="796" w:type="pct"/>
            <w:vAlign w:val="bottom"/>
          </w:tcPr>
          <w:p w14:paraId="263E0714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1.88 (1)</w:t>
            </w:r>
          </w:p>
        </w:tc>
        <w:tc>
          <w:tcPr>
            <w:tcW w:w="625" w:type="pct"/>
            <w:vAlign w:val="bottom"/>
          </w:tcPr>
          <w:p w14:paraId="34A2581E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0.171</w:t>
            </w:r>
          </w:p>
        </w:tc>
      </w:tr>
      <w:tr w:rsidR="008D65FD" w:rsidRPr="008D65FD" w14:paraId="2D210EF7" w14:textId="77777777" w:rsidTr="0091744A">
        <w:tc>
          <w:tcPr>
            <w:tcW w:w="1020" w:type="pct"/>
            <w:vMerge/>
          </w:tcPr>
          <w:p w14:paraId="585FE691" w14:textId="77777777" w:rsidR="001B7777" w:rsidRPr="008D65FD" w:rsidRDefault="001B7777" w:rsidP="005B042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721D27AF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HA-pre × Modality</w:t>
            </w:r>
          </w:p>
        </w:tc>
        <w:tc>
          <w:tcPr>
            <w:tcW w:w="1080" w:type="pct"/>
            <w:vAlign w:val="bottom"/>
          </w:tcPr>
          <w:p w14:paraId="63884AB3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-0.0718 (0.133)</w:t>
            </w:r>
          </w:p>
        </w:tc>
        <w:tc>
          <w:tcPr>
            <w:tcW w:w="796" w:type="pct"/>
            <w:vAlign w:val="bottom"/>
          </w:tcPr>
          <w:p w14:paraId="7EA6A50B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0.293 (1)</w:t>
            </w:r>
          </w:p>
        </w:tc>
        <w:tc>
          <w:tcPr>
            <w:tcW w:w="625" w:type="pct"/>
            <w:vAlign w:val="bottom"/>
          </w:tcPr>
          <w:p w14:paraId="5A16860A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0.589</w:t>
            </w:r>
          </w:p>
        </w:tc>
      </w:tr>
      <w:tr w:rsidR="008D65FD" w:rsidRPr="008D65FD" w14:paraId="4C172282" w14:textId="77777777" w:rsidTr="0091744A">
        <w:tc>
          <w:tcPr>
            <w:tcW w:w="1020" w:type="pct"/>
            <w:vMerge/>
          </w:tcPr>
          <w:p w14:paraId="6847F1B2" w14:textId="77777777" w:rsidR="001B7777" w:rsidRPr="008D65FD" w:rsidRDefault="001B7777" w:rsidP="005B042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2B101CF2" w14:textId="77777777" w:rsidR="001B7777" w:rsidRPr="008D65FD" w:rsidRDefault="001B7777" w:rsidP="005B042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INC-pre × Modality</w:t>
            </w:r>
          </w:p>
        </w:tc>
        <w:tc>
          <w:tcPr>
            <w:tcW w:w="1080" w:type="pct"/>
            <w:vAlign w:val="bottom"/>
          </w:tcPr>
          <w:p w14:paraId="24333D3E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0.0526 (0.120)</w:t>
            </w:r>
          </w:p>
        </w:tc>
        <w:tc>
          <w:tcPr>
            <w:tcW w:w="796" w:type="pct"/>
            <w:vAlign w:val="bottom"/>
          </w:tcPr>
          <w:p w14:paraId="5CC13862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0.191 (1)</w:t>
            </w:r>
          </w:p>
        </w:tc>
        <w:tc>
          <w:tcPr>
            <w:tcW w:w="625" w:type="pct"/>
            <w:vAlign w:val="bottom"/>
          </w:tcPr>
          <w:p w14:paraId="7B9CDEAA" w14:textId="77777777" w:rsidR="001B7777" w:rsidRPr="008D65FD" w:rsidRDefault="001B7777" w:rsidP="005B042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0.662</w:t>
            </w:r>
          </w:p>
        </w:tc>
      </w:tr>
      <w:bookmarkEnd w:id="1"/>
      <w:tr w:rsidR="008D65FD" w:rsidRPr="008D65FD" w14:paraId="16493978" w14:textId="77777777" w:rsidTr="0091744A">
        <w:tc>
          <w:tcPr>
            <w:tcW w:w="1020" w:type="pct"/>
          </w:tcPr>
          <w:p w14:paraId="2E93ADB8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727C332C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080" w:type="pct"/>
          </w:tcPr>
          <w:p w14:paraId="21C41C31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</w:tcPr>
          <w:p w14:paraId="7B7A4B5B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</w:tcPr>
          <w:p w14:paraId="1DA9CDCF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</w:tr>
      <w:tr w:rsidR="008D65FD" w:rsidRPr="008D65FD" w14:paraId="7CA48233" w14:textId="77777777" w:rsidTr="0091744A">
        <w:tc>
          <w:tcPr>
            <w:tcW w:w="1020" w:type="pct"/>
            <w:vMerge w:val="restart"/>
          </w:tcPr>
          <w:p w14:paraId="122E7E13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Model 2: Pre- to Post-Treatment Change in HA and INC</w:t>
            </w:r>
          </w:p>
        </w:tc>
        <w:tc>
          <w:tcPr>
            <w:tcW w:w="1478" w:type="pct"/>
          </w:tcPr>
          <w:p w14:paraId="1CA74B56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YBOCS-pre</w:t>
            </w:r>
          </w:p>
        </w:tc>
        <w:tc>
          <w:tcPr>
            <w:tcW w:w="1080" w:type="pct"/>
            <w:vAlign w:val="bottom"/>
          </w:tcPr>
          <w:p w14:paraId="5901F111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0.492 (0.0943)</w:t>
            </w:r>
          </w:p>
        </w:tc>
        <w:tc>
          <w:tcPr>
            <w:tcW w:w="796" w:type="pct"/>
            <w:vAlign w:val="bottom"/>
          </w:tcPr>
          <w:p w14:paraId="3A89F650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27.2 (1)</w:t>
            </w:r>
          </w:p>
        </w:tc>
        <w:tc>
          <w:tcPr>
            <w:tcW w:w="625" w:type="pct"/>
          </w:tcPr>
          <w:p w14:paraId="59BB2C6F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&lt; 0.0001</w:t>
            </w:r>
          </w:p>
        </w:tc>
      </w:tr>
      <w:tr w:rsidR="008D65FD" w:rsidRPr="008D65FD" w14:paraId="4C3658EA" w14:textId="77777777" w:rsidTr="0091744A">
        <w:tc>
          <w:tcPr>
            <w:tcW w:w="1020" w:type="pct"/>
            <w:vMerge/>
          </w:tcPr>
          <w:p w14:paraId="4E23E399" w14:textId="77777777" w:rsidR="001B7777" w:rsidRPr="008D65FD" w:rsidRDefault="001B7777" w:rsidP="00EE7A3D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51DF5533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HA-pre-post</w:t>
            </w:r>
          </w:p>
        </w:tc>
        <w:tc>
          <w:tcPr>
            <w:tcW w:w="1080" w:type="pct"/>
            <w:vAlign w:val="bottom"/>
          </w:tcPr>
          <w:p w14:paraId="7FD45F96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0.359 (0.145)</w:t>
            </w:r>
          </w:p>
        </w:tc>
        <w:tc>
          <w:tcPr>
            <w:tcW w:w="796" w:type="pct"/>
            <w:vAlign w:val="bottom"/>
          </w:tcPr>
          <w:p w14:paraId="11640A6F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6.10 (1)</w:t>
            </w:r>
          </w:p>
        </w:tc>
        <w:tc>
          <w:tcPr>
            <w:tcW w:w="625" w:type="pct"/>
            <w:vAlign w:val="bottom"/>
          </w:tcPr>
          <w:p w14:paraId="45F1116D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0.0135</w:t>
            </w:r>
          </w:p>
        </w:tc>
      </w:tr>
      <w:tr w:rsidR="008D65FD" w:rsidRPr="008D65FD" w14:paraId="759DC7EC" w14:textId="77777777" w:rsidTr="0091744A">
        <w:tc>
          <w:tcPr>
            <w:tcW w:w="1020" w:type="pct"/>
            <w:vMerge/>
          </w:tcPr>
          <w:p w14:paraId="5BFDEC70" w14:textId="77777777" w:rsidR="001B7777" w:rsidRPr="008D65FD" w:rsidRDefault="001B7777" w:rsidP="00EE7A3D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37645FF3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INC-pre-post</w:t>
            </w:r>
          </w:p>
        </w:tc>
        <w:tc>
          <w:tcPr>
            <w:tcW w:w="1080" w:type="pct"/>
            <w:vAlign w:val="bottom"/>
          </w:tcPr>
          <w:p w14:paraId="20C1D043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0.0967 (0.123)</w:t>
            </w:r>
          </w:p>
        </w:tc>
        <w:tc>
          <w:tcPr>
            <w:tcW w:w="796" w:type="pct"/>
            <w:vAlign w:val="bottom"/>
          </w:tcPr>
          <w:p w14:paraId="465F4BCB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0.622 (1)</w:t>
            </w:r>
          </w:p>
        </w:tc>
        <w:tc>
          <w:tcPr>
            <w:tcW w:w="625" w:type="pct"/>
            <w:vAlign w:val="bottom"/>
          </w:tcPr>
          <w:p w14:paraId="50EB8017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0.430</w:t>
            </w:r>
          </w:p>
        </w:tc>
      </w:tr>
      <w:tr w:rsidR="008D65FD" w:rsidRPr="008D65FD" w14:paraId="6B20A7B1" w14:textId="77777777" w:rsidTr="0091744A">
        <w:tc>
          <w:tcPr>
            <w:tcW w:w="1020" w:type="pct"/>
            <w:vMerge/>
          </w:tcPr>
          <w:p w14:paraId="410B9335" w14:textId="77777777" w:rsidR="001B7777" w:rsidRPr="008D65FD" w:rsidRDefault="001B7777" w:rsidP="00EE7A3D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741B3670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Modality</w:t>
            </w:r>
          </w:p>
        </w:tc>
        <w:tc>
          <w:tcPr>
            <w:tcW w:w="1080" w:type="pct"/>
            <w:vAlign w:val="bottom"/>
          </w:tcPr>
          <w:p w14:paraId="53044CE4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0.133 (0.0970)</w:t>
            </w:r>
          </w:p>
        </w:tc>
        <w:tc>
          <w:tcPr>
            <w:tcW w:w="796" w:type="pct"/>
            <w:vAlign w:val="bottom"/>
          </w:tcPr>
          <w:p w14:paraId="67069760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1.89 (1)</w:t>
            </w:r>
          </w:p>
        </w:tc>
        <w:tc>
          <w:tcPr>
            <w:tcW w:w="625" w:type="pct"/>
            <w:vAlign w:val="bottom"/>
          </w:tcPr>
          <w:p w14:paraId="02EA21D5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0.170</w:t>
            </w:r>
          </w:p>
        </w:tc>
      </w:tr>
      <w:tr w:rsidR="008D65FD" w:rsidRPr="008D65FD" w14:paraId="0DBCE6B1" w14:textId="77777777" w:rsidTr="0091744A">
        <w:tc>
          <w:tcPr>
            <w:tcW w:w="1020" w:type="pct"/>
            <w:vMerge/>
          </w:tcPr>
          <w:p w14:paraId="5ECE1DCC" w14:textId="77777777" w:rsidR="001B7777" w:rsidRPr="008D65FD" w:rsidRDefault="001B7777" w:rsidP="00EE7A3D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245A0CA1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HA-pre-post × Modality</w:t>
            </w:r>
          </w:p>
        </w:tc>
        <w:tc>
          <w:tcPr>
            <w:tcW w:w="1080" w:type="pct"/>
            <w:vAlign w:val="bottom"/>
          </w:tcPr>
          <w:p w14:paraId="2DA33715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-0.0907 (0.139)</w:t>
            </w:r>
          </w:p>
        </w:tc>
        <w:tc>
          <w:tcPr>
            <w:tcW w:w="796" w:type="pct"/>
            <w:vAlign w:val="bottom"/>
          </w:tcPr>
          <w:p w14:paraId="6984FC1D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0.425 (1)</w:t>
            </w:r>
          </w:p>
        </w:tc>
        <w:tc>
          <w:tcPr>
            <w:tcW w:w="625" w:type="pct"/>
            <w:vAlign w:val="bottom"/>
          </w:tcPr>
          <w:p w14:paraId="2DC8DC6C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0.515</w:t>
            </w:r>
          </w:p>
        </w:tc>
      </w:tr>
      <w:tr w:rsidR="008D65FD" w:rsidRPr="008D65FD" w14:paraId="31B54972" w14:textId="77777777" w:rsidTr="0091744A">
        <w:tc>
          <w:tcPr>
            <w:tcW w:w="1020" w:type="pct"/>
            <w:vMerge/>
          </w:tcPr>
          <w:p w14:paraId="22EAC468" w14:textId="77777777" w:rsidR="001B7777" w:rsidRPr="008D65FD" w:rsidRDefault="001B7777" w:rsidP="00EE7A3D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237D94C9" w14:textId="77777777" w:rsidR="001B7777" w:rsidRPr="008D65FD" w:rsidRDefault="001B7777" w:rsidP="00EE7A3D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INC-pre-post × Modality</w:t>
            </w:r>
          </w:p>
        </w:tc>
        <w:tc>
          <w:tcPr>
            <w:tcW w:w="1080" w:type="pct"/>
            <w:vAlign w:val="bottom"/>
          </w:tcPr>
          <w:p w14:paraId="23C1B60B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0.0968 (0.123)</w:t>
            </w:r>
          </w:p>
        </w:tc>
        <w:tc>
          <w:tcPr>
            <w:tcW w:w="796" w:type="pct"/>
            <w:vAlign w:val="bottom"/>
          </w:tcPr>
          <w:p w14:paraId="5971815C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0.624 (1)</w:t>
            </w:r>
          </w:p>
        </w:tc>
        <w:tc>
          <w:tcPr>
            <w:tcW w:w="625" w:type="pct"/>
            <w:vAlign w:val="bottom"/>
          </w:tcPr>
          <w:p w14:paraId="727C9D8E" w14:textId="77777777" w:rsidR="001B7777" w:rsidRPr="008D65FD" w:rsidRDefault="001B7777" w:rsidP="00EE7A3D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0.430</w:t>
            </w:r>
          </w:p>
        </w:tc>
      </w:tr>
      <w:tr w:rsidR="008D65FD" w:rsidRPr="008D65FD" w14:paraId="7392BFBD" w14:textId="77777777" w:rsidTr="0091744A">
        <w:tc>
          <w:tcPr>
            <w:tcW w:w="1020" w:type="pct"/>
          </w:tcPr>
          <w:p w14:paraId="12CF73CE" w14:textId="77777777" w:rsidR="001B7777" w:rsidRPr="008D65FD" w:rsidRDefault="001B7777" w:rsidP="00925B3B">
            <w:pPr>
              <w:rPr>
                <w:color w:val="000000" w:themeColor="text1"/>
              </w:rPr>
            </w:pPr>
            <w:bookmarkStart w:id="2" w:name="_Hlk153458137"/>
          </w:p>
        </w:tc>
        <w:tc>
          <w:tcPr>
            <w:tcW w:w="1478" w:type="pct"/>
          </w:tcPr>
          <w:p w14:paraId="3B9A7410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080" w:type="pct"/>
          </w:tcPr>
          <w:p w14:paraId="2F635591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</w:tcPr>
          <w:p w14:paraId="10D667A8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</w:tcPr>
          <w:p w14:paraId="0C53528E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</w:p>
        </w:tc>
      </w:tr>
      <w:tr w:rsidR="008D65FD" w:rsidRPr="008D65FD" w14:paraId="3A74D336" w14:textId="77777777" w:rsidTr="0091744A">
        <w:tc>
          <w:tcPr>
            <w:tcW w:w="1020" w:type="pct"/>
            <w:vMerge w:val="restart"/>
          </w:tcPr>
          <w:p w14:paraId="5FD2B1AA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Model 3: Early Change in HA and INC</w:t>
            </w:r>
          </w:p>
        </w:tc>
        <w:tc>
          <w:tcPr>
            <w:tcW w:w="1478" w:type="pct"/>
          </w:tcPr>
          <w:p w14:paraId="30F6B847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YBOCS-pre</w:t>
            </w:r>
          </w:p>
        </w:tc>
        <w:tc>
          <w:tcPr>
            <w:tcW w:w="1080" w:type="pct"/>
            <w:vAlign w:val="bottom"/>
          </w:tcPr>
          <w:p w14:paraId="04083664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0.616 (0.102)</w:t>
            </w:r>
          </w:p>
        </w:tc>
        <w:tc>
          <w:tcPr>
            <w:tcW w:w="796" w:type="pct"/>
            <w:vAlign w:val="bottom"/>
          </w:tcPr>
          <w:p w14:paraId="4A1B4F74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36.4 (1)</w:t>
            </w:r>
          </w:p>
        </w:tc>
        <w:tc>
          <w:tcPr>
            <w:tcW w:w="625" w:type="pct"/>
          </w:tcPr>
          <w:p w14:paraId="14C3E6AA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&lt; 0.0001</w:t>
            </w:r>
          </w:p>
        </w:tc>
      </w:tr>
      <w:tr w:rsidR="008D65FD" w:rsidRPr="008D65FD" w14:paraId="29792267" w14:textId="77777777" w:rsidTr="0091744A">
        <w:tc>
          <w:tcPr>
            <w:tcW w:w="1020" w:type="pct"/>
            <w:vMerge/>
          </w:tcPr>
          <w:p w14:paraId="2ED79516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1F7F37FF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HA-early-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</w:p>
        </w:tc>
        <w:tc>
          <w:tcPr>
            <w:tcW w:w="1080" w:type="pct"/>
            <w:vAlign w:val="bottom"/>
          </w:tcPr>
          <w:p w14:paraId="6E9404A8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-0.0992 (0.123)</w:t>
            </w:r>
          </w:p>
        </w:tc>
        <w:tc>
          <w:tcPr>
            <w:tcW w:w="796" w:type="pct"/>
            <w:vAlign w:val="bottom"/>
          </w:tcPr>
          <w:p w14:paraId="3F8384C3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0.650 (1)</w:t>
            </w:r>
          </w:p>
        </w:tc>
        <w:tc>
          <w:tcPr>
            <w:tcW w:w="625" w:type="pct"/>
            <w:vAlign w:val="bottom"/>
          </w:tcPr>
          <w:p w14:paraId="3388FDB0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0.420</w:t>
            </w:r>
          </w:p>
        </w:tc>
      </w:tr>
      <w:tr w:rsidR="008D65FD" w:rsidRPr="008D65FD" w14:paraId="6656D534" w14:textId="77777777" w:rsidTr="0091744A">
        <w:tc>
          <w:tcPr>
            <w:tcW w:w="1020" w:type="pct"/>
            <w:vMerge/>
          </w:tcPr>
          <w:p w14:paraId="27299E9D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02B6B4AC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INC-early-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</w:p>
        </w:tc>
        <w:tc>
          <w:tcPr>
            <w:tcW w:w="1080" w:type="pct"/>
            <w:vAlign w:val="bottom"/>
          </w:tcPr>
          <w:p w14:paraId="363DD079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0.278 (0.132)</w:t>
            </w:r>
          </w:p>
        </w:tc>
        <w:tc>
          <w:tcPr>
            <w:tcW w:w="796" w:type="pct"/>
            <w:vAlign w:val="bottom"/>
          </w:tcPr>
          <w:p w14:paraId="7C738F51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4.44 (1)</w:t>
            </w:r>
          </w:p>
        </w:tc>
        <w:tc>
          <w:tcPr>
            <w:tcW w:w="625" w:type="pct"/>
            <w:vAlign w:val="bottom"/>
          </w:tcPr>
          <w:p w14:paraId="784E13B4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0.0351</w:t>
            </w:r>
          </w:p>
        </w:tc>
      </w:tr>
      <w:tr w:rsidR="008D65FD" w:rsidRPr="008D65FD" w14:paraId="43D6A285" w14:textId="77777777" w:rsidTr="0091744A">
        <w:tc>
          <w:tcPr>
            <w:tcW w:w="1020" w:type="pct"/>
            <w:vMerge/>
          </w:tcPr>
          <w:p w14:paraId="2C3E0CA0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63771CB5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Modality</w:t>
            </w:r>
          </w:p>
        </w:tc>
        <w:tc>
          <w:tcPr>
            <w:tcW w:w="1080" w:type="pct"/>
            <w:vAlign w:val="bottom"/>
          </w:tcPr>
          <w:p w14:paraId="6B9529A3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0.124 (0.128)</w:t>
            </w:r>
          </w:p>
        </w:tc>
        <w:tc>
          <w:tcPr>
            <w:tcW w:w="796" w:type="pct"/>
            <w:vAlign w:val="bottom"/>
          </w:tcPr>
          <w:p w14:paraId="546B42E8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0.942 (1)</w:t>
            </w:r>
          </w:p>
        </w:tc>
        <w:tc>
          <w:tcPr>
            <w:tcW w:w="625" w:type="pct"/>
            <w:vAlign w:val="bottom"/>
          </w:tcPr>
          <w:p w14:paraId="31F29F51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0.332</w:t>
            </w:r>
          </w:p>
        </w:tc>
      </w:tr>
      <w:tr w:rsidR="008D65FD" w:rsidRPr="008D65FD" w14:paraId="7C2ED14E" w14:textId="77777777" w:rsidTr="0091744A">
        <w:tc>
          <w:tcPr>
            <w:tcW w:w="1020" w:type="pct"/>
            <w:vMerge/>
          </w:tcPr>
          <w:p w14:paraId="1C2595B8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68ED7FAB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HA-early-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  <w:r w:rsidRPr="008D65FD">
              <w:rPr>
                <w:color w:val="000000" w:themeColor="text1"/>
              </w:rPr>
              <w:t xml:space="preserve"> × Modality</w:t>
            </w:r>
          </w:p>
        </w:tc>
        <w:tc>
          <w:tcPr>
            <w:tcW w:w="1080" w:type="pct"/>
            <w:vAlign w:val="bottom"/>
          </w:tcPr>
          <w:p w14:paraId="7A47BC6D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0.101 (0.126)</w:t>
            </w:r>
          </w:p>
        </w:tc>
        <w:tc>
          <w:tcPr>
            <w:tcW w:w="796" w:type="pct"/>
            <w:vAlign w:val="bottom"/>
          </w:tcPr>
          <w:p w14:paraId="2D14A4B9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0.645 (1)</w:t>
            </w:r>
          </w:p>
        </w:tc>
        <w:tc>
          <w:tcPr>
            <w:tcW w:w="625" w:type="pct"/>
            <w:vAlign w:val="bottom"/>
          </w:tcPr>
          <w:p w14:paraId="0C002241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0.422</w:t>
            </w:r>
          </w:p>
        </w:tc>
      </w:tr>
      <w:tr w:rsidR="008D65FD" w:rsidRPr="008D65FD" w14:paraId="16B5B1AF" w14:textId="77777777" w:rsidTr="0091744A">
        <w:tc>
          <w:tcPr>
            <w:tcW w:w="1020" w:type="pct"/>
            <w:vMerge/>
          </w:tcPr>
          <w:p w14:paraId="2B20984B" w14:textId="77777777" w:rsidR="001B7777" w:rsidRPr="008D65FD" w:rsidRDefault="001B7777" w:rsidP="00925B3B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1C7F51EF" w14:textId="77777777" w:rsidR="001B7777" w:rsidRPr="008D65FD" w:rsidRDefault="001B7777" w:rsidP="00925B3B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INC-early-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  <w:r w:rsidRPr="008D65FD">
              <w:rPr>
                <w:color w:val="000000" w:themeColor="text1"/>
              </w:rPr>
              <w:t xml:space="preserve"> × Modality</w:t>
            </w:r>
          </w:p>
        </w:tc>
        <w:tc>
          <w:tcPr>
            <w:tcW w:w="1080" w:type="pct"/>
            <w:vAlign w:val="bottom"/>
          </w:tcPr>
          <w:p w14:paraId="5B770BC0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0.0377 (0.132)</w:t>
            </w:r>
          </w:p>
        </w:tc>
        <w:tc>
          <w:tcPr>
            <w:tcW w:w="796" w:type="pct"/>
            <w:vAlign w:val="bottom"/>
          </w:tcPr>
          <w:p w14:paraId="010A9AFF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0.0820 (1)</w:t>
            </w:r>
          </w:p>
        </w:tc>
        <w:tc>
          <w:tcPr>
            <w:tcW w:w="625" w:type="pct"/>
            <w:vAlign w:val="bottom"/>
          </w:tcPr>
          <w:p w14:paraId="0EE8DEBD" w14:textId="77777777" w:rsidR="001B7777" w:rsidRPr="008D65FD" w:rsidRDefault="001B7777" w:rsidP="00925B3B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0.775</w:t>
            </w:r>
          </w:p>
        </w:tc>
      </w:tr>
      <w:tr w:rsidR="008D65FD" w:rsidRPr="008D65FD" w14:paraId="10931956" w14:textId="77777777" w:rsidTr="0091744A">
        <w:tc>
          <w:tcPr>
            <w:tcW w:w="1020" w:type="pct"/>
          </w:tcPr>
          <w:p w14:paraId="536E4E51" w14:textId="77777777" w:rsidR="001B7777" w:rsidRPr="008D65FD" w:rsidRDefault="001B7777" w:rsidP="00B16C69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49BF6369" w14:textId="77777777" w:rsidR="001B7777" w:rsidRPr="008D65FD" w:rsidRDefault="001B7777" w:rsidP="00B16C69">
            <w:pPr>
              <w:rPr>
                <w:color w:val="000000" w:themeColor="text1"/>
              </w:rPr>
            </w:pPr>
          </w:p>
        </w:tc>
        <w:tc>
          <w:tcPr>
            <w:tcW w:w="1080" w:type="pct"/>
          </w:tcPr>
          <w:p w14:paraId="4E559D8B" w14:textId="77777777" w:rsidR="001B7777" w:rsidRPr="008D65FD" w:rsidRDefault="001B7777" w:rsidP="00E30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</w:tcPr>
          <w:p w14:paraId="4589B4A3" w14:textId="77777777" w:rsidR="001B7777" w:rsidRPr="008D65FD" w:rsidRDefault="001B7777" w:rsidP="00E30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</w:tcPr>
          <w:p w14:paraId="4EE3B492" w14:textId="77777777" w:rsidR="001B7777" w:rsidRPr="008D65FD" w:rsidRDefault="001B7777" w:rsidP="00E30E22">
            <w:pPr>
              <w:jc w:val="center"/>
              <w:rPr>
                <w:color w:val="000000" w:themeColor="text1"/>
              </w:rPr>
            </w:pPr>
          </w:p>
        </w:tc>
      </w:tr>
      <w:tr w:rsidR="008D65FD" w:rsidRPr="008D65FD" w14:paraId="1979A0FE" w14:textId="77777777" w:rsidTr="0091744A">
        <w:tc>
          <w:tcPr>
            <w:tcW w:w="1020" w:type="pct"/>
            <w:vMerge w:val="restart"/>
          </w:tcPr>
          <w:p w14:paraId="763FB8FA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Model 4: Late Change in HA and INC</w:t>
            </w:r>
          </w:p>
        </w:tc>
        <w:tc>
          <w:tcPr>
            <w:tcW w:w="1478" w:type="pct"/>
          </w:tcPr>
          <w:p w14:paraId="05A84CA1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YBOCS-pre</w:t>
            </w:r>
          </w:p>
        </w:tc>
        <w:tc>
          <w:tcPr>
            <w:tcW w:w="1080" w:type="pct"/>
            <w:vAlign w:val="bottom"/>
          </w:tcPr>
          <w:p w14:paraId="24906F11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0.517 (0.104)</w:t>
            </w:r>
          </w:p>
        </w:tc>
        <w:tc>
          <w:tcPr>
            <w:tcW w:w="796" w:type="pct"/>
            <w:vAlign w:val="bottom"/>
          </w:tcPr>
          <w:p w14:paraId="5401A9F4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24.6 (1)</w:t>
            </w:r>
          </w:p>
        </w:tc>
        <w:tc>
          <w:tcPr>
            <w:tcW w:w="625" w:type="pct"/>
          </w:tcPr>
          <w:p w14:paraId="5EE1DA1E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&lt; 0.0001</w:t>
            </w:r>
          </w:p>
        </w:tc>
      </w:tr>
      <w:tr w:rsidR="008D65FD" w:rsidRPr="008D65FD" w14:paraId="64AF12A6" w14:textId="77777777" w:rsidTr="0091744A">
        <w:tc>
          <w:tcPr>
            <w:tcW w:w="1020" w:type="pct"/>
            <w:vMerge/>
          </w:tcPr>
          <w:p w14:paraId="6A21FFEC" w14:textId="77777777" w:rsidR="001B7777" w:rsidRPr="008D65FD" w:rsidRDefault="001B7777" w:rsidP="0083450E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3563DDCC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HA-late-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</w:p>
        </w:tc>
        <w:tc>
          <w:tcPr>
            <w:tcW w:w="1080" w:type="pct"/>
            <w:vAlign w:val="bottom"/>
          </w:tcPr>
          <w:p w14:paraId="5340A583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0.441 (0.143)</w:t>
            </w:r>
          </w:p>
        </w:tc>
        <w:tc>
          <w:tcPr>
            <w:tcW w:w="796" w:type="pct"/>
            <w:vAlign w:val="bottom"/>
          </w:tcPr>
          <w:p w14:paraId="721A7A96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9.56 (1)</w:t>
            </w:r>
          </w:p>
        </w:tc>
        <w:tc>
          <w:tcPr>
            <w:tcW w:w="625" w:type="pct"/>
            <w:vAlign w:val="bottom"/>
          </w:tcPr>
          <w:p w14:paraId="7CDDD130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0.00199</w:t>
            </w:r>
          </w:p>
        </w:tc>
      </w:tr>
      <w:tr w:rsidR="008D65FD" w:rsidRPr="008D65FD" w14:paraId="40747074" w14:textId="77777777" w:rsidTr="0091744A">
        <w:tc>
          <w:tcPr>
            <w:tcW w:w="1020" w:type="pct"/>
            <w:vMerge/>
          </w:tcPr>
          <w:p w14:paraId="2B6B6005" w14:textId="77777777" w:rsidR="001B7777" w:rsidRPr="008D65FD" w:rsidRDefault="001B7777" w:rsidP="0083450E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514F6101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INC-late-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</w:p>
        </w:tc>
        <w:tc>
          <w:tcPr>
            <w:tcW w:w="1080" w:type="pct"/>
            <w:vAlign w:val="bottom"/>
          </w:tcPr>
          <w:p w14:paraId="6D493E40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-0.260 (0.198)</w:t>
            </w:r>
          </w:p>
        </w:tc>
        <w:tc>
          <w:tcPr>
            <w:tcW w:w="796" w:type="pct"/>
            <w:vAlign w:val="bottom"/>
          </w:tcPr>
          <w:p w14:paraId="2DE603C1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1.73 (1)</w:t>
            </w:r>
          </w:p>
        </w:tc>
        <w:tc>
          <w:tcPr>
            <w:tcW w:w="625" w:type="pct"/>
            <w:vAlign w:val="bottom"/>
          </w:tcPr>
          <w:p w14:paraId="6C2AC92B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0.189</w:t>
            </w:r>
          </w:p>
        </w:tc>
      </w:tr>
      <w:tr w:rsidR="008D65FD" w:rsidRPr="008D65FD" w14:paraId="2A45CB9D" w14:textId="77777777" w:rsidTr="0091744A">
        <w:tc>
          <w:tcPr>
            <w:tcW w:w="1020" w:type="pct"/>
            <w:vMerge/>
          </w:tcPr>
          <w:p w14:paraId="4E0AF977" w14:textId="77777777" w:rsidR="001B7777" w:rsidRPr="008D65FD" w:rsidRDefault="001B7777" w:rsidP="0083450E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16113694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Modality</w:t>
            </w:r>
          </w:p>
        </w:tc>
        <w:tc>
          <w:tcPr>
            <w:tcW w:w="1080" w:type="pct"/>
            <w:vAlign w:val="bottom"/>
          </w:tcPr>
          <w:p w14:paraId="2D679845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0.128 (0.134)</w:t>
            </w:r>
          </w:p>
        </w:tc>
        <w:tc>
          <w:tcPr>
            <w:tcW w:w="796" w:type="pct"/>
            <w:vAlign w:val="bottom"/>
          </w:tcPr>
          <w:p w14:paraId="7A4953FF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0.902 (1)</w:t>
            </w:r>
          </w:p>
        </w:tc>
        <w:tc>
          <w:tcPr>
            <w:tcW w:w="625" w:type="pct"/>
            <w:vAlign w:val="bottom"/>
          </w:tcPr>
          <w:p w14:paraId="6A286208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0.342</w:t>
            </w:r>
          </w:p>
        </w:tc>
      </w:tr>
      <w:tr w:rsidR="008D65FD" w:rsidRPr="008D65FD" w14:paraId="4537CCE4" w14:textId="77777777" w:rsidTr="0091744A">
        <w:tc>
          <w:tcPr>
            <w:tcW w:w="1020" w:type="pct"/>
            <w:vMerge/>
          </w:tcPr>
          <w:p w14:paraId="52A0FF6E" w14:textId="77777777" w:rsidR="001B7777" w:rsidRPr="008D65FD" w:rsidRDefault="001B7777" w:rsidP="0083450E">
            <w:pPr>
              <w:rPr>
                <w:color w:val="000000" w:themeColor="text1"/>
              </w:rPr>
            </w:pPr>
          </w:p>
        </w:tc>
        <w:tc>
          <w:tcPr>
            <w:tcW w:w="1478" w:type="pct"/>
          </w:tcPr>
          <w:p w14:paraId="0573FE0D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HA-late-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  <w:r w:rsidRPr="008D65FD">
              <w:rPr>
                <w:color w:val="000000" w:themeColor="text1"/>
              </w:rPr>
              <w:t xml:space="preserve"> × Modality</w:t>
            </w:r>
          </w:p>
        </w:tc>
        <w:tc>
          <w:tcPr>
            <w:tcW w:w="1080" w:type="pct"/>
            <w:vAlign w:val="bottom"/>
          </w:tcPr>
          <w:p w14:paraId="4DE5D917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-0.119 (0.138)</w:t>
            </w:r>
          </w:p>
        </w:tc>
        <w:tc>
          <w:tcPr>
            <w:tcW w:w="796" w:type="pct"/>
            <w:vAlign w:val="bottom"/>
          </w:tcPr>
          <w:p w14:paraId="05C6332E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0.743 (1)</w:t>
            </w:r>
          </w:p>
        </w:tc>
        <w:tc>
          <w:tcPr>
            <w:tcW w:w="625" w:type="pct"/>
            <w:vAlign w:val="bottom"/>
          </w:tcPr>
          <w:p w14:paraId="1FA62DCD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0.389</w:t>
            </w:r>
          </w:p>
        </w:tc>
      </w:tr>
      <w:tr w:rsidR="008D65FD" w:rsidRPr="008D65FD" w14:paraId="2B21445A" w14:textId="77777777" w:rsidTr="0091744A">
        <w:tc>
          <w:tcPr>
            <w:tcW w:w="1020" w:type="pct"/>
            <w:vMerge/>
            <w:tcBorders>
              <w:bottom w:val="single" w:sz="4" w:space="0" w:color="auto"/>
            </w:tcBorders>
          </w:tcPr>
          <w:p w14:paraId="08BC223F" w14:textId="77777777" w:rsidR="001B7777" w:rsidRPr="008D65FD" w:rsidRDefault="001B7777" w:rsidP="0083450E">
            <w:pPr>
              <w:rPr>
                <w:color w:val="000000" w:themeColor="text1"/>
              </w:rPr>
            </w:pP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14:paraId="347A6F14" w14:textId="77777777" w:rsidR="001B7777" w:rsidRPr="008D65FD" w:rsidRDefault="001B7777" w:rsidP="0083450E">
            <w:pPr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INC-late-</w:t>
            </w:r>
            <w:proofErr w:type="spellStart"/>
            <w:r w:rsidRPr="008D65FD">
              <w:rPr>
                <w:color w:val="000000" w:themeColor="text1"/>
              </w:rPr>
              <w:t>ch</w:t>
            </w:r>
            <w:proofErr w:type="spellEnd"/>
            <w:r w:rsidRPr="008D65FD">
              <w:rPr>
                <w:color w:val="000000" w:themeColor="text1"/>
              </w:rPr>
              <w:t xml:space="preserve"> × Modality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bottom"/>
          </w:tcPr>
          <w:p w14:paraId="580421D7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0.197 (0.197)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bottom"/>
          </w:tcPr>
          <w:p w14:paraId="31930B33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0.995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bottom"/>
          </w:tcPr>
          <w:p w14:paraId="7121720D" w14:textId="77777777" w:rsidR="001B7777" w:rsidRPr="008D65FD" w:rsidRDefault="001B7777" w:rsidP="0083450E">
            <w:pPr>
              <w:jc w:val="center"/>
              <w:rPr>
                <w:color w:val="000000" w:themeColor="text1"/>
              </w:rPr>
            </w:pPr>
            <w:r w:rsidRPr="008D65FD">
              <w:rPr>
                <w:color w:val="000000" w:themeColor="text1"/>
              </w:rPr>
              <w:t>0.319</w:t>
            </w:r>
          </w:p>
        </w:tc>
      </w:tr>
    </w:tbl>
    <w:bookmarkEnd w:id="2"/>
    <w:p w14:paraId="4E2A5825" w14:textId="10FAD6A5" w:rsidR="00C80C79" w:rsidRPr="008D65FD" w:rsidRDefault="00C80C79" w:rsidP="00C80C79">
      <w:pPr>
        <w:rPr>
          <w:color w:val="000000" w:themeColor="text1"/>
        </w:rPr>
      </w:pPr>
      <w:r w:rsidRPr="008D65FD">
        <w:rPr>
          <w:i/>
          <w:color w:val="000000" w:themeColor="text1"/>
        </w:rPr>
        <w:t>Note</w:t>
      </w:r>
      <w:r w:rsidRPr="008D65FD">
        <w:rPr>
          <w:color w:val="000000" w:themeColor="text1"/>
        </w:rPr>
        <w:t>. Tests of effects done with Type III Wald tests due to the presence of interactions.</w:t>
      </w:r>
      <w:bookmarkEnd w:id="0"/>
    </w:p>
    <w:sectPr w:rsidR="00C80C79" w:rsidRPr="008D65FD" w:rsidSect="00C8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9"/>
    <w:rsid w:val="00052966"/>
    <w:rsid w:val="0006423D"/>
    <w:rsid w:val="001000AE"/>
    <w:rsid w:val="00170596"/>
    <w:rsid w:val="001B7777"/>
    <w:rsid w:val="001D4995"/>
    <w:rsid w:val="00214486"/>
    <w:rsid w:val="002A2CBB"/>
    <w:rsid w:val="002B6415"/>
    <w:rsid w:val="002F28ED"/>
    <w:rsid w:val="003079C2"/>
    <w:rsid w:val="003B59C4"/>
    <w:rsid w:val="003E0A79"/>
    <w:rsid w:val="003F0DB9"/>
    <w:rsid w:val="003F5CCB"/>
    <w:rsid w:val="00477915"/>
    <w:rsid w:val="004A746A"/>
    <w:rsid w:val="004D6C6F"/>
    <w:rsid w:val="004F6148"/>
    <w:rsid w:val="00527C4A"/>
    <w:rsid w:val="005B042B"/>
    <w:rsid w:val="005B5248"/>
    <w:rsid w:val="006404EA"/>
    <w:rsid w:val="00663D62"/>
    <w:rsid w:val="00682D14"/>
    <w:rsid w:val="006B084D"/>
    <w:rsid w:val="006D67EB"/>
    <w:rsid w:val="006E4D50"/>
    <w:rsid w:val="00784DA7"/>
    <w:rsid w:val="007915B3"/>
    <w:rsid w:val="007E69DD"/>
    <w:rsid w:val="00802DA5"/>
    <w:rsid w:val="00832027"/>
    <w:rsid w:val="0083450E"/>
    <w:rsid w:val="008C18CE"/>
    <w:rsid w:val="008D65FD"/>
    <w:rsid w:val="0091744A"/>
    <w:rsid w:val="00917E08"/>
    <w:rsid w:val="00921D92"/>
    <w:rsid w:val="00981334"/>
    <w:rsid w:val="009973D4"/>
    <w:rsid w:val="009D7B57"/>
    <w:rsid w:val="00A42EA5"/>
    <w:rsid w:val="00AC7C22"/>
    <w:rsid w:val="00B16C69"/>
    <w:rsid w:val="00B56A68"/>
    <w:rsid w:val="00B733B1"/>
    <w:rsid w:val="00B965B8"/>
    <w:rsid w:val="00B974DE"/>
    <w:rsid w:val="00BF5EE8"/>
    <w:rsid w:val="00C03615"/>
    <w:rsid w:val="00C80C79"/>
    <w:rsid w:val="00CD076A"/>
    <w:rsid w:val="00CD7A8B"/>
    <w:rsid w:val="00D30F57"/>
    <w:rsid w:val="00D54050"/>
    <w:rsid w:val="00D9683B"/>
    <w:rsid w:val="00DA3E20"/>
    <w:rsid w:val="00DD6D12"/>
    <w:rsid w:val="00DD7686"/>
    <w:rsid w:val="00DE2B9B"/>
    <w:rsid w:val="00E30E22"/>
    <w:rsid w:val="00EB1339"/>
    <w:rsid w:val="00EC5046"/>
    <w:rsid w:val="00EE7A3D"/>
    <w:rsid w:val="00F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38</cp:revision>
  <dcterms:created xsi:type="dcterms:W3CDTF">2023-12-14T18:49:00Z</dcterms:created>
  <dcterms:modified xsi:type="dcterms:W3CDTF">2024-06-07T20:02:00Z</dcterms:modified>
</cp:coreProperties>
</file>